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3666358"/>
      <w:bookmarkStart w:id="2" w:name="_Toc484532399"/>
      <w:bookmarkStart w:id="3" w:name="_Toc483400307"/>
      <w:bookmarkStart w:id="4" w:name="_Toc48271718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病毒性疫苗研究二室储液袋推车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rPr>
          <w:b/>
          <w:i/>
          <w:color w:val="4472C4"/>
          <w:szCs w:val="21"/>
          <w:lang w:eastAsia="zh-CN"/>
        </w:rPr>
      </w:pPr>
      <w:permStart w:id="1" w:edGrp="everyone"/>
      <w:permEnd w:id="1"/>
      <w:bookmarkStart w:id="5" w:name="OLE_LINK4"/>
    </w:p>
    <w:bookmarkEnd w:id="5"/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p>
      <w:pPr>
        <w:rPr>
          <w:lang w:val="en-US" w:eastAsia="zh-CN"/>
        </w:rPr>
      </w:pPr>
    </w:p>
    <w:bookmarkEnd w:id="6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69805"/>
      <w:bookmarkStart w:id="10" w:name="_Toc482360281"/>
      <w:bookmarkStart w:id="11" w:name="_Toc482370141"/>
      <w:bookmarkStart w:id="12" w:name="_Toc482370061"/>
      <w:bookmarkStart w:id="13" w:name="_Toc482370349"/>
      <w:bookmarkStart w:id="14" w:name="_Toc481702475"/>
      <w:bookmarkStart w:id="15" w:name="_Toc482359936"/>
      <w:bookmarkStart w:id="16" w:name="_Toc482370757"/>
      <w:bookmarkStart w:id="17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病毒性疫苗研究二室储液袋推车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6"/>
      <w:bookmarkStart w:id="19" w:name="_Toc52210773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病毒性疫苗研究二室储液袋推车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5" w:edGrp="everyone"/>
      <w:r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中国药典 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年版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N/A</w:t>
      </w:r>
      <w:permEnd w:id="6"/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107739"/>
      <w:bookmarkStart w:id="23" w:name="_Toc522716119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iCs/>
          <w:szCs w:val="21"/>
          <w:lang w:eastAsia="zh-CN"/>
        </w:rPr>
        <w:t>病毒性疫苗研究二室105流感车间需要购买15台300L和5台500L储液袋推车，用于配液工序一次性储液袋的配套使用。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  <w:bookmarkStart w:id="49" w:name="_GoBack"/>
      <w:bookmarkEnd w:id="49"/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105车间二</w:t>
            </w:r>
            <w:r>
              <w:rPr>
                <w:rFonts w:hint="eastAsia"/>
                <w:iCs/>
                <w:szCs w:val="21"/>
                <w:lang w:eastAsia="zh-CN"/>
              </w:rPr>
              <w:t>楼病毒性疫苗研究二室中试车间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宋体" w:hAnsi="宋体" w:cs="Arial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和500L</w:t>
            </w:r>
            <w:r>
              <w:rPr>
                <w:rFonts w:hint="eastAsia" w:ascii="宋体" w:hAnsi="宋体" w:cs="Arial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储液袋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推车设计以实际尺寸为主，供应商需根据科室所使用一次性储液袋配套设计，与科室确认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设计图纸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后方可下料施工。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重量（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原则上不影响使用牢固性前提下越轻便越好，不重于40KG（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500L推车不超过60KG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工作环境温度：能适应10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工作环境湿度：至少包括45%～65%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设备外观应端正、整齐。</w:t>
            </w:r>
            <w:r>
              <w:rPr>
                <w:rFonts w:hint="eastAsia"/>
                <w:iCs/>
                <w:lang w:eastAsia="zh-CN"/>
              </w:rPr>
              <w:t>边角</w:t>
            </w:r>
            <w:r>
              <w:rPr>
                <w:rFonts w:hint="eastAsia"/>
                <w:iCs/>
                <w:lang w:val="en-US" w:eastAsia="zh-CN"/>
              </w:rPr>
              <w:t>及焊缝</w:t>
            </w:r>
            <w:r>
              <w:rPr>
                <w:rFonts w:hint="eastAsia"/>
                <w:iCs/>
                <w:lang w:eastAsia="zh-CN"/>
              </w:rPr>
              <w:t>应做钝化、</w:t>
            </w:r>
            <w:r>
              <w:rPr>
                <w:rFonts w:hint="eastAsia"/>
                <w:iCs/>
                <w:lang w:val="en-US" w:eastAsia="zh-CN"/>
              </w:rPr>
              <w:t>抛光、</w:t>
            </w:r>
            <w:r>
              <w:rPr>
                <w:rFonts w:hint="eastAsia"/>
                <w:iCs/>
                <w:lang w:eastAsia="zh-CN"/>
              </w:rPr>
              <w:t>圆角处理。</w:t>
            </w:r>
            <w:r>
              <w:rPr>
                <w:rFonts w:hint="eastAsia"/>
                <w:iCs/>
                <w:lang w:val="en-US" w:eastAsia="zh-CN"/>
              </w:rPr>
              <w:t>腔体应当至少满足五个接触面分别为整块钢材焊接而成。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设备内部表面光滑，不得有凹陷、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凸起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毛刺等缺陷，平整易于清洁。</w:t>
            </w:r>
          </w:p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推车立面顶部应向外部下翻内卷加工成有一定宽度的“口”字型。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材质要求：</w:t>
            </w:r>
            <w:r>
              <w:rPr>
                <w:rFonts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HDPE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及以上不锈钢材质，不易锈蚀和腐蚀。所有材质需耐腐蚀、耐酸碱、耐消毒剂（包括但不限于乙醇、新洁尔灭、8</w:t>
            </w:r>
            <w:r>
              <w:rPr>
                <w:rFonts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消毒液、臭氧、过氧化氢等）。设备整体承重不低于700KG。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配置四个车轮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可制动的</w:t>
            </w:r>
            <w:r>
              <w:rPr>
                <w:rFonts w:hint="eastAsia"/>
                <w:lang w:val="en-US" w:eastAsia="zh-CN"/>
              </w:rPr>
              <w:t>带不锈钢底座的轴承式的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万向轮，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易于推动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能与科室使用的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或500L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储液袋配套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内部表面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具体明确的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体积标识刻度，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分刻度值为50L，最大刻度300L或500L，刻度不易磨损。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储液袋推车整体固定一体化，不采用可折叠可分离的设计，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底部及侧底部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设有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一个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出口，适应于储液袋下出口或侧出口，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出口位置在制造前需要与使用科室确认；</w:t>
            </w:r>
            <w:r>
              <w:rPr>
                <w:rFonts w:hint="eastAsia"/>
                <w:iCs/>
                <w:lang w:val="en-US" w:eastAsia="zh-CN"/>
              </w:rPr>
              <w:t>钢材应有足够的的强度和厚度，保证在使用过程中不发生变形；在两侧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有合适的推动把手，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把手和推车整体固定一体化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bookmarkEnd w:id="25"/>
      <w:bookmarkEnd w:id="26"/>
      <w:permEnd w:id="19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107740"/>
      <w:bookmarkStart w:id="28" w:name="_Toc522716121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41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基本运行参数：推车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体积可容纳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或500L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储液袋，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还需预留额外25%的装量空间。</w:t>
            </w:r>
            <w:r>
              <w:rPr>
                <w:rFonts w:hint="eastAsia"/>
                <w:lang w:eastAsia="zh-CN"/>
              </w:rPr>
              <w:t>推车的承重应满足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或500L</w:t>
            </w:r>
            <w:r>
              <w:rPr>
                <w:rFonts w:hint="eastAsia"/>
                <w:lang w:eastAsia="zh-CN"/>
              </w:rPr>
              <w:t>储液袋的规格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300L储液袋推车腔体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内部长宽为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，高度在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cm-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之间，外部宽度不得大于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推车总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高度不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大于90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cm。</w:t>
            </w:r>
          </w:p>
          <w:p>
            <w:pPr>
              <w:spacing w:line="276" w:lineRule="auto"/>
              <w:jc w:val="both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500L储液袋推车腔体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内部长宽为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，高度在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cm-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之间，外部宽度不得大于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cm，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推车总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高度不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大于95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cm。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推车下面有适合的托盘，方便放置储液袋上的管道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24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625289"/>
      <w:bookmarkStart w:id="32" w:name="_Toc481702480"/>
      <w:bookmarkStart w:id="33" w:name="_Toc483400317"/>
      <w:bookmarkStart w:id="34" w:name="_Toc482359946"/>
      <w:bookmarkStart w:id="35" w:name="_Toc482370071"/>
      <w:bookmarkStart w:id="36" w:name="_Toc482370151"/>
      <w:bookmarkStart w:id="37" w:name="_Toc482369815"/>
      <w:bookmarkStart w:id="38" w:name="_Toc483227237"/>
      <w:bookmarkStart w:id="39" w:name="_Toc482360291"/>
      <w:bookmarkStart w:id="40" w:name="_Toc482370767"/>
      <w:bookmarkStart w:id="41" w:name="_Toc482717202"/>
      <w:bookmarkStart w:id="42" w:name="_Toc482370359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5" w:edGrp="everyone"/>
    </w:p>
    <w:permEnd w:id="2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8" w:edGrp="everyone"/>
    </w:p>
    <w:permEnd w:id="28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107743"/>
      <w:bookmarkStart w:id="45" w:name="_Toc522716124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41"/>
        <w:spacing w:before="0" w:line="360" w:lineRule="auto"/>
        <w:jc w:val="left"/>
        <w:rPr>
          <w:i/>
          <w:szCs w:val="21"/>
          <w:lang w:eastAsia="zh-CN"/>
        </w:rPr>
      </w:pPr>
      <w:permStart w:id="31" w:edGrp="everyone"/>
    </w:p>
    <w:permEnd w:id="31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投标文件、合同及订单。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卖方发运清单及相关检验报告。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设备标准技术文件。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图纸：实物图；各种验收、维修等活动所需的电子版及打印版图纸。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部件清单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：包括名称、编号、对应厂家名称、生产地、规格及必要说明。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设备厂家文件：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出厂合格证、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相关检测报告、各种标示。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材质证书（写明材料有效期）。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设备交付计划表。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相关说明书各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份。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提供设备及其零部件使用寿命清单。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 xml:space="preserve">设备开箱验收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标书中明确所有组件的品牌、材质、型号，并且注明每一个组件的保修期。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提交</w:t>
            </w:r>
            <w:r>
              <w:rPr>
                <w:rFonts w:ascii="宋体" w:hAnsi="宋体" w:cs="宋体"/>
                <w:szCs w:val="21"/>
                <w:u w:color="333333"/>
                <w:lang w:val="zh-TW" w:eastAsia="zh-CN"/>
              </w:rPr>
              <w:t>时限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Cs w:val="21"/>
                <w:u w:color="333333"/>
                <w:lang w:val="zh-TW" w:eastAsia="zh-CN"/>
              </w:rPr>
              <w:t>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4" w:edGrp="everyone"/>
    </w:p>
    <w:permEnd w:id="3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生产操作人员培训包括设备结构原理、性能、操作、清洗消毒、故障排除等基本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 w:themeFill="background1" w:themeFillShade="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permStart w:id="3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设备保质期从器具验收文件签署之后就开始计算。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出现问题提供上门维修。设备质保期为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年以上，保质期内免费保修，保质期后应提供良好的售后服务。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售后服务必须响应及时，要求设备出现须厂家维修的故障后，应在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小时内明确答复，当电话沟通无法解决时，须</w:t>
            </w:r>
            <w:r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厂家应提供合格的备件，用于设备相应部件的维修、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保养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厂家如因自身原因不再生产同类型产品或无法提供售后维修服务，需要告知客户并提供妥善的后续维保方案。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供应商进厂安装需遵守安全和安装规定。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确认试车验收合格后，买卖双方签订验收报告。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设备验收时如发现供应商对</w:t>
            </w:r>
            <w:r>
              <w:rPr>
                <w:szCs w:val="21"/>
                <w:lang w:eastAsia="zh-CN"/>
              </w:rPr>
              <w:t>URS</w:t>
            </w:r>
            <w:r>
              <w:rPr>
                <w:rFonts w:hint="eastAsia"/>
                <w:szCs w:val="21"/>
                <w:lang w:eastAsia="zh-CN"/>
              </w:rPr>
              <w:t>的响应不完全，甲方有权索赔并拒绝验收。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关键</w:t>
            </w:r>
          </w:p>
        </w:tc>
      </w:tr>
      <w:permEnd w:id="43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6"/>
      <w:bookmarkStart w:id="48" w:name="_Toc52210774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41"/>
        <w:spacing w:before="0" w:line="360" w:lineRule="auto"/>
        <w:ind w:left="35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44" w:edGrp="everyone"/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不适用</w:t>
      </w:r>
      <w:permEnd w:id="44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18"/>
        <w:szCs w:val="18"/>
      </w:rPr>
    </w:pPr>
    <w:r>
      <w:rPr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80175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0.05pt;height:0pt;width:510.25pt;z-index:251659264;mso-width-relative:page;mso-height-relative:page;" filled="f" stroked="t" coordsize="21600,21600" o:gfxdata="UEsDBAoAAAAAAIdO4kAAAAAAAAAAAAAAAAAEAAAAZHJzL1BLAwQUAAAACACHTuJA3mDSndAAAAAD&#10;AQAADwAAAGRycy9kb3ducmV2LnhtbE2PzW7CMBCE70i8g7WVuKBiE9SqSuNwoM2NCxTU6xJvk6jx&#10;OsTmp316nBMcZ2c18022vNpWnKn3jWMN85kCQVw603ClYfdVPL+B8AHZYOuYNPyRh2U+HmWYGnfh&#10;DZ23oRIxhH2KGuoQulRKX9Zk0c9cRxy9H9dbDFH2lTQ9XmK4bWWi1Ku02HBsqLGjVU3l7/ZkNfhi&#10;T8fif1pO1feicpQcP9afqPXkaa7eQQS6hvszDPgRHfLIdHAnNl60GuKQMFzF4KlEvYA4DFrmmXxk&#10;z29QSwMEFAAAAAgAh07iQEyBNxngAQAAzwMAAA4AAABkcnMvZTJvRG9jLnhtbK1TS27bMBDdF+gd&#10;CO5ryUaTpoLlLOKmm6I10PQAY5KSCPAHDmPZZ+k1uuqmx8k1OqQcp002XkQLajiceTPvcbi83lvD&#10;diqi9q7l81nNmXLCS+36lv+4u313xRkmcBKMd6rlB4X8evX2zXIMjVr4wRupIiMQh80YWj6kFJqq&#10;QjEoCzjzQTk67Hy0kGgb+0pGGAndmmpR15fV6KMM0QuFSN71dMiPiPEcQN91Wqi1F/dWuTShRmUg&#10;ESUcdEC+Kt12nRLpW9ehSsy0nJimslIRsrd5rVZLaPoIYdDi2AKc08IzTha0o6InqDUkYPdRv4Cy&#10;WkSPvksz4W01ESmKEIt5/Uyb7wMEVbiQ1BhOouPrwYqvu01kWrZ8wZkDSxf+8PPXw+8/bJ61GQM2&#10;FHLjNvG4w7CJmei+izb/iQLbFz0PJz3VPjFBzsv3V/X8wwVn4vGsekoMEdNn5S3LRsuNdpkqNLD7&#10;gomKUehjSHYbx8aWf7xYZDiguevovsm0gXpH15dc9EbLW21MzsDYb29MZDvId1++TIlw/wvLRdaA&#10;wxRXjqapGBTIT06ydAikiqPHwHMLVknOjKK3ky0ChCaBNudEUmnjqIOs6qRjtrZeHoq8xU/3XHo8&#10;zmQepH/3JfvpHa7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5g0p3QAAAAAwEAAA8AAAAAAAAA&#10;AQAgAAAAIgAAAGRycy9kb3ducmV2LnhtbFBLAQIUABQAAAAIAIdO4kBMgTcZ4AEAAM8DAAAOAAAA&#10;AAAAAAEAIAAAAB8BAABkcnMvZTJvRG9jLnhtbFBLBQYAAAAABgAGAFkBAABx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26A2"/>
    <w:rsid w:val="000169DD"/>
    <w:rsid w:val="00020E68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31AE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3923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2095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2F0F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1E3C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2C44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3814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4BB6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E0E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31F8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D2DA5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681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058"/>
    <w:rsid w:val="00FC1302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DCA6133"/>
    <w:rsid w:val="4A8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642</Words>
  <Characters>3665</Characters>
  <Lines>30</Lines>
  <Paragraphs>8</Paragraphs>
  <TotalTime>30</TotalTime>
  <ScaleCrop>false</ScaleCrop>
  <LinksUpToDate>false</LinksUpToDate>
  <CharactersWithSpaces>4299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2020-05-04T01:22:00Z</dcterms:created>
  <dc:creator>Lilly</dc:creator>
  <cp:lastModifiedBy>Administrator</cp:lastModifiedBy>
  <cp:lastPrinted>2017-06-22T01:53:00Z</cp:lastPrinted>
  <dcterms:modified xsi:type="dcterms:W3CDTF">2022-04-18T08:36:01Z</dcterms:modified>
  <dc:title>生效期：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4962B4EC822942589060980BDB41850B</vt:lpwstr>
  </property>
</Properties>
</file>