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4532399"/>
      <w:bookmarkStart w:id="1" w:name="_Toc483666358"/>
      <w:bookmarkStart w:id="2" w:name="_Toc482717189"/>
      <w:bookmarkStart w:id="3" w:name="_Toc483227223"/>
      <w:bookmarkStart w:id="4" w:name="_Toc483400307"/>
    </w:p>
    <w:p>
      <w:pPr>
        <w:spacing w:after="158" w:afterLines="50"/>
        <w:jc w:val="center"/>
        <w:rPr>
          <w:b/>
          <w:szCs w:val="21"/>
          <w:lang w:eastAsia="zh-CN"/>
        </w:rPr>
      </w:pPr>
      <w:permStart w:id="0" w:edGrp="everyone"/>
      <w:r>
        <w:rPr>
          <w:rFonts w:hint="eastAsia" w:ascii="宋体" w:hAnsi="宋体"/>
          <w:b/>
          <w:color w:val="000000" w:themeColor="text1"/>
          <w:sz w:val="28"/>
          <w:szCs w:val="28"/>
          <w:lang w:val="en-US" w:eastAsia="zh-CN"/>
          <w14:textFill>
            <w14:solidFill>
              <w14:schemeClr w14:val="tx1"/>
            </w14:solidFill>
          </w14:textFill>
        </w:rPr>
        <w:t>病毒性疫苗研究二室CO2细胞工厂培养箱</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60281"/>
      <w:bookmarkStart w:id="8" w:name="_Toc482370757"/>
      <w:bookmarkStart w:id="9" w:name="_Toc482370141"/>
      <w:bookmarkStart w:id="10" w:name="_Toc482369805"/>
      <w:bookmarkStart w:id="11" w:name="_Toc482370349"/>
      <w:bookmarkStart w:id="12" w:name="_Toc481702475"/>
      <w:bookmarkStart w:id="13" w:name="_Toc482359936"/>
      <w:bookmarkStart w:id="14" w:name="_Toc482370061"/>
      <w:bookmarkStart w:id="15" w:name="_Toc482625279"/>
      <w:r>
        <w:rPr>
          <w:szCs w:val="21"/>
          <w:lang w:eastAsia="zh-CN"/>
        </w:rPr>
        <w:t>本文件的目的是描述武汉生物制品研究所有限责任公司</w:t>
      </w:r>
      <w:permStart w:id="3" w:edGrp="everyone"/>
      <w:r>
        <w:rPr>
          <w:rFonts w:hint="eastAsia"/>
          <w:szCs w:val="21"/>
          <w:lang w:eastAsia="zh-CN"/>
        </w:rPr>
        <w:t>病毒性疫苗研究二室CO2细胞工厂培养箱</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病毒性疫苗研究二室CO2细胞工厂培养箱</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themeColor="text1"/>
          <w:szCs w:val="21"/>
          <w:lang w:eastAsia="zh-CN"/>
          <w14:textFill>
            <w14:solidFill>
              <w14:schemeClr w14:val="tx1"/>
            </w14:solidFill>
          </w14:textFill>
        </w:rPr>
      </w:pPr>
      <w:permStart w:id="5" w:edGrp="everyone"/>
      <w:r>
        <w:rPr>
          <w:color w:val="000000" w:themeColor="text1"/>
          <w:szCs w:val="21"/>
          <w:lang w:eastAsia="zh-CN"/>
          <w14:textFill>
            <w14:solidFill>
              <w14:schemeClr w14:val="tx1"/>
            </w14:solidFill>
          </w14:textFill>
        </w:rPr>
        <w:t xml:space="preserve">中国药典 </w:t>
      </w:r>
      <w:r>
        <w:rPr>
          <w:color w:val="000000" w:themeColor="text1"/>
          <w:szCs w:val="21"/>
          <w14:textFill>
            <w14:solidFill>
              <w14:schemeClr w14:val="tx1"/>
            </w14:solidFill>
          </w14:textFill>
        </w:rPr>
        <w:t>20</w:t>
      </w:r>
      <w:r>
        <w:rPr>
          <w:rFonts w:hint="eastAsia"/>
          <w:color w:val="000000" w:themeColor="text1"/>
          <w:szCs w:val="21"/>
          <w:lang w:eastAsia="zh-CN"/>
          <w14:textFill>
            <w14:solidFill>
              <w14:schemeClr w14:val="tx1"/>
            </w14:solidFill>
          </w14:textFill>
        </w:rPr>
        <w:t>20</w:t>
      </w:r>
      <w:r>
        <w:rPr>
          <w:color w:val="000000" w:themeColor="text1"/>
          <w:szCs w:val="21"/>
          <w14:textFill>
            <w14:solidFill>
              <w14:schemeClr w14:val="tx1"/>
            </w14:solidFill>
          </w14:textFill>
        </w:rPr>
        <w:t>年版</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i/>
          <w:color w:val="0070C0"/>
          <w:szCs w:val="21"/>
          <w:lang w:eastAsia="zh-CN"/>
        </w:rPr>
      </w:pPr>
      <w:permStart w:id="6" w:edGrp="everyone"/>
      <w:r>
        <w:rPr>
          <w:color w:val="000000" w:themeColor="text1"/>
          <w:szCs w:val="21"/>
          <w:lang w:eastAsia="zh-CN"/>
          <w14:textFill>
            <w14:solidFill>
              <w14:schemeClr w14:val="tx1"/>
            </w14:solidFill>
          </w14:textFill>
        </w:rPr>
        <w:t>电气安全应符合GB4793.1和GB4793.4的要求</w:t>
      </w:r>
      <w:r>
        <w:rPr>
          <w:i/>
          <w:color w:val="0070C0"/>
          <w:szCs w:val="21"/>
          <w:lang w:eastAsia="zh-CN"/>
        </w:rPr>
        <w:t>。</w:t>
      </w:r>
    </w:p>
    <w:permEnd w:id="6"/>
    <w:p>
      <w:pPr>
        <w:pStyle w:val="41"/>
        <w:spacing w:before="0" w:line="360" w:lineRule="auto"/>
        <w:jc w:val="left"/>
        <w:rPr>
          <w:szCs w:val="21"/>
          <w:lang w:eastAsia="zh-CN"/>
        </w:rPr>
      </w:pPr>
      <w:permStart w:id="7" w:edGrp="everyone"/>
      <w:bookmarkStart w:id="47" w:name="_GoBack"/>
      <w:bookmarkEnd w:id="47"/>
      <w:r>
        <w:rPr>
          <w:szCs w:val="21"/>
          <w:lang w:eastAsia="zh-CN"/>
        </w:rPr>
        <w:t xml:space="preserve"> </w:t>
      </w:r>
    </w:p>
    <w:permEnd w:id="7"/>
    <w:p>
      <w:pPr>
        <w:pStyle w:val="31"/>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ascii="Times New Roman" w:hAnsi="Times New Roman"/>
          <w:b/>
        </w:rPr>
        <w:t>系统描述</w:t>
      </w:r>
      <w:bookmarkEnd w:id="20"/>
      <w:bookmarkEnd w:id="21"/>
    </w:p>
    <w:p>
      <w:pPr>
        <w:pStyle w:val="41"/>
        <w:spacing w:before="0" w:line="360" w:lineRule="auto"/>
        <w:ind w:left="357"/>
        <w:jc w:val="left"/>
        <w:rPr>
          <w:i/>
          <w:color w:val="4472C4"/>
          <w:szCs w:val="21"/>
          <w:lang w:eastAsia="zh-CN"/>
        </w:rPr>
      </w:pPr>
      <w:permStart w:id="8" w:edGrp="everyone"/>
      <w:r>
        <w:rPr>
          <w:rFonts w:hint="eastAsia"/>
          <w:color w:val="000000" w:themeColor="text1"/>
          <w:szCs w:val="21"/>
          <w:lang w:eastAsia="zh-CN"/>
          <w14:textFill>
            <w14:solidFill>
              <w14:schemeClr w14:val="tx1"/>
            </w14:solidFill>
          </w14:textFill>
        </w:rPr>
        <w:t>病毒性疫苗研究二室细胞流感课题组105车间需购置一台</w:t>
      </w:r>
      <w:r>
        <w:rPr>
          <w:rFonts w:hint="eastAsia"/>
          <w:szCs w:val="21"/>
          <w:lang w:eastAsia="zh-CN"/>
        </w:rPr>
        <w:t>CO2细胞工厂培养箱</w:t>
      </w:r>
      <w:r>
        <w:rPr>
          <w:rFonts w:hint="eastAsia"/>
          <w:color w:val="000000" w:themeColor="text1"/>
          <w:szCs w:val="21"/>
          <w:lang w:eastAsia="zh-CN"/>
          <w14:textFill>
            <w14:solidFill>
              <w14:schemeClr w14:val="tx1"/>
            </w14:solidFill>
          </w14:textFill>
        </w:rPr>
        <w:t>，用于细胞培养</w:t>
      </w:r>
      <w:permEnd w:id="8"/>
    </w:p>
    <w:p>
      <w:pPr>
        <w:pStyle w:val="31"/>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1"/>
        <w:spacing w:after="158" w:afterLines="50"/>
        <w:ind w:left="425" w:firstLine="0" w:firstLineChars="0"/>
        <w:rPr>
          <w:rFonts w:ascii="Times New Roman" w:hAnsi="Times New Roman"/>
          <w:szCs w:val="21"/>
        </w:rPr>
      </w:pPr>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712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2" w:type="dxa"/>
            <w:shd w:val="clear" w:color="auto" w:fill="D9D9D9"/>
            <w:vAlign w:val="center"/>
          </w:tcPr>
          <w:p>
            <w:pPr>
              <w:jc w:val="center"/>
              <w:rPr>
                <w:b/>
                <w:szCs w:val="21"/>
              </w:rPr>
            </w:pPr>
            <w:bookmarkStart w:id="23" w:name="OLE_LINK1"/>
            <w:bookmarkStart w:id="24" w:name="OLE_LINK2"/>
            <w:r>
              <w:rPr>
                <w:b/>
                <w:szCs w:val="21"/>
              </w:rPr>
              <w:t>编号</w:t>
            </w:r>
          </w:p>
        </w:tc>
        <w:tc>
          <w:tcPr>
            <w:tcW w:w="7124" w:type="dxa"/>
            <w:shd w:val="clear" w:color="auto" w:fill="D9D9D9"/>
            <w:vAlign w:val="center"/>
          </w:tcPr>
          <w:p>
            <w:pPr>
              <w:jc w:val="center"/>
              <w:rPr>
                <w:b/>
                <w:szCs w:val="21"/>
                <w:lang w:eastAsia="zh-CN"/>
              </w:rPr>
            </w:pPr>
            <w:r>
              <w:rPr>
                <w:b/>
                <w:szCs w:val="21"/>
                <w:lang w:eastAsia="zh-CN"/>
              </w:rPr>
              <w:t>需求</w:t>
            </w:r>
          </w:p>
        </w:tc>
        <w:tc>
          <w:tcPr>
            <w:tcW w:w="2127"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4"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安</w:t>
            </w:r>
            <w:r>
              <w:rPr>
                <w:rFonts w:hint="eastAsia"/>
                <w:szCs w:val="21"/>
                <w:lang w:eastAsia="zh-CN"/>
              </w:rPr>
              <w:t>装在病毒性疫苗研究二室</w:t>
            </w:r>
            <w:r>
              <w:rPr>
                <w:rFonts w:hint="eastAsia"/>
                <w:szCs w:val="21"/>
                <w:lang w:val="en-US" w:eastAsia="zh-CN"/>
              </w:rPr>
              <w:t>105车间</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4" w:type="dxa"/>
            <w:shd w:val="clear" w:color="auto" w:fill="auto"/>
            <w:vAlign w:val="center"/>
          </w:tcPr>
          <w:p>
            <w:pPr>
              <w:spacing w:line="276" w:lineRule="auto"/>
              <w:jc w:val="both"/>
              <w:rPr>
                <w:i/>
                <w:szCs w:val="21"/>
                <w:lang w:eastAsia="zh-CN"/>
              </w:rPr>
            </w:pPr>
            <w:r>
              <w:rPr>
                <w:rFonts w:hint="eastAsia"/>
                <w:szCs w:val="21"/>
                <w:lang w:eastAsia="zh-CN"/>
              </w:rPr>
              <w:t>工作区尺寸</w:t>
            </w:r>
            <w:r>
              <w:rPr>
                <w:szCs w:val="21"/>
                <w:lang w:eastAsia="zh-CN"/>
              </w:rPr>
              <w:t>(</w:t>
            </w:r>
            <w:r>
              <w:rPr>
                <w:rFonts w:hint="eastAsia"/>
                <w:szCs w:val="21"/>
                <w:lang w:eastAsia="zh-CN"/>
              </w:rPr>
              <w:t>宽×深×高</w:t>
            </w:r>
            <w:r>
              <w:rPr>
                <w:szCs w:val="21"/>
                <w:lang w:eastAsia="zh-CN"/>
              </w:rPr>
              <w:t>)mm</w:t>
            </w:r>
            <w:r>
              <w:rPr>
                <w:rFonts w:hint="eastAsia"/>
                <w:szCs w:val="21"/>
                <w:lang w:eastAsia="zh-CN"/>
              </w:rPr>
              <w:t>：不小于870×</w:t>
            </w:r>
            <w:r>
              <w:rPr>
                <w:szCs w:val="21"/>
                <w:lang w:eastAsia="zh-CN"/>
              </w:rPr>
              <w:t>690</w:t>
            </w:r>
            <w:r>
              <w:rPr>
                <w:rFonts w:hint="eastAsia"/>
                <w:szCs w:val="21"/>
                <w:lang w:eastAsia="zh-CN"/>
              </w:rPr>
              <w:t>×1480。装置外形尺寸</w:t>
            </w:r>
            <w:r>
              <w:rPr>
                <w:szCs w:val="21"/>
                <w:lang w:eastAsia="zh-CN"/>
              </w:rPr>
              <w:t>mm</w:t>
            </w:r>
            <w:r>
              <w:rPr>
                <w:rFonts w:hint="eastAsia"/>
                <w:szCs w:val="21"/>
                <w:lang w:eastAsia="zh-CN"/>
              </w:rPr>
              <w:t>：不小于970×</w:t>
            </w:r>
            <w:r>
              <w:rPr>
                <w:szCs w:val="21"/>
                <w:lang w:eastAsia="zh-CN"/>
              </w:rPr>
              <w:t>885</w:t>
            </w:r>
            <w:r>
              <w:rPr>
                <w:rFonts w:hint="eastAsia"/>
                <w:szCs w:val="21"/>
                <w:lang w:eastAsia="zh-CN"/>
              </w:rPr>
              <w:t>×1716</w:t>
            </w:r>
            <w:r>
              <w:rPr>
                <w:szCs w:val="21"/>
                <w:lang w:eastAsia="zh-CN"/>
              </w:rPr>
              <w:t> </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4" w:type="dxa"/>
            <w:shd w:val="clear" w:color="auto" w:fill="auto"/>
            <w:vAlign w:val="center"/>
          </w:tcPr>
          <w:p>
            <w:pPr>
              <w:spacing w:line="276" w:lineRule="auto"/>
              <w:jc w:val="both"/>
              <w:rPr>
                <w:color w:val="0070C0"/>
                <w:szCs w:val="21"/>
                <w:lang w:val="en-US" w:eastAsia="zh-CN"/>
              </w:rPr>
            </w:pPr>
            <w:r>
              <w:rPr>
                <w:szCs w:val="21"/>
                <w:lang w:eastAsia="zh-CN"/>
              </w:rPr>
              <w:t>设备的形式尺寸应符合制造商说明书及技术文件规定的要求。</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4" w:type="dxa"/>
            <w:shd w:val="clear" w:color="auto" w:fill="auto"/>
            <w:vAlign w:val="center"/>
          </w:tcPr>
          <w:p>
            <w:pPr>
              <w:spacing w:line="276" w:lineRule="auto"/>
              <w:jc w:val="both"/>
              <w:rPr>
                <w:color w:val="0070C0"/>
                <w:szCs w:val="21"/>
                <w:lang w:eastAsia="zh-CN"/>
              </w:rPr>
            </w:pPr>
            <w:r>
              <w:rPr>
                <w:szCs w:val="21"/>
                <w:lang w:eastAsia="zh-CN"/>
              </w:rPr>
              <w:t>供应商必须给出设备选型方案及相应附件选型方案，并交给我公司使用部门及工程类部门审核。</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4" w:type="dxa"/>
            <w:shd w:val="clear" w:color="auto" w:fill="auto"/>
            <w:vAlign w:val="center"/>
          </w:tcPr>
          <w:p>
            <w:pPr>
              <w:spacing w:line="276" w:lineRule="auto"/>
              <w:jc w:val="both"/>
              <w:rPr>
                <w:i/>
                <w:color w:val="0070C0"/>
                <w:szCs w:val="21"/>
                <w:lang w:eastAsia="zh-CN"/>
              </w:rPr>
            </w:pPr>
            <w:r>
              <w:rPr>
                <w:rFonts w:hint="eastAsia"/>
                <w:lang w:eastAsia="zh-CN"/>
              </w:rPr>
              <w:t>重量（kg） 其重量不超出工作台面承重要求。</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8D8D8" w:themeFill="background1" w:themeFillShade="D9"/>
            <w:vAlign w:val="center"/>
          </w:tcPr>
          <w:p>
            <w:pPr>
              <w:pStyle w:val="31"/>
              <w:ind w:firstLine="0" w:firstLineChars="0"/>
              <w:rPr>
                <w:rFonts w:ascii="Times New Roman" w:hAnsi="Times New Roman"/>
                <w:szCs w:val="21"/>
              </w:rPr>
            </w:pPr>
            <w:permStart w:id="14" w:edGrp="everyone"/>
          </w:p>
        </w:tc>
        <w:tc>
          <w:tcPr>
            <w:tcW w:w="9251"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0"/>
                <w:numId w:val="6"/>
              </w:numPr>
              <w:ind w:firstLineChars="0"/>
              <w:rPr>
                <w:rFonts w:ascii="Times New Roman" w:hAnsi="Times New Roman"/>
                <w:szCs w:val="21"/>
              </w:rPr>
            </w:pPr>
            <w:permStart w:id="15" w:edGrp="everyone"/>
            <w:permEnd w:id="15"/>
          </w:p>
        </w:tc>
        <w:tc>
          <w:tcPr>
            <w:tcW w:w="9251"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4" w:type="dxa"/>
            <w:shd w:val="clear" w:color="auto" w:fill="auto"/>
            <w:vAlign w:val="center"/>
          </w:tcPr>
          <w:p>
            <w:pPr>
              <w:spacing w:line="276" w:lineRule="auto"/>
              <w:jc w:val="both"/>
              <w:rPr>
                <w:szCs w:val="21"/>
                <w:lang w:eastAsia="zh-CN"/>
              </w:rPr>
            </w:pPr>
            <w:r>
              <w:rPr>
                <w:lang w:eastAsia="zh-CN"/>
              </w:rPr>
              <w:t>工作环境温度：</w:t>
            </w:r>
            <w:r>
              <w:rPr>
                <w:rFonts w:hint="eastAsia" w:ascii="宋体" w:hAnsi="宋体"/>
                <w:lang w:eastAsia="zh-CN"/>
              </w:rPr>
              <w:t>至少包括5℃～</w:t>
            </w:r>
            <w:r>
              <w:rPr>
                <w:rFonts w:ascii="宋体" w:hAnsi="宋体"/>
                <w:lang w:eastAsia="zh-CN"/>
              </w:rPr>
              <w:t>6</w:t>
            </w:r>
            <w:r>
              <w:rPr>
                <w:rFonts w:hint="eastAsia" w:ascii="宋体" w:hAnsi="宋体"/>
                <w:lang w:eastAsia="zh-CN"/>
              </w:rPr>
              <w:t>0℃。</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4" w:type="dxa"/>
            <w:shd w:val="clear" w:color="auto" w:fill="auto"/>
            <w:vAlign w:val="center"/>
          </w:tcPr>
          <w:p>
            <w:pPr>
              <w:spacing w:line="276" w:lineRule="auto"/>
              <w:jc w:val="both"/>
              <w:rPr>
                <w:szCs w:val="21"/>
                <w:lang w:eastAsia="zh-CN"/>
              </w:rPr>
            </w:pPr>
            <w:r>
              <w:rPr>
                <w:lang w:eastAsia="zh-CN"/>
              </w:rPr>
              <w:t>工作环境湿度：至少包括45%～65%</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4" w:type="dxa"/>
            <w:shd w:val="clear" w:color="auto" w:fill="auto"/>
            <w:vAlign w:val="center"/>
          </w:tcPr>
          <w:p>
            <w:pPr>
              <w:spacing w:line="276" w:lineRule="auto"/>
              <w:jc w:val="both"/>
              <w:rPr>
                <w:color w:val="000000"/>
                <w:lang w:eastAsia="zh-CN"/>
              </w:rPr>
            </w:pPr>
            <w:r>
              <w:rPr>
                <w:color w:val="000000"/>
                <w:lang w:eastAsia="zh-CN"/>
              </w:rPr>
              <w:t>工作环境洁</w:t>
            </w:r>
            <w:r>
              <w:rPr>
                <w:lang w:eastAsia="zh-CN"/>
              </w:rPr>
              <w:t>净级别：</w:t>
            </w:r>
            <w:r>
              <w:rPr>
                <w:rFonts w:hint="eastAsia" w:ascii="宋体" w:hAnsi="宋体"/>
                <w:lang w:eastAsia="zh-CN"/>
              </w:rPr>
              <w:t>无级别区或</w:t>
            </w:r>
            <w:r>
              <w:rPr>
                <w:rFonts w:ascii="宋体" w:hAnsi="宋体"/>
                <w:lang w:eastAsia="zh-CN"/>
              </w:rPr>
              <w:t>C</w:t>
            </w:r>
            <w:r>
              <w:rPr>
                <w:rFonts w:hint="eastAsia" w:ascii="宋体" w:hAnsi="宋体"/>
                <w:lang w:eastAsia="zh-CN"/>
              </w:rPr>
              <w:t>级</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4" w:type="dxa"/>
            <w:shd w:val="clear" w:color="auto" w:fill="auto"/>
            <w:vAlign w:val="center"/>
          </w:tcPr>
          <w:p>
            <w:pPr>
              <w:spacing w:line="276" w:lineRule="auto"/>
              <w:jc w:val="both"/>
              <w:rPr>
                <w:color w:val="000000"/>
                <w:lang w:eastAsia="zh-CN"/>
              </w:rPr>
            </w:pPr>
            <w:r>
              <w:rPr>
                <w:rFonts w:hint="eastAsia" w:ascii="宋体" w:hAnsi="宋体"/>
                <w:lang w:eastAsia="zh-CN"/>
              </w:rPr>
              <w:t>交流电电源：～</w:t>
            </w:r>
            <w:r>
              <w:rPr>
                <w:rFonts w:ascii="宋体" w:hAnsi="宋体"/>
                <w:lang w:eastAsia="zh-CN"/>
              </w:rPr>
              <w:t>220V</w:t>
            </w:r>
            <w:r>
              <w:rPr>
                <w:rFonts w:hint="eastAsia" w:ascii="宋体" w:hAnsi="宋体"/>
                <w:lang w:eastAsia="zh-CN"/>
              </w:rPr>
              <w:t>，</w:t>
            </w:r>
            <w:r>
              <w:rPr>
                <w:rFonts w:ascii="宋体" w:hAnsi="宋体"/>
                <w:lang w:eastAsia="zh-CN"/>
              </w:rPr>
              <w:t>50Hz</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7124" w:type="dxa"/>
            <w:shd w:val="clear" w:color="auto" w:fill="auto"/>
            <w:vAlign w:val="center"/>
          </w:tcPr>
          <w:p>
            <w:pPr>
              <w:spacing w:line="276" w:lineRule="auto"/>
              <w:jc w:val="both"/>
              <w:rPr>
                <w:rFonts w:ascii="宋体" w:hAnsi="宋体"/>
                <w:lang w:eastAsia="zh-CN"/>
              </w:rPr>
            </w:pPr>
            <w:r>
              <w:rPr>
                <w:rFonts w:hint="eastAsia" w:ascii="宋体" w:hAnsi="宋体"/>
                <w:lang w:eastAsia="zh-CN"/>
              </w:rPr>
              <w:t>工作区配置防溅安全电源插座。</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4" w:type="dxa"/>
            <w:shd w:val="clear" w:color="auto" w:fill="auto"/>
            <w:vAlign w:val="center"/>
          </w:tcPr>
          <w:p>
            <w:pPr>
              <w:spacing w:line="276" w:lineRule="auto"/>
              <w:jc w:val="both"/>
              <w:rPr>
                <w:i/>
                <w:color w:val="000000"/>
                <w:lang w:eastAsia="zh-CN"/>
              </w:rPr>
            </w:pPr>
            <w:r>
              <w:rPr>
                <w:rFonts w:hint="eastAsia"/>
                <w:szCs w:val="21"/>
                <w:lang w:eastAsia="zh-CN"/>
              </w:rPr>
              <w:t>设备外观应端正、整齐，不得有明显的偏歪、毛刺和锈蚀等缺陷。设备内部表面不得有凹陷、毛刺和锈蚀等缺陷。设备内部表面应防腐蚀、易于清洁。</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spacing w:line="276" w:lineRule="auto"/>
              <w:jc w:val="both"/>
              <w:rPr>
                <w:szCs w:val="21"/>
                <w:lang w:eastAsia="zh-CN"/>
              </w:rPr>
            </w:pPr>
            <w:r>
              <w:rPr>
                <w:szCs w:val="21"/>
                <w:lang w:eastAsia="zh-CN"/>
              </w:rPr>
              <w:t>（6）必要的</w:t>
            </w:r>
            <w:r>
              <w:rPr>
                <w:rFonts w:hint="eastAsia"/>
                <w:szCs w:val="21"/>
                <w:lang w:eastAsia="zh-CN"/>
              </w:rPr>
              <w:t>功能标识及</w:t>
            </w:r>
            <w:r>
              <w:rPr>
                <w:szCs w:val="21"/>
                <w:lang w:eastAsia="zh-CN"/>
              </w:rPr>
              <w:t>说明；</w:t>
            </w:r>
          </w:p>
          <w:p>
            <w:pPr>
              <w:pStyle w:val="7"/>
              <w:spacing w:line="276" w:lineRule="auto"/>
              <w:rPr>
                <w:color w:val="0070C0"/>
                <w:sz w:val="21"/>
                <w:szCs w:val="21"/>
                <w:lang w:eastAsia="zh-CN"/>
              </w:rPr>
            </w:pPr>
            <w:r>
              <w:rPr>
                <w:sz w:val="21"/>
                <w:szCs w:val="21"/>
              </w:rPr>
              <w:t>（</w:t>
            </w:r>
            <w:r>
              <w:rPr>
                <w:sz w:val="21"/>
                <w:szCs w:val="21"/>
                <w:lang w:eastAsia="zh-CN"/>
              </w:rPr>
              <w:t>7</w:t>
            </w:r>
            <w:r>
              <w:rPr>
                <w:sz w:val="21"/>
                <w:szCs w:val="21"/>
              </w:rPr>
              <w:t>）安全标识。</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bookmarkEnd w:id="23"/>
      <w:bookmarkEnd w:id="24"/>
      <w:permEnd w:id="21"/>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41"/>
        <w:spacing w:before="0" w:line="360" w:lineRule="auto"/>
        <w:jc w:val="left"/>
        <w:rPr>
          <w:bCs/>
          <w:i/>
          <w:color w:val="4472C4"/>
          <w:kern w:val="44"/>
          <w:szCs w:val="21"/>
          <w:lang w:eastAsia="zh-CN"/>
        </w:rPr>
      </w:pPr>
      <w:permStart w:id="22" w:edGrp="everyone"/>
    </w:p>
    <w:permEnd w:id="22"/>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712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2" w:type="dxa"/>
            <w:shd w:val="clear" w:color="auto" w:fill="D9D9D9"/>
            <w:vAlign w:val="center"/>
          </w:tcPr>
          <w:p>
            <w:pPr>
              <w:jc w:val="center"/>
              <w:rPr>
                <w:b/>
                <w:szCs w:val="21"/>
              </w:rPr>
            </w:pPr>
            <w:r>
              <w:rPr>
                <w:b/>
                <w:szCs w:val="21"/>
              </w:rPr>
              <w:t>编号</w:t>
            </w:r>
          </w:p>
        </w:tc>
        <w:tc>
          <w:tcPr>
            <w:tcW w:w="7124" w:type="dxa"/>
            <w:shd w:val="clear" w:color="auto" w:fill="D9D9D9"/>
            <w:vAlign w:val="center"/>
          </w:tcPr>
          <w:p>
            <w:pPr>
              <w:jc w:val="center"/>
              <w:rPr>
                <w:b/>
                <w:szCs w:val="21"/>
                <w:lang w:eastAsia="zh-CN"/>
              </w:rPr>
            </w:pPr>
            <w:r>
              <w:rPr>
                <w:b/>
                <w:szCs w:val="21"/>
                <w:lang w:eastAsia="zh-CN"/>
              </w:rPr>
              <w:t>需求</w:t>
            </w:r>
          </w:p>
        </w:tc>
        <w:tc>
          <w:tcPr>
            <w:tcW w:w="2127"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0"/>
                <w:numId w:val="8"/>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8D8D8" w:themeFill="background1" w:themeFillShade="D9"/>
            <w:vAlign w:val="center"/>
          </w:tcPr>
          <w:p>
            <w:pPr>
              <w:pStyle w:val="31"/>
              <w:ind w:firstLine="0" w:firstLineChars="0"/>
              <w:rPr>
                <w:rFonts w:ascii="Times New Roman" w:hAnsi="Times New Roman"/>
                <w:szCs w:val="21"/>
              </w:rPr>
            </w:pPr>
            <w:permStart w:id="23" w:edGrp="everyone"/>
          </w:p>
        </w:tc>
        <w:tc>
          <w:tcPr>
            <w:tcW w:w="9251" w:type="dxa"/>
            <w:gridSpan w:val="2"/>
            <w:shd w:val="clear" w:color="auto" w:fill="auto"/>
            <w:vAlign w:val="center"/>
          </w:tcPr>
          <w:p>
            <w:pPr>
              <w:jc w:val="both"/>
              <w:rPr>
                <w:szCs w:val="21"/>
                <w:lang w:eastAsia="zh-CN"/>
              </w:rPr>
            </w:pPr>
            <w:r>
              <w:rPr>
                <w:rFonts w:hint="eastAsia"/>
                <w:lang w:eastAsia="zh-CN"/>
              </w:rPr>
              <w:t>N</w:t>
            </w:r>
            <w:r>
              <w:rPr>
                <w:lang w:eastAsia="zh-CN"/>
              </w:rPr>
              <w:t>/A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0"/>
                <w:numId w:val="8"/>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8D8D8" w:themeFill="background1" w:themeFillShade="D9"/>
            <w:vAlign w:val="center"/>
          </w:tcPr>
          <w:p>
            <w:pPr>
              <w:pStyle w:val="31"/>
              <w:ind w:firstLine="0" w:firstLineChars="0"/>
              <w:rPr>
                <w:rFonts w:ascii="Times New Roman" w:hAnsi="Times New Roman"/>
                <w:szCs w:val="21"/>
              </w:rPr>
            </w:pPr>
            <w:permStart w:id="24" w:edGrp="everyone"/>
          </w:p>
        </w:tc>
        <w:tc>
          <w:tcPr>
            <w:tcW w:w="9251" w:type="dxa"/>
            <w:gridSpan w:val="2"/>
            <w:shd w:val="clear" w:color="auto" w:fill="auto"/>
            <w:vAlign w:val="center"/>
          </w:tcPr>
          <w:p>
            <w:pPr>
              <w:jc w:val="both"/>
              <w:rPr>
                <w:szCs w:val="21"/>
                <w:lang w:eastAsia="zh-CN"/>
              </w:rPr>
            </w:pPr>
            <w:r>
              <w:rPr>
                <w:lang w:eastAsia="zh-CN"/>
              </w:rPr>
              <w:t>N/A</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0"/>
                <w:numId w:val="8"/>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4" w:type="dxa"/>
            <w:shd w:val="clear" w:color="auto" w:fill="auto"/>
            <w:vAlign w:val="center"/>
          </w:tcPr>
          <w:p>
            <w:pPr>
              <w:pStyle w:val="7"/>
              <w:spacing w:line="360" w:lineRule="auto"/>
              <w:rPr>
                <w:sz w:val="21"/>
                <w:szCs w:val="21"/>
                <w:lang w:eastAsia="zh-CN"/>
              </w:rPr>
            </w:pPr>
            <w:r>
              <w:rPr>
                <w:rFonts w:hint="eastAsia"/>
                <w:sz w:val="21"/>
                <w:szCs w:val="21"/>
                <w:lang w:eastAsia="zh-CN"/>
              </w:rPr>
              <w:t>电源：</w:t>
            </w:r>
            <w:r>
              <w:rPr>
                <w:sz w:val="21"/>
                <w:szCs w:val="21"/>
                <w:lang w:eastAsia="zh-CN"/>
              </w:rPr>
              <w:t>AC220V,1</w:t>
            </w:r>
            <w:r>
              <w:rPr>
                <w:rFonts w:hint="eastAsia"/>
                <w:sz w:val="21"/>
                <w:szCs w:val="21"/>
                <w:lang w:eastAsia="zh-CN"/>
              </w:rPr>
              <w:t>Ф</w:t>
            </w:r>
            <w:r>
              <w:rPr>
                <w:sz w:val="21"/>
                <w:szCs w:val="21"/>
                <w:lang w:eastAsia="zh-CN"/>
              </w:rPr>
              <w:t>,50Hz</w:t>
            </w:r>
          </w:p>
          <w:p>
            <w:pPr>
              <w:pStyle w:val="7"/>
              <w:spacing w:line="360" w:lineRule="auto"/>
              <w:rPr>
                <w:sz w:val="21"/>
                <w:szCs w:val="21"/>
                <w:lang w:eastAsia="zh-CN"/>
              </w:rPr>
            </w:pPr>
            <w:r>
              <w:rPr>
                <w:rFonts w:hint="eastAsia"/>
                <w:sz w:val="21"/>
                <w:szCs w:val="21"/>
                <w:lang w:eastAsia="zh-CN"/>
              </w:rPr>
              <w:t>功率：≤1400</w:t>
            </w:r>
            <w:r>
              <w:rPr>
                <w:sz w:val="21"/>
                <w:szCs w:val="21"/>
                <w:lang w:eastAsia="zh-CN"/>
              </w:rPr>
              <w:t>W</w:t>
            </w:r>
          </w:p>
          <w:p>
            <w:pPr>
              <w:pStyle w:val="7"/>
              <w:spacing w:line="360" w:lineRule="auto"/>
              <w:rPr>
                <w:sz w:val="21"/>
                <w:szCs w:val="21"/>
                <w:lang w:val="en-US" w:eastAsia="zh-CN"/>
              </w:rPr>
            </w:pPr>
            <w:r>
              <w:rPr>
                <w:rFonts w:hint="eastAsia"/>
                <w:sz w:val="21"/>
                <w:szCs w:val="21"/>
                <w:lang w:eastAsia="zh-CN"/>
              </w:rPr>
              <w:t>温度控制范围：</w:t>
            </w:r>
            <w:r>
              <w:rPr>
                <w:sz w:val="21"/>
                <w:szCs w:val="21"/>
                <w:lang w:eastAsia="zh-CN"/>
              </w:rPr>
              <w:t>5℃-6</w:t>
            </w:r>
            <w:r>
              <w:rPr>
                <w:rFonts w:hint="eastAsia"/>
                <w:sz w:val="21"/>
                <w:szCs w:val="21"/>
                <w:lang w:val="en-US" w:eastAsia="zh-CN"/>
              </w:rPr>
              <w:t>0</w:t>
            </w:r>
            <w:r>
              <w:rPr>
                <w:sz w:val="21"/>
                <w:szCs w:val="21"/>
                <w:lang w:eastAsia="zh-CN"/>
              </w:rPr>
              <w:t>℃</w:t>
            </w:r>
            <w:r>
              <w:rPr>
                <w:rFonts w:hint="eastAsia"/>
                <w:sz w:val="21"/>
                <w:szCs w:val="21"/>
                <w:lang w:eastAsia="zh-CN"/>
              </w:rPr>
              <w:t>（</w:t>
            </w:r>
            <w:r>
              <w:rPr>
                <w:rFonts w:hint="eastAsia"/>
                <w:sz w:val="21"/>
                <w:szCs w:val="21"/>
                <w:lang w:val="en-US" w:eastAsia="zh-CN"/>
              </w:rPr>
              <w:t>环境温度5℃~40℃）</w:t>
            </w:r>
          </w:p>
          <w:p>
            <w:pPr>
              <w:pStyle w:val="7"/>
              <w:spacing w:line="360" w:lineRule="auto"/>
              <w:rPr>
                <w:sz w:val="21"/>
                <w:szCs w:val="21"/>
                <w:lang w:val="en-US" w:eastAsia="zh-CN"/>
              </w:rPr>
            </w:pPr>
            <w:r>
              <w:rPr>
                <w:rFonts w:hint="eastAsia"/>
                <w:sz w:val="21"/>
                <w:szCs w:val="21"/>
                <w:lang w:val="en-US" w:eastAsia="zh-CN"/>
              </w:rPr>
              <w:t>控制精度：</w:t>
            </w:r>
            <w:r>
              <w:rPr>
                <w:rFonts w:hint="eastAsia"/>
                <w:sz w:val="21"/>
                <w:szCs w:val="21"/>
                <w:lang w:eastAsia="zh-CN"/>
              </w:rPr>
              <w:t>±</w:t>
            </w:r>
            <w:r>
              <w:rPr>
                <w:rFonts w:hint="eastAsia"/>
                <w:sz w:val="21"/>
                <w:szCs w:val="21"/>
                <w:lang w:val="en-US" w:eastAsia="zh-CN"/>
              </w:rPr>
              <w:t>0.1℃</w:t>
            </w:r>
          </w:p>
          <w:p>
            <w:pPr>
              <w:pStyle w:val="7"/>
              <w:spacing w:line="360" w:lineRule="auto"/>
              <w:rPr>
                <w:sz w:val="21"/>
                <w:szCs w:val="21"/>
                <w:lang w:eastAsia="zh-CN"/>
              </w:rPr>
            </w:pPr>
            <w:r>
              <w:rPr>
                <w:rFonts w:hint="eastAsia"/>
                <w:sz w:val="21"/>
                <w:szCs w:val="21"/>
                <w:lang w:eastAsia="zh-CN"/>
              </w:rPr>
              <w:t>温度均匀性：±1℃</w:t>
            </w:r>
          </w:p>
          <w:p>
            <w:pPr>
              <w:pStyle w:val="7"/>
              <w:spacing w:line="360" w:lineRule="auto"/>
              <w:rPr>
                <w:sz w:val="21"/>
                <w:szCs w:val="21"/>
                <w:lang w:eastAsia="zh-CN"/>
              </w:rPr>
            </w:pPr>
            <w:r>
              <w:rPr>
                <w:rFonts w:hint="eastAsia"/>
                <w:sz w:val="21"/>
                <w:szCs w:val="21"/>
                <w:lang w:eastAsia="zh-CN"/>
              </w:rPr>
              <w:t>有效容积：≥8</w:t>
            </w:r>
            <w:r>
              <w:rPr>
                <w:rFonts w:hint="eastAsia"/>
                <w:sz w:val="21"/>
                <w:szCs w:val="21"/>
                <w:lang w:val="en-US" w:eastAsia="zh-CN"/>
              </w:rPr>
              <w:t>00</w:t>
            </w:r>
            <w:r>
              <w:rPr>
                <w:rFonts w:hint="eastAsia"/>
                <w:sz w:val="21"/>
                <w:szCs w:val="21"/>
                <w:lang w:eastAsia="zh-CN"/>
              </w:rPr>
              <w:t>L</w:t>
            </w:r>
          </w:p>
          <w:p>
            <w:pPr>
              <w:spacing w:line="276" w:lineRule="auto"/>
              <w:jc w:val="both"/>
              <w:rPr>
                <w:i/>
                <w:szCs w:val="21"/>
                <w:lang w:eastAsia="zh-CN"/>
              </w:rPr>
            </w:pPr>
            <w:r>
              <w:rPr>
                <w:rFonts w:hint="eastAsia"/>
                <w:szCs w:val="21"/>
                <w:lang w:eastAsia="zh-CN"/>
              </w:rPr>
              <w:t>噪音：≤</w:t>
            </w:r>
            <w:r>
              <w:rPr>
                <w:szCs w:val="21"/>
                <w:lang w:eastAsia="zh-CN"/>
              </w:rPr>
              <w:t>60dB(A)</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7124" w:type="dxa"/>
            <w:shd w:val="clear" w:color="auto" w:fill="auto"/>
            <w:vAlign w:val="center"/>
          </w:tcPr>
          <w:p>
            <w:pPr>
              <w:spacing w:line="276" w:lineRule="auto"/>
              <w:jc w:val="both"/>
              <w:rPr>
                <w:szCs w:val="21"/>
                <w:lang w:val="en-US" w:eastAsia="zh-CN"/>
              </w:rPr>
            </w:pPr>
            <w:r>
              <w:rPr>
                <w:rFonts w:hint="eastAsia"/>
                <w:szCs w:val="21"/>
                <w:lang w:val="en-US" w:eastAsia="zh-CN"/>
              </w:rPr>
              <w:t>能数字显示CO2浓度，CO2浓度控制范围在0~20%，37℃时开门恢复时间在10分钟以内。</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0"/>
                <w:numId w:val="8"/>
              </w:numPr>
              <w:ind w:firstLineChars="0"/>
              <w:rPr>
                <w:rFonts w:ascii="Times New Roman" w:hAnsi="Times New Roman"/>
                <w:szCs w:val="21"/>
              </w:rPr>
            </w:pPr>
            <w:permStart w:id="27" w:edGrp="everyone"/>
            <w:permEnd w:id="27"/>
          </w:p>
        </w:tc>
        <w:tc>
          <w:tcPr>
            <w:tcW w:w="9251"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4" w:type="dxa"/>
            <w:shd w:val="clear" w:color="auto" w:fill="auto"/>
            <w:vAlign w:val="center"/>
          </w:tcPr>
          <w:p>
            <w:pPr>
              <w:spacing w:line="276" w:lineRule="auto"/>
              <w:jc w:val="both"/>
              <w:rPr>
                <w:szCs w:val="21"/>
                <w:lang w:eastAsia="zh-CN"/>
              </w:rPr>
            </w:pPr>
            <w:r>
              <w:rPr>
                <w:rFonts w:hint="eastAsia"/>
                <w:lang w:eastAsia="zh-CN"/>
              </w:rPr>
              <w:t>传感器异常报警，超温报警，CO</w:t>
            </w:r>
            <w:r>
              <w:rPr>
                <w:sz w:val="16"/>
                <w:lang w:eastAsia="zh-CN"/>
              </w:rPr>
              <w:t>2</w:t>
            </w:r>
            <w:r>
              <w:rPr>
                <w:rFonts w:hint="eastAsia"/>
                <w:lang w:eastAsia="zh-CN"/>
              </w:rPr>
              <w:t>超浓度报警</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rFonts w:hint="eastAsia"/>
                <w:lang w:eastAsia="zh-CN"/>
              </w:rPr>
              <w:t>带有紫外杀菌系统。</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4" w:type="dxa"/>
            <w:shd w:val="clear" w:color="auto" w:fill="auto"/>
            <w:vAlign w:val="center"/>
          </w:tcPr>
          <w:p>
            <w:pPr>
              <w:spacing w:line="276" w:lineRule="auto"/>
              <w:jc w:val="both"/>
              <w:rPr>
                <w:lang w:eastAsia="zh-CN"/>
              </w:rPr>
            </w:pPr>
            <w:r>
              <w:rPr>
                <w:rFonts w:hint="eastAsia"/>
                <w:lang w:eastAsia="zh-CN"/>
              </w:rPr>
              <w:t>带有8个</w:t>
            </w:r>
            <w:r>
              <w:rPr>
                <w:rFonts w:hint="eastAsia"/>
                <w:lang w:val="en-US" w:eastAsia="zh-CN"/>
              </w:rPr>
              <w:t>或</w:t>
            </w:r>
            <w:r>
              <w:rPr>
                <w:rFonts w:hint="eastAsia"/>
                <w:lang w:eastAsia="zh-CN"/>
              </w:rPr>
              <w:t>以上的托盘。</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4" w:type="dxa"/>
            <w:shd w:val="clear" w:color="auto" w:fill="auto"/>
            <w:vAlign w:val="center"/>
          </w:tcPr>
          <w:p>
            <w:pPr>
              <w:spacing w:line="276" w:lineRule="auto"/>
              <w:jc w:val="both"/>
              <w:rPr>
                <w:lang w:eastAsia="zh-CN"/>
              </w:rPr>
            </w:pPr>
            <w:r>
              <w:rPr>
                <w:rFonts w:hint="eastAsia"/>
                <w:lang w:eastAsia="zh-CN"/>
              </w:rPr>
              <w:t>箱门材料：带边框的全透视中空玻璃门，内腔材料：镜面不锈钢板</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28"/>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717202"/>
      <w:bookmarkStart w:id="30" w:name="_Toc482625289"/>
      <w:bookmarkStart w:id="31" w:name="_Toc482370151"/>
      <w:bookmarkStart w:id="32" w:name="_Toc482370359"/>
      <w:bookmarkStart w:id="33" w:name="_Toc482369815"/>
      <w:bookmarkStart w:id="34" w:name="_Toc481702480"/>
      <w:bookmarkStart w:id="35" w:name="_Toc482370767"/>
      <w:bookmarkStart w:id="36" w:name="_Toc483400317"/>
      <w:bookmarkStart w:id="37" w:name="_Toc482359946"/>
      <w:bookmarkStart w:id="38" w:name="_Toc483227237"/>
      <w:bookmarkStart w:id="39" w:name="_Toc482360291"/>
      <w:bookmarkStart w:id="40" w:name="_Toc482370071"/>
      <w:r>
        <w:rPr>
          <w:rFonts w:ascii="Times New Roman" w:hAnsi="Times New Roman"/>
          <w:b/>
        </w:rPr>
        <w:t>电气、自动控制要求</w:t>
      </w:r>
      <w:bookmarkEnd w:id="27"/>
    </w:p>
    <w:p>
      <w:pPr>
        <w:pStyle w:val="41"/>
        <w:spacing w:before="0" w:line="360" w:lineRule="auto"/>
        <w:ind w:left="425"/>
        <w:jc w:val="left"/>
        <w:rPr>
          <w:i/>
          <w:color w:val="4472C4"/>
          <w:szCs w:val="21"/>
          <w:lang w:eastAsia="zh-CN"/>
        </w:rPr>
      </w:pPr>
      <w:permStart w:id="29" w:edGrp="everyone"/>
    </w:p>
    <w:permEnd w:id="2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712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2" w:type="dxa"/>
            <w:shd w:val="clear" w:color="auto" w:fill="D9D9D9"/>
            <w:vAlign w:val="center"/>
          </w:tcPr>
          <w:p>
            <w:pPr>
              <w:jc w:val="center"/>
              <w:rPr>
                <w:b/>
                <w:szCs w:val="21"/>
              </w:rPr>
            </w:pPr>
            <w:r>
              <w:rPr>
                <w:b/>
                <w:szCs w:val="21"/>
              </w:rPr>
              <w:t>编号</w:t>
            </w:r>
          </w:p>
        </w:tc>
        <w:tc>
          <w:tcPr>
            <w:tcW w:w="7124" w:type="dxa"/>
            <w:shd w:val="clear" w:color="auto" w:fill="D9D9D9"/>
            <w:vAlign w:val="center"/>
          </w:tcPr>
          <w:p>
            <w:pPr>
              <w:jc w:val="center"/>
              <w:rPr>
                <w:b/>
                <w:szCs w:val="21"/>
                <w:lang w:eastAsia="zh-CN"/>
              </w:rPr>
            </w:pPr>
            <w:r>
              <w:rPr>
                <w:b/>
                <w:szCs w:val="21"/>
                <w:lang w:eastAsia="zh-CN"/>
              </w:rPr>
              <w:t>需求</w:t>
            </w:r>
          </w:p>
        </w:tc>
        <w:tc>
          <w:tcPr>
            <w:tcW w:w="2127"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2"/>
                <w:numId w:val="9"/>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4" w:type="dxa"/>
            <w:shd w:val="clear" w:color="auto" w:fill="auto"/>
            <w:vAlign w:val="center"/>
          </w:tcPr>
          <w:p>
            <w:pPr>
              <w:spacing w:line="276" w:lineRule="auto"/>
              <w:jc w:val="both"/>
              <w:rPr>
                <w:i/>
                <w:szCs w:val="21"/>
                <w:lang w:eastAsia="zh-CN"/>
              </w:rPr>
            </w:pPr>
            <w:r>
              <w:rPr>
                <w:rFonts w:hint="eastAsia"/>
                <w:szCs w:val="21"/>
                <w:lang w:eastAsia="zh-CN"/>
              </w:rPr>
              <w:t>具有高精度电脑温度控制系统：箱体内部</w:t>
            </w:r>
            <w:r>
              <w:rPr>
                <w:szCs w:val="21"/>
                <w:lang w:eastAsia="zh-CN"/>
              </w:rPr>
              <w:t>2</w:t>
            </w:r>
            <w:r>
              <w:rPr>
                <w:rFonts w:hint="eastAsia"/>
                <w:szCs w:val="21"/>
                <w:lang w:eastAsia="zh-CN"/>
              </w:rPr>
              <w:t>个精密温度传感器，在环境温度</w:t>
            </w:r>
            <w:r>
              <w:rPr>
                <w:szCs w:val="21"/>
                <w:lang w:eastAsia="zh-CN"/>
              </w:rPr>
              <w:t>-25℃</w:t>
            </w:r>
            <w:r>
              <w:rPr>
                <w:rFonts w:hint="eastAsia"/>
                <w:szCs w:val="21"/>
                <w:lang w:eastAsia="zh-CN"/>
              </w:rPr>
              <w:t>－</w:t>
            </w:r>
            <w:r>
              <w:rPr>
                <w:szCs w:val="21"/>
                <w:lang w:eastAsia="zh-CN"/>
              </w:rPr>
              <w:t>45℃</w:t>
            </w:r>
            <w:r>
              <w:rPr>
                <w:rFonts w:hint="eastAsia"/>
                <w:szCs w:val="21"/>
                <w:lang w:eastAsia="zh-CN"/>
              </w:rPr>
              <w:t>的状况下，仍能够保持箱体内部温度</w:t>
            </w:r>
            <w:r>
              <w:rPr>
                <w:szCs w:val="21"/>
                <w:lang w:eastAsia="zh-CN"/>
              </w:rPr>
              <w:t>±0.5℃</w:t>
            </w:r>
            <w:r>
              <w:rPr>
                <w:rFonts w:hint="eastAsia"/>
                <w:szCs w:val="21"/>
                <w:lang w:eastAsia="zh-CN"/>
              </w:rPr>
              <w:t>精确稳定。</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4" w:type="dxa"/>
            <w:shd w:val="clear" w:color="auto" w:fill="auto"/>
            <w:vAlign w:val="center"/>
          </w:tcPr>
          <w:p>
            <w:pPr>
              <w:spacing w:line="276" w:lineRule="auto"/>
              <w:jc w:val="both"/>
              <w:rPr>
                <w:szCs w:val="21"/>
                <w:lang w:eastAsia="zh-CN"/>
              </w:rPr>
            </w:pPr>
            <w:r>
              <w:rPr>
                <w:rFonts w:hint="eastAsia"/>
                <w:szCs w:val="21"/>
                <w:lang w:eastAsia="zh-CN"/>
              </w:rPr>
              <w:t>智能控制风扇强制冷气循环系统：确保箱体内部温度均匀性；自动温度控制。</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4" w:type="dxa"/>
            <w:shd w:val="clear" w:color="auto" w:fill="auto"/>
            <w:vAlign w:val="center"/>
          </w:tcPr>
          <w:p>
            <w:pPr>
              <w:spacing w:line="276" w:lineRule="auto"/>
              <w:jc w:val="both"/>
              <w:rPr>
                <w:szCs w:val="21"/>
                <w:lang w:eastAsia="zh-CN"/>
              </w:rPr>
            </w:pPr>
            <w:r>
              <w:rPr>
                <w:rFonts w:hint="eastAsia"/>
                <w:szCs w:val="21"/>
                <w:lang w:eastAsia="zh-CN"/>
              </w:rPr>
              <w:t>大屏幕液晶显示：在</w:t>
            </w:r>
            <w:r>
              <w:rPr>
                <w:szCs w:val="21"/>
                <w:lang w:eastAsia="zh-CN"/>
              </w:rPr>
              <w:t>5℃-65℃</w:t>
            </w:r>
            <w:r>
              <w:rPr>
                <w:rFonts w:hint="eastAsia"/>
                <w:szCs w:val="21"/>
                <w:lang w:eastAsia="zh-CN"/>
              </w:rPr>
              <w:t>范围内可自由调节温度设定值，温度控制精度</w:t>
            </w:r>
            <w:r>
              <w:rPr>
                <w:szCs w:val="21"/>
                <w:lang w:eastAsia="zh-CN"/>
              </w:rPr>
              <w:t>0.5℃</w:t>
            </w:r>
            <w:r>
              <w:rPr>
                <w:rFonts w:hint="eastAsia"/>
                <w:szCs w:val="21"/>
                <w:lang w:eastAsia="zh-CN"/>
              </w:rPr>
              <w:t>。</w:t>
            </w:r>
          </w:p>
        </w:tc>
        <w:tc>
          <w:tcPr>
            <w:tcW w:w="2127"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2"/>
                <w:numId w:val="9"/>
              </w:numPr>
              <w:ind w:firstLineChars="0"/>
              <w:rPr>
                <w:rFonts w:ascii="Times New Roman" w:hAnsi="Times New Roman"/>
                <w:szCs w:val="21"/>
              </w:rPr>
            </w:pPr>
          </w:p>
        </w:tc>
        <w:tc>
          <w:tcPr>
            <w:tcW w:w="9251"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8D8D8" w:themeFill="background1" w:themeFillShade="D9"/>
            <w:vAlign w:val="center"/>
          </w:tcPr>
          <w:p>
            <w:pPr>
              <w:pStyle w:val="31"/>
              <w:ind w:firstLine="0" w:firstLineChars="0"/>
              <w:rPr>
                <w:rFonts w:ascii="Times New Roman" w:hAnsi="Times New Roman"/>
                <w:szCs w:val="21"/>
              </w:rPr>
            </w:pPr>
            <w:permStart w:id="33" w:edGrp="everyone"/>
          </w:p>
        </w:tc>
        <w:tc>
          <w:tcPr>
            <w:tcW w:w="9251" w:type="dxa"/>
            <w:gridSpan w:val="2"/>
            <w:shd w:val="clear" w:color="auto" w:fill="auto"/>
            <w:vAlign w:val="center"/>
          </w:tcPr>
          <w:p>
            <w:pPr>
              <w:jc w:val="both"/>
              <w:rPr>
                <w:szCs w:val="21"/>
                <w:lang w:eastAsia="zh-CN"/>
              </w:rPr>
            </w:pPr>
            <w:r>
              <w:rPr>
                <w:rFonts w:hint="eastAsia"/>
                <w:szCs w:val="21"/>
                <w:lang w:val="en-US" w:eastAsia="zh-CN"/>
              </w:rPr>
              <w:t>N/A</w:t>
            </w:r>
          </w:p>
        </w:tc>
      </w:tr>
      <w:permEnd w:id="33"/>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1"/>
        <w:spacing w:before="0" w:line="360" w:lineRule="auto"/>
        <w:ind w:left="357"/>
        <w:jc w:val="left"/>
        <w:rPr>
          <w:i/>
          <w:color w:val="4472C4"/>
          <w:szCs w:val="21"/>
          <w:lang w:eastAsia="zh-CN"/>
        </w:rPr>
      </w:pPr>
      <w:permStart w:id="34" w:edGrp="everyone"/>
    </w:p>
    <w:permEnd w:id="3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7116"/>
        <w:gridCol w:w="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2" w:type="dxa"/>
            <w:shd w:val="clear" w:color="auto" w:fill="D9D9D9"/>
            <w:vAlign w:val="center"/>
          </w:tcPr>
          <w:p>
            <w:pPr>
              <w:jc w:val="center"/>
              <w:rPr>
                <w:b/>
                <w:szCs w:val="21"/>
              </w:rPr>
            </w:pPr>
            <w:r>
              <w:rPr>
                <w:b/>
                <w:szCs w:val="21"/>
              </w:rPr>
              <w:t>编号</w:t>
            </w:r>
          </w:p>
        </w:tc>
        <w:tc>
          <w:tcPr>
            <w:tcW w:w="7124" w:type="dxa"/>
            <w:gridSpan w:val="2"/>
            <w:shd w:val="clear" w:color="auto" w:fill="D9D9D9"/>
            <w:vAlign w:val="center"/>
          </w:tcPr>
          <w:p>
            <w:pPr>
              <w:jc w:val="center"/>
              <w:rPr>
                <w:b/>
                <w:szCs w:val="21"/>
                <w:lang w:eastAsia="zh-CN"/>
              </w:rPr>
            </w:pPr>
            <w:r>
              <w:rPr>
                <w:b/>
                <w:szCs w:val="21"/>
                <w:lang w:eastAsia="zh-CN"/>
              </w:rPr>
              <w:t>需求</w:t>
            </w:r>
          </w:p>
        </w:tc>
        <w:tc>
          <w:tcPr>
            <w:tcW w:w="2127"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0"/>
                <w:numId w:val="10"/>
              </w:numPr>
              <w:ind w:firstLineChars="0"/>
              <w:rPr>
                <w:rFonts w:ascii="Times New Roman" w:hAnsi="Times New Roman"/>
                <w:szCs w:val="21"/>
              </w:rPr>
            </w:pPr>
          </w:p>
        </w:tc>
        <w:tc>
          <w:tcPr>
            <w:tcW w:w="9251" w:type="dxa"/>
            <w:gridSpan w:val="3"/>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16" w:type="dxa"/>
            <w:shd w:val="clear" w:color="auto" w:fill="auto"/>
            <w:vAlign w:val="center"/>
          </w:tcPr>
          <w:p>
            <w:pPr>
              <w:jc w:val="both"/>
              <w:rPr>
                <w:szCs w:val="21"/>
                <w:lang w:eastAsia="zh-CN"/>
              </w:rPr>
            </w:pPr>
            <w:r>
              <w:rPr>
                <w:rFonts w:hint="eastAsia"/>
                <w:lang w:eastAsia="zh-CN"/>
              </w:rPr>
              <w:t>二氧化碳的输入压力超限时具有报警和保护功能</w:t>
            </w:r>
          </w:p>
        </w:tc>
        <w:tc>
          <w:tcPr>
            <w:tcW w:w="2135"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16" w:type="dxa"/>
            <w:shd w:val="clear" w:color="auto" w:fill="auto"/>
            <w:vAlign w:val="center"/>
          </w:tcPr>
          <w:p>
            <w:pPr>
              <w:jc w:val="both"/>
              <w:rPr>
                <w:rFonts w:hint="eastAsia"/>
                <w:lang w:eastAsia="zh-CN"/>
              </w:rPr>
            </w:pPr>
            <w:r>
              <w:rPr>
                <w:rFonts w:hint="eastAsia"/>
                <w:lang w:val="en-US" w:eastAsia="zh-CN"/>
              </w:rPr>
              <w:t>气体管道需要配置减压阀</w:t>
            </w:r>
          </w:p>
        </w:tc>
        <w:tc>
          <w:tcPr>
            <w:tcW w:w="2135"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1"/>
              <w:numPr>
                <w:ilvl w:val="0"/>
                <w:numId w:val="10"/>
              </w:numPr>
              <w:ind w:firstLineChars="0"/>
              <w:rPr>
                <w:rFonts w:ascii="Times New Roman" w:hAnsi="Times New Roman"/>
                <w:szCs w:val="21"/>
              </w:rPr>
            </w:pPr>
            <w:permStart w:id="36" w:edGrp="everyone"/>
            <w:permEnd w:id="36"/>
          </w:p>
        </w:tc>
        <w:tc>
          <w:tcPr>
            <w:tcW w:w="7124" w:type="dxa"/>
            <w:gridSpan w:val="2"/>
            <w:shd w:val="clear" w:color="auto" w:fill="D9D9D9"/>
            <w:vAlign w:val="center"/>
          </w:tcPr>
          <w:p>
            <w:pPr>
              <w:jc w:val="both"/>
              <w:rPr>
                <w:szCs w:val="21"/>
                <w:lang w:eastAsia="zh-CN"/>
              </w:rPr>
            </w:pPr>
            <w:r>
              <w:rPr>
                <w:szCs w:val="21"/>
                <w:lang w:eastAsia="zh-CN"/>
              </w:rPr>
              <w:t>电气保护</w:t>
            </w:r>
          </w:p>
        </w:tc>
        <w:tc>
          <w:tcPr>
            <w:tcW w:w="2127"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16" w:type="dxa"/>
            <w:shd w:val="clear" w:color="auto" w:fill="auto"/>
            <w:vAlign w:val="center"/>
          </w:tcPr>
          <w:p>
            <w:pPr>
              <w:jc w:val="both"/>
              <w:rPr>
                <w:szCs w:val="21"/>
                <w:lang w:eastAsia="zh-CN"/>
              </w:rPr>
            </w:pPr>
            <w:r>
              <w:rPr>
                <w:rFonts w:hint="eastAsia"/>
                <w:szCs w:val="21"/>
                <w:lang w:eastAsia="zh-CN"/>
              </w:rPr>
              <w:t>电气安全应符合</w:t>
            </w:r>
            <w:r>
              <w:rPr>
                <w:szCs w:val="21"/>
                <w:lang w:eastAsia="zh-CN"/>
              </w:rPr>
              <w:t>GB4793.1-2007</w:t>
            </w:r>
            <w:r>
              <w:rPr>
                <w:rFonts w:hint="eastAsia"/>
                <w:szCs w:val="21"/>
                <w:lang w:eastAsia="zh-CN"/>
              </w:rPr>
              <w:t>和</w:t>
            </w:r>
            <w:r>
              <w:rPr>
                <w:szCs w:val="21"/>
                <w:lang w:eastAsia="zh-CN"/>
              </w:rPr>
              <w:t>4793.4-2019</w:t>
            </w:r>
            <w:r>
              <w:rPr>
                <w:rFonts w:hint="eastAsia"/>
                <w:szCs w:val="21"/>
                <w:lang w:eastAsia="zh-CN"/>
              </w:rPr>
              <w:t>的要求，培养箱应有良好的接地</w:t>
            </w:r>
          </w:p>
        </w:tc>
        <w:tc>
          <w:tcPr>
            <w:tcW w:w="2135"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37"/>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p>
      <w:pPr>
        <w:pStyle w:val="41"/>
        <w:spacing w:before="0" w:line="360" w:lineRule="auto"/>
        <w:jc w:val="left"/>
        <w:rPr>
          <w:i/>
          <w:szCs w:val="21"/>
          <w:lang w:eastAsia="zh-CN"/>
        </w:rPr>
      </w:pPr>
      <w:permStart w:id="38" w:edGrp="everyone"/>
    </w:p>
    <w:permEnd w:id="3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6971"/>
        <w:gridCol w:w="2082"/>
        <w:gridCol w:w="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2" w:type="dxa"/>
            <w:shd w:val="clear" w:color="auto" w:fill="auto"/>
            <w:vAlign w:val="center"/>
          </w:tcPr>
          <w:p>
            <w:pPr>
              <w:jc w:val="both"/>
              <w:rPr>
                <w:szCs w:val="21"/>
                <w:lang w:eastAsia="zh-CN"/>
              </w:rPr>
            </w:pPr>
            <w:r>
              <w:rPr>
                <w:szCs w:val="21"/>
                <w:lang w:eastAsia="zh-CN"/>
              </w:rPr>
              <w:t xml:space="preserve"> </w:t>
            </w:r>
            <w:r>
              <w:rPr>
                <w:rFonts w:hint="eastAsia"/>
                <w:szCs w:val="21"/>
                <w:lang w:eastAsia="zh-CN"/>
              </w:rPr>
              <w:t>投标文件、合同及订单。提交时限：设备开箱验收</w:t>
            </w:r>
          </w:p>
        </w:tc>
        <w:tc>
          <w:tcPr>
            <w:tcW w:w="2128"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2" w:type="dxa"/>
            <w:shd w:val="clear" w:color="auto" w:fill="auto"/>
            <w:vAlign w:val="center"/>
          </w:tcPr>
          <w:p>
            <w:pPr>
              <w:jc w:val="both"/>
              <w:rPr>
                <w:szCs w:val="21"/>
                <w:lang w:eastAsia="zh-CN"/>
              </w:rPr>
            </w:pPr>
            <w:r>
              <w:rPr>
                <w:rFonts w:hint="eastAsia"/>
                <w:szCs w:val="21"/>
                <w:lang w:eastAsia="zh-CN"/>
              </w:rPr>
              <w:t>设计选型文件：设备详细功能说明书；须提供功能描述和标准。提交时限：设备开箱验收</w:t>
            </w:r>
          </w:p>
        </w:tc>
        <w:tc>
          <w:tcPr>
            <w:tcW w:w="2128"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rFonts w:hint="eastAsia"/>
                <w:szCs w:val="21"/>
                <w:lang w:eastAsia="zh-CN"/>
              </w:rPr>
              <w:t>零配件、部件、元件清单：包括编号、对应厂家名称、生产地、规格及必要说明。提交时限：设备开箱验收</w:t>
            </w:r>
          </w:p>
        </w:tc>
        <w:tc>
          <w:tcPr>
            <w:tcW w:w="2128"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rFonts w:hint="eastAsia"/>
                <w:szCs w:val="21"/>
                <w:lang w:eastAsia="zh-CN"/>
              </w:rPr>
              <w:t>设备制造文件：原料结构明细表、工厂实验报告、材质（包括原材料、垫圈、关键部件等）报告及合格证、制造商检测数据报告、各种标示。提交时限：设备开箱验收</w:t>
            </w:r>
          </w:p>
        </w:tc>
        <w:tc>
          <w:tcPr>
            <w:tcW w:w="2128"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rFonts w:ascii="宋体" w:hAnsi="宋体"/>
                <w:lang w:eastAsia="zh-CN"/>
              </w:rPr>
            </w:pPr>
            <w:r>
              <w:rPr>
                <w:rFonts w:hint="eastAsia"/>
                <w:szCs w:val="21"/>
                <w:lang w:eastAsia="zh-CN"/>
              </w:rPr>
              <w:t>调试文件：调试计划（调试说明书、调试进度报告、调试清单、验收测试和启动程序、保修信息、运行和维护手册、培训计划、再调试计划等），总测试计划，检查计划，检测清单，检查清单，各测试报告，调试总结报告等。提交时限：IQ开始前</w:t>
            </w:r>
          </w:p>
        </w:tc>
        <w:tc>
          <w:tcPr>
            <w:tcW w:w="2128"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rFonts w:ascii="宋体" w:hAnsi="宋体" w:cs="宋体"/>
                <w:sz w:val="24"/>
                <w:szCs w:val="24"/>
                <w:lang w:eastAsia="zh-CN"/>
              </w:rPr>
              <w:t>验证文件：</w:t>
            </w:r>
            <w:r>
              <w:rPr>
                <w:rFonts w:ascii="宋体" w:hAnsi="宋体" w:cs="宋体"/>
                <w:sz w:val="24"/>
                <w:szCs w:val="24"/>
                <w:lang w:eastAsia="zh-CN"/>
              </w:rPr>
              <w:br w:type="textWrapping"/>
            </w:r>
            <w:r>
              <w:rPr>
                <w:rFonts w:ascii="宋体" w:hAnsi="宋体" w:cs="宋体"/>
                <w:sz w:val="24"/>
                <w:szCs w:val="24"/>
                <w:lang w:eastAsia="zh-CN"/>
              </w:rPr>
              <w:t>a) 性能确认及文件（PQ）；</w:t>
            </w:r>
            <w:r>
              <w:rPr>
                <w:rFonts w:ascii="宋体" w:hAnsi="宋体" w:cs="宋体"/>
                <w:sz w:val="24"/>
                <w:szCs w:val="24"/>
                <w:lang w:eastAsia="zh-CN"/>
              </w:rPr>
              <w:br w:type="textWrapping"/>
            </w:r>
            <w:r>
              <w:rPr>
                <w:rFonts w:ascii="宋体" w:hAnsi="宋体" w:cs="宋体"/>
                <w:sz w:val="24"/>
                <w:szCs w:val="24"/>
                <w:lang w:eastAsia="zh-CN"/>
              </w:rPr>
              <w:t>b) 安装确认及文件（IQ）；</w:t>
            </w:r>
            <w:r>
              <w:rPr>
                <w:rFonts w:ascii="宋体" w:hAnsi="宋体" w:cs="宋体"/>
                <w:sz w:val="24"/>
                <w:szCs w:val="24"/>
                <w:lang w:eastAsia="zh-CN"/>
              </w:rPr>
              <w:br w:type="textWrapping"/>
            </w:r>
            <w:r>
              <w:rPr>
                <w:rFonts w:ascii="宋体" w:hAnsi="宋体" w:cs="宋体"/>
                <w:sz w:val="24"/>
                <w:szCs w:val="24"/>
                <w:lang w:eastAsia="zh-CN"/>
              </w:rPr>
              <w:t>c) 运行确认及文件（OQ）；</w:t>
            </w:r>
            <w:r>
              <w:rPr>
                <w:rFonts w:ascii="宋体" w:hAnsi="宋体" w:cs="宋体"/>
                <w:sz w:val="24"/>
                <w:szCs w:val="24"/>
                <w:lang w:eastAsia="zh-CN"/>
              </w:rPr>
              <w:br w:type="textWrapping"/>
            </w:r>
            <w:r>
              <w:rPr>
                <w:rFonts w:ascii="宋体" w:hAnsi="宋体" w:cs="宋体"/>
                <w:sz w:val="24"/>
                <w:szCs w:val="24"/>
                <w:lang w:eastAsia="zh-CN"/>
              </w:rPr>
              <w:t>d) 设计确认及文件（DQ），包括系统评估、风险评估等；</w:t>
            </w:r>
            <w:r>
              <w:rPr>
                <w:rFonts w:ascii="宋体" w:hAnsi="宋体" w:cs="宋体"/>
                <w:sz w:val="24"/>
                <w:szCs w:val="24"/>
                <w:lang w:eastAsia="zh-CN"/>
              </w:rPr>
              <w:br w:type="textWrapping"/>
            </w:r>
            <w:r>
              <w:rPr>
                <w:rFonts w:ascii="宋体" w:hAnsi="宋体" w:cs="宋体"/>
                <w:sz w:val="24"/>
                <w:szCs w:val="24"/>
                <w:lang w:eastAsia="zh-CN"/>
              </w:rPr>
              <w:t>负责制定PQ/IQ/OQ/DQ验证文件并负责验证工作的实施，该验证文件作为设备必备文件。提交时限：DQ报告在IQ前提交，IQ报告在OQ前提交，OQ报告在PQ前提交，PQ报告在设备最终验收交付前提交，所有方案在相应验证开始前完成审批。</w:t>
            </w:r>
          </w:p>
        </w:tc>
        <w:tc>
          <w:tcPr>
            <w:tcW w:w="2128"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rFonts w:hint="eastAsia" w:ascii="宋体" w:hAnsi="宋体"/>
                <w:lang w:eastAsia="zh-CN"/>
              </w:rPr>
              <w:t>使用操作说明书及维护保养说明（即运行及维护手册）</w:t>
            </w:r>
            <w:r>
              <w:rPr>
                <w:rFonts w:ascii="宋体" w:hAnsi="宋体"/>
                <w:lang w:eastAsia="zh-CN"/>
              </w:rPr>
              <w:t>3</w:t>
            </w:r>
            <w:r>
              <w:rPr>
                <w:rFonts w:hint="eastAsia" w:ascii="宋体" w:hAnsi="宋体"/>
                <w:lang w:eastAsia="zh-CN"/>
              </w:rPr>
              <w:t>份。</w:t>
            </w:r>
            <w:r>
              <w:rPr>
                <w:rFonts w:hint="eastAsia"/>
                <w:szCs w:val="21"/>
                <w:lang w:eastAsia="zh-CN"/>
              </w:rPr>
              <w:t>提交时限：IQ开始前</w:t>
            </w:r>
          </w:p>
        </w:tc>
        <w:tc>
          <w:tcPr>
            <w:tcW w:w="2128"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40"/>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1"/>
        <w:spacing w:before="0" w:line="360" w:lineRule="auto"/>
        <w:ind w:left="357"/>
        <w:jc w:val="left"/>
        <w:rPr>
          <w:i/>
          <w:color w:val="4472C4"/>
          <w:szCs w:val="21"/>
          <w:lang w:eastAsia="zh-CN"/>
        </w:rPr>
      </w:pPr>
      <w:permStart w:id="41" w:edGrp="everyone"/>
    </w:p>
    <w:permEnd w:id="41"/>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712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2"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设备供应商应免费对设备使用方人员进行全面培训，包括对生产操作人员及设备维护、维修人员，并填写培训记录。</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2"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生产操作人员培训包括设备结构原理、性能、操作、清洗消毒、故障排除等基本</w:t>
            </w:r>
            <w:r>
              <w:rPr>
                <w:color w:val="000000" w:themeColor="text1"/>
                <w:szCs w:val="21"/>
                <w:lang w:eastAsia="zh-CN"/>
                <w14:textFill>
                  <w14:solidFill>
                    <w14:schemeClr w14:val="tx1"/>
                  </w14:solidFill>
                </w14:textFill>
              </w:rPr>
              <w:t>知识</w:t>
            </w:r>
            <w:r>
              <w:rPr>
                <w:color w:val="000000" w:themeColor="text1"/>
                <w:lang w:eastAsia="zh-CN"/>
                <w14:textFill>
                  <w14:solidFill>
                    <w14:schemeClr w14:val="tx1"/>
                  </w14:solidFill>
                </w14:textFill>
              </w:rPr>
              <w:t>。合格标准为用户参加培训人员能够独立正确操作设备，会排除常见故障。</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2" w:type="dxa"/>
            <w:shd w:val="clear" w:color="auto" w:fill="auto"/>
            <w:vAlign w:val="center"/>
          </w:tcPr>
          <w:p>
            <w:pPr>
              <w:spacing w:line="276" w:lineRule="auto"/>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2" w:type="dxa"/>
            <w:shd w:val="clear" w:color="auto" w:fill="auto"/>
            <w:vAlign w:val="center"/>
          </w:tcPr>
          <w:p>
            <w:pPr>
              <w:spacing w:line="276" w:lineRule="auto"/>
              <w:jc w:val="both"/>
              <w:rPr>
                <w:szCs w:val="21"/>
                <w:lang w:eastAsia="zh-CN"/>
              </w:rPr>
            </w:pPr>
            <w:r>
              <w:rPr>
                <w:color w:val="000000" w:themeColor="text1"/>
                <w:lang w:eastAsia="zh-CN"/>
                <w14:textFill>
                  <w14:solidFill>
                    <w14:schemeClr w14:val="tx1"/>
                  </w14:solidFill>
                </w14:textFill>
              </w:rPr>
              <w:t>设备运输在运输途中需做好防护措施，不得有任何损伤。</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colFirst="1" w:colLast="1"/>
            <w:permStart w:id="47" w:edGrp="everyone" w:colFirst="2" w:colLast="2"/>
            <w:permStart w:id="48" w:edGrp="everyone" w:colFirst="3" w:colLast="3"/>
          </w:p>
        </w:tc>
        <w:tc>
          <w:tcPr>
            <w:tcW w:w="7128" w:type="dxa"/>
            <w:shd w:val="clear" w:color="auto" w:fill="auto"/>
            <w:vAlign w:val="center"/>
          </w:tcPr>
          <w:p>
            <w:pPr>
              <w:spacing w:line="276" w:lineRule="auto"/>
              <w:jc w:val="both"/>
              <w:rPr>
                <w:i/>
                <w:szCs w:val="21"/>
                <w:lang w:eastAsia="zh-CN"/>
              </w:rPr>
            </w:pPr>
            <w:r>
              <w:rPr>
                <w:rFonts w:ascii="宋体" w:hAnsi="宋体" w:cs="宋体"/>
                <w:sz w:val="24"/>
                <w:szCs w:val="24"/>
                <w:lang w:eastAsia="zh-CN"/>
              </w:rPr>
              <w:t>验证包括IQ,OQ，PQ，DQ文件与服务，供应商必须派出具备该类系统验证经验，且熟悉验证相关文件编写及验证工作实施的验证工程师开展验证工作。</w:t>
            </w:r>
            <w:r>
              <w:rPr>
                <w:rFonts w:ascii="宋体" w:hAnsi="宋体" w:cs="宋体"/>
                <w:sz w:val="24"/>
                <w:szCs w:val="24"/>
              </w:rPr>
              <w:t>供应商协助完成PQ。</w:t>
            </w:r>
          </w:p>
        </w:tc>
        <w:tc>
          <w:tcPr>
            <w:tcW w:w="2125" w:type="dxa"/>
            <w:shd w:val="clear" w:color="auto" w:fill="auto"/>
            <w:vAlign w:val="center"/>
          </w:tcPr>
          <w:p>
            <w:pPr>
              <w:jc w:val="both"/>
              <w:rPr>
                <w:szCs w:val="21"/>
                <w:lang w:eastAsia="zh-CN"/>
              </w:rPr>
            </w:pPr>
            <w:r>
              <w:rPr>
                <w:szCs w:val="21"/>
                <w:lang w:eastAsia="zh-CN"/>
              </w:rPr>
              <w:t>关键</w:t>
            </w:r>
          </w:p>
        </w:tc>
      </w:tr>
      <w:permEnd w:id="46"/>
      <w:permEnd w:id="47"/>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49" w:edGrp="everyone"/>
          </w:p>
        </w:tc>
        <w:tc>
          <w:tcPr>
            <w:tcW w:w="7122"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各验证工作开始前验证方案需经过本公司相关部门审核，并经质量保证部批准。</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ascii="宋体" w:hAnsi="宋体"/>
                <w:szCs w:val="21"/>
                <w:lang w:eastAsia="zh-CN"/>
              </w:rPr>
            </w:pPr>
            <w:r>
              <w:rPr>
                <w:rFonts w:hint="eastAsia"/>
                <w:lang w:eastAsia="zh-CN"/>
              </w:rPr>
              <w:t>供应商应派出具备同类设备验证经验的，熟悉验证文件编写及验证工作执行的工程师到场完成所有验证工作，所有验证工作应满足G</w:t>
            </w:r>
            <w:r>
              <w:rPr>
                <w:lang w:eastAsia="zh-CN"/>
              </w:rPr>
              <w:t>MP</w:t>
            </w:r>
            <w:r>
              <w:rPr>
                <w:rFonts w:hint="eastAsia"/>
                <w:lang w:eastAsia="zh-CN"/>
              </w:rPr>
              <w:t>要求。</w:t>
            </w:r>
          </w:p>
        </w:tc>
        <w:tc>
          <w:tcPr>
            <w:tcW w:w="2128" w:type="dxa"/>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50" w:edGrp="everyone"/>
          </w:p>
        </w:tc>
        <w:tc>
          <w:tcPr>
            <w:tcW w:w="7122"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验证工作应按时保质完成，供应商需提供验证工作计划表。</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51" w:edGrp="everyone"/>
          </w:p>
        </w:tc>
        <w:tc>
          <w:tcPr>
            <w:tcW w:w="7122"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验证项目应包含法规要求的测试项目，以及本公司提出的测试项目。</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52" w:edGrp="everyone"/>
          </w:p>
        </w:tc>
        <w:tc>
          <w:tcPr>
            <w:tcW w:w="7122"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11"/>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售后服务及备件要求</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53" w:edGrp="everyone"/>
          </w:p>
        </w:tc>
        <w:tc>
          <w:tcPr>
            <w:tcW w:w="7122" w:type="dxa"/>
            <w:shd w:val="clear" w:color="auto" w:fill="auto"/>
            <w:vAlign w:val="center"/>
          </w:tcPr>
          <w:p>
            <w:pPr>
              <w:spacing w:line="276" w:lineRule="auto"/>
              <w:jc w:val="both"/>
              <w:rPr>
                <w:szCs w:val="21"/>
                <w:lang w:eastAsia="zh-CN"/>
              </w:rPr>
            </w:pPr>
            <w:r>
              <w:rPr>
                <w:rFonts w:hint="eastAsia" w:ascii="宋体" w:hAnsi="宋体"/>
                <w:szCs w:val="21"/>
                <w:lang w:eastAsia="zh-CN"/>
              </w:rPr>
              <w:t>设备保质期从确认验收的阶段就开始计算。</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54" w:edGrp="everyone"/>
          </w:p>
        </w:tc>
        <w:tc>
          <w:tcPr>
            <w:tcW w:w="7122" w:type="dxa"/>
            <w:shd w:val="clear" w:color="auto" w:fill="auto"/>
            <w:vAlign w:val="center"/>
          </w:tcPr>
          <w:p>
            <w:pPr>
              <w:pStyle w:val="7"/>
              <w:spacing w:line="360" w:lineRule="auto"/>
              <w:rPr>
                <w:rFonts w:ascii="宋体"/>
                <w:sz w:val="21"/>
                <w:szCs w:val="21"/>
                <w:lang w:eastAsia="zh-CN"/>
              </w:rPr>
            </w:pPr>
            <w:r>
              <w:rPr>
                <w:rFonts w:hint="eastAsia" w:ascii="宋体" w:hAnsi="宋体"/>
                <w:sz w:val="21"/>
                <w:szCs w:val="21"/>
                <w:lang w:eastAsia="zh-CN"/>
              </w:rPr>
              <w:t>设备质保期为一年，一年内免费保修，一年后应提供良好的售后服务。</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55" w:edGrp="everyone"/>
          </w:p>
        </w:tc>
        <w:tc>
          <w:tcPr>
            <w:tcW w:w="7122" w:type="dxa"/>
            <w:shd w:val="clear" w:color="auto" w:fill="auto"/>
            <w:vAlign w:val="center"/>
          </w:tcPr>
          <w:p>
            <w:pPr>
              <w:pStyle w:val="7"/>
              <w:spacing w:line="360" w:lineRule="auto"/>
              <w:rPr>
                <w:rFonts w:ascii="宋体"/>
                <w:sz w:val="21"/>
                <w:szCs w:val="21"/>
                <w:lang w:eastAsia="zh-CN"/>
              </w:rPr>
            </w:pPr>
            <w:r>
              <w:rPr>
                <w:rFonts w:hint="eastAsia" w:ascii="宋体" w:hAnsi="宋体"/>
                <w:sz w:val="21"/>
                <w:szCs w:val="21"/>
                <w:lang w:eastAsia="zh-CN"/>
              </w:rPr>
              <w:t>售后服务必须响应及时，要求设备出现须厂家维修的故障后，应在2</w:t>
            </w:r>
            <w:r>
              <w:rPr>
                <w:rFonts w:ascii="宋体" w:hAnsi="宋体"/>
                <w:sz w:val="21"/>
                <w:szCs w:val="21"/>
                <w:lang w:eastAsia="zh-CN"/>
              </w:rPr>
              <w:t>4</w:t>
            </w:r>
            <w:r>
              <w:rPr>
                <w:rFonts w:hint="eastAsia" w:ascii="宋体" w:hAnsi="宋体"/>
                <w:sz w:val="21"/>
                <w:szCs w:val="21"/>
                <w:lang w:eastAsia="zh-CN"/>
              </w:rPr>
              <w:t>小时工作日内明确答复，当电话沟通无法解决时，须48小时工作日内派人至现场解决。</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56" w:edGrp="everyone"/>
          </w:p>
        </w:tc>
        <w:tc>
          <w:tcPr>
            <w:tcW w:w="7122" w:type="dxa"/>
            <w:shd w:val="clear" w:color="auto" w:fill="auto"/>
            <w:vAlign w:val="center"/>
          </w:tcPr>
          <w:p>
            <w:pPr>
              <w:pStyle w:val="7"/>
              <w:spacing w:line="360" w:lineRule="auto"/>
              <w:rPr>
                <w:rFonts w:ascii="宋体" w:hAnsi="宋体"/>
                <w:color w:val="000000"/>
                <w:sz w:val="21"/>
                <w:szCs w:val="21"/>
                <w:lang w:eastAsia="zh-CN"/>
              </w:rPr>
            </w:pPr>
            <w:r>
              <w:rPr>
                <w:rFonts w:hint="eastAsia" w:ascii="宋体" w:hAnsi="宋体"/>
                <w:sz w:val="21"/>
                <w:szCs w:val="21"/>
                <w:lang w:eastAsia="zh-CN"/>
              </w:rPr>
              <w:t>一年免费保修期后，厂家应终生提供及时的维修、维护，厂家应定期回访，解决设备运行当中可能出现的疑问，排除潜在故障，使设备保持良好工作状态。</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57" w:edGrp="everyone"/>
          </w:p>
        </w:tc>
        <w:tc>
          <w:tcPr>
            <w:tcW w:w="7122" w:type="dxa"/>
            <w:shd w:val="clear" w:color="auto" w:fill="auto"/>
            <w:vAlign w:val="center"/>
          </w:tcPr>
          <w:p>
            <w:pPr>
              <w:pStyle w:val="7"/>
              <w:spacing w:line="360" w:lineRule="auto"/>
              <w:rPr>
                <w:rFonts w:ascii="宋体" w:hAnsi="宋体"/>
                <w:sz w:val="21"/>
                <w:szCs w:val="21"/>
                <w:lang w:eastAsia="zh-CN"/>
              </w:rPr>
            </w:pPr>
            <w:r>
              <w:rPr>
                <w:rFonts w:hint="eastAsia" w:ascii="宋体" w:hAnsi="宋体"/>
                <w:color w:val="000000"/>
                <w:sz w:val="21"/>
                <w:szCs w:val="21"/>
                <w:lang w:eastAsia="zh-CN"/>
              </w:rPr>
              <w:t>厂家应提供合格的备件，用于设备相应部件的维修、更换。</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ermStart w:id="58" w:edGrp="everyone"/>
            <w:permEnd w:id="58"/>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59" w:edGrp="everyone"/>
          </w:p>
        </w:tc>
        <w:tc>
          <w:tcPr>
            <w:tcW w:w="7122" w:type="dxa"/>
            <w:shd w:val="clear" w:color="auto" w:fill="auto"/>
            <w:vAlign w:val="center"/>
          </w:tcPr>
          <w:p>
            <w:pPr>
              <w:pStyle w:val="7"/>
              <w:spacing w:line="360" w:lineRule="auto"/>
              <w:rPr>
                <w:rFonts w:ascii="宋体" w:hAnsi="宋体"/>
                <w:color w:val="000000"/>
                <w:sz w:val="21"/>
                <w:szCs w:val="21"/>
                <w:lang w:eastAsia="zh-CN"/>
              </w:rPr>
            </w:pPr>
            <w:r>
              <w:rPr>
                <w:rFonts w:hint="eastAsia" w:ascii="宋体" w:hAnsi="宋体"/>
                <w:sz w:val="21"/>
                <w:szCs w:val="21"/>
                <w:lang w:eastAsia="zh-CN"/>
              </w:rPr>
              <w:t>货物到达买方使用现场后，由买卖双方共同验收，卖方工程师免费为买房提供调试。</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60" w:edGrp="everyone"/>
          </w:p>
        </w:tc>
        <w:tc>
          <w:tcPr>
            <w:tcW w:w="7122" w:type="dxa"/>
            <w:shd w:val="clear" w:color="auto" w:fill="auto"/>
            <w:vAlign w:val="center"/>
          </w:tcPr>
          <w:p>
            <w:pPr>
              <w:spacing w:line="276" w:lineRule="auto"/>
              <w:jc w:val="both"/>
              <w:rPr>
                <w:szCs w:val="21"/>
                <w:lang w:eastAsia="zh-CN"/>
              </w:rPr>
            </w:pPr>
            <w:r>
              <w:rPr>
                <w:rFonts w:hint="eastAsia" w:ascii="宋体" w:hAnsi="宋体"/>
                <w:szCs w:val="21"/>
                <w:lang w:eastAsia="zh-CN"/>
              </w:rPr>
              <w:t>供应商进厂施工需遵守安全和施工规定。</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61" w:edGrp="everyone"/>
          </w:p>
        </w:tc>
        <w:tc>
          <w:tcPr>
            <w:tcW w:w="7122" w:type="dxa"/>
            <w:shd w:val="clear" w:color="auto" w:fill="auto"/>
            <w:vAlign w:val="center"/>
          </w:tcPr>
          <w:p>
            <w:pPr>
              <w:pStyle w:val="7"/>
              <w:spacing w:line="360" w:lineRule="auto"/>
              <w:rPr>
                <w:rFonts w:ascii="宋体" w:hAnsi="宋体"/>
                <w:color w:val="000000"/>
                <w:sz w:val="21"/>
                <w:szCs w:val="21"/>
                <w:lang w:eastAsia="zh-CN"/>
              </w:rPr>
            </w:pPr>
            <w:r>
              <w:rPr>
                <w:rFonts w:hint="eastAsia" w:ascii="宋体" w:hAnsi="宋体"/>
                <w:sz w:val="21"/>
                <w:szCs w:val="21"/>
                <w:lang w:eastAsia="zh-CN"/>
              </w:rPr>
              <w:t>确认验收合格后，买卖双方签订验收报告。</w:t>
            </w:r>
          </w:p>
        </w:tc>
        <w:tc>
          <w:tcPr>
            <w:tcW w:w="2128"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61"/>
    </w:tbl>
    <w:p/>
    <w:p>
      <w:pPr>
        <w:pStyle w:val="31"/>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color w:val="000000" w:themeColor="text1"/>
          <w:szCs w:val="21"/>
          <w:lang w:eastAsia="zh-CN"/>
          <w14:textFill>
            <w14:solidFill>
              <w14:schemeClr w14:val="tx1"/>
            </w14:solidFill>
          </w14:textFill>
        </w:rPr>
      </w:pPr>
      <w:permStart w:id="62" w:edGrp="everyone"/>
      <w:r>
        <w:rPr>
          <w:rFonts w:hint="eastAsia"/>
          <w:color w:val="000000" w:themeColor="text1"/>
          <w:szCs w:val="21"/>
          <w:lang w:eastAsia="zh-CN"/>
          <w14:textFill>
            <w14:solidFill>
              <w14:schemeClr w14:val="tx1"/>
            </w14:solidFill>
          </w14:textFill>
        </w:rPr>
        <w:t>不适用</w:t>
      </w:r>
      <w:permEnd w:id="62"/>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208"/>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D7D"/>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00AC"/>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5FDC"/>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4A86"/>
    <w:rsid w:val="0033695C"/>
    <w:rsid w:val="00341B2F"/>
    <w:rsid w:val="00342915"/>
    <w:rsid w:val="00342B5F"/>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290E"/>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3B6C"/>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C6DB6"/>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60FB"/>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2E43"/>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6838"/>
    <w:rsid w:val="00667045"/>
    <w:rsid w:val="00670A00"/>
    <w:rsid w:val="00670C23"/>
    <w:rsid w:val="00672B86"/>
    <w:rsid w:val="00673031"/>
    <w:rsid w:val="00673EB3"/>
    <w:rsid w:val="00680BE8"/>
    <w:rsid w:val="00683BBC"/>
    <w:rsid w:val="00686409"/>
    <w:rsid w:val="00686D19"/>
    <w:rsid w:val="0068777F"/>
    <w:rsid w:val="00691F9A"/>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0968"/>
    <w:rsid w:val="0075142F"/>
    <w:rsid w:val="00751965"/>
    <w:rsid w:val="007524EF"/>
    <w:rsid w:val="00752689"/>
    <w:rsid w:val="00756D1D"/>
    <w:rsid w:val="00760886"/>
    <w:rsid w:val="007615CA"/>
    <w:rsid w:val="00761ADD"/>
    <w:rsid w:val="00762B3A"/>
    <w:rsid w:val="00762B64"/>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2DB6"/>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6D40"/>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3061"/>
    <w:rsid w:val="008D41F5"/>
    <w:rsid w:val="008D521F"/>
    <w:rsid w:val="008D5C06"/>
    <w:rsid w:val="008D6227"/>
    <w:rsid w:val="008D72ED"/>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6CCF"/>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446"/>
    <w:rsid w:val="00A0297B"/>
    <w:rsid w:val="00A0358E"/>
    <w:rsid w:val="00A049F9"/>
    <w:rsid w:val="00A0529B"/>
    <w:rsid w:val="00A0766F"/>
    <w:rsid w:val="00A10713"/>
    <w:rsid w:val="00A1252C"/>
    <w:rsid w:val="00A13B8B"/>
    <w:rsid w:val="00A151B7"/>
    <w:rsid w:val="00A17A24"/>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4A53"/>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C70AA"/>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35AD"/>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019"/>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26B2"/>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4401"/>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F05BEA"/>
    <w:rsid w:val="0C265A37"/>
    <w:rsid w:val="14425DBD"/>
    <w:rsid w:val="1C2C5965"/>
    <w:rsid w:val="34B56E7A"/>
    <w:rsid w:val="44926655"/>
    <w:rsid w:val="5ACB3D3B"/>
    <w:rsid w:val="5CD40947"/>
    <w:rsid w:val="604152BF"/>
    <w:rsid w:val="702D05A6"/>
    <w:rsid w:val="7BC54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uiPriority w:val="0"/>
    <w:pPr>
      <w:spacing w:after="120"/>
    </w:pPr>
    <w:rPr>
      <w:sz w:val="16"/>
      <w:szCs w:val="16"/>
    </w:rPr>
  </w:style>
  <w:style w:type="paragraph" w:styleId="8">
    <w:name w:val="Body Text"/>
    <w:basedOn w:val="1"/>
    <w:uiPriority w:val="0"/>
    <w:pPr>
      <w:ind w:right="56"/>
    </w:pPr>
    <w:rPr>
      <w:b/>
      <w:sz w:val="22"/>
    </w:rPr>
  </w:style>
  <w:style w:type="paragraph" w:styleId="9">
    <w:name w:val="Body Text Indent"/>
    <w:basedOn w:val="1"/>
    <w:uiPriority w:val="0"/>
    <w:pPr>
      <w:spacing w:after="120"/>
      <w:ind w:left="420" w:leftChars="200"/>
    </w:pPr>
  </w:style>
  <w:style w:type="paragraph" w:styleId="10">
    <w:name w:val="toc 3"/>
    <w:basedOn w:val="1"/>
    <w:next w:val="1"/>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uiPriority w:val="0"/>
  </w:style>
  <w:style w:type="character" w:customStyle="1" w:styleId="43">
    <w:name w:val="apple-converted-space"/>
    <w:basedOn w:val="21"/>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11</Pages>
  <Words>688</Words>
  <Characters>3925</Characters>
  <Lines>32</Lines>
  <Paragraphs>9</Paragraphs>
  <TotalTime>9</TotalTime>
  <ScaleCrop>false</ScaleCrop>
  <LinksUpToDate>false</LinksUpToDate>
  <CharactersWithSpaces>4604</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2020-05-13T05:05:00Z</dcterms:created>
  <dc:creator>Lilly</dc:creator>
  <cp:lastModifiedBy>Administrator</cp:lastModifiedBy>
  <cp:lastPrinted>2017-06-22T01:53:00Z</cp:lastPrinted>
  <dcterms:modified xsi:type="dcterms:W3CDTF">2022-04-18T08:09:14Z</dcterms:modified>
  <dc:title>生效期：</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403F4E38C6C64006BE7F42B8F0F4894C</vt:lpwstr>
  </property>
</Properties>
</file>