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lang w:eastAsia="zh-CN"/>
        </w:rPr>
      </w:pPr>
      <w:bookmarkStart w:id="0" w:name="_Toc484532399"/>
      <w:bookmarkStart w:id="1" w:name="_Toc483400307"/>
      <w:bookmarkStart w:id="2" w:name="_Toc483227223"/>
      <w:bookmarkStart w:id="3" w:name="_Toc483666358"/>
      <w:bookmarkStart w:id="4" w:name="_Toc482717189"/>
    </w:p>
    <w:p>
      <w:pPr>
        <w:spacing w:after="158" w:afterLines="50"/>
        <w:jc w:val="center"/>
        <w:rPr>
          <w:b/>
          <w:szCs w:val="21"/>
          <w:highlight w:val="none"/>
          <w:lang w:eastAsia="zh-CN"/>
        </w:rPr>
      </w:pPr>
      <w:permStart w:id="0" w:edGrp="everyone"/>
      <w:r>
        <w:rPr>
          <w:rFonts w:hint="eastAsia"/>
          <w:b/>
          <w:sz w:val="28"/>
          <w:szCs w:val="28"/>
          <w:highlight w:val="none"/>
          <w:lang w:eastAsia="zh-CN"/>
        </w:rPr>
        <w:t>研发中心分装中试车间西林瓶粒子及微生物在线监测系统</w:t>
      </w:r>
      <w:permEnd w:id="0"/>
      <w:r>
        <w:rPr>
          <w:rFonts w:hint="eastAsia"/>
          <w:b/>
          <w:sz w:val="28"/>
          <w:szCs w:val="28"/>
          <w:highlight w:val="none"/>
          <w:lang w:eastAsia="zh-CN"/>
        </w:rPr>
        <w:t>用户需求说明（</w:t>
      </w:r>
      <w:r>
        <w:rPr>
          <w:b/>
          <w:sz w:val="28"/>
          <w:szCs w:val="28"/>
          <w:highlight w:val="none"/>
          <w:lang w:eastAsia="zh-CN"/>
        </w:rPr>
        <w:t>URS</w:t>
      </w:r>
      <w:r>
        <w:rPr>
          <w:rFonts w:hint="eastAsia"/>
          <w:b/>
          <w:szCs w:val="21"/>
          <w:highlight w:val="none"/>
          <w:lang w:eastAsia="zh-CN"/>
        </w:rPr>
        <w:t>）</w:t>
      </w:r>
      <w:bookmarkEnd w:id="0"/>
      <w:bookmarkEnd w:id="1"/>
      <w:bookmarkEnd w:id="2"/>
      <w:bookmarkEnd w:id="3"/>
      <w:bookmarkEnd w:id="4"/>
    </w:p>
    <w:p>
      <w:pPr>
        <w:pStyle w:val="45"/>
        <w:keepNext w:val="0"/>
        <w:keepLines w:val="0"/>
        <w:widowControl w:val="0"/>
        <w:spacing w:after="158" w:afterLines="50" w:line="240" w:lineRule="auto"/>
        <w:jc w:val="center"/>
        <w:rPr>
          <w:sz w:val="21"/>
          <w:szCs w:val="21"/>
          <w:highlight w:val="none"/>
          <w:lang w:val="zh-CN" w:eastAsia="zh-CN"/>
        </w:rPr>
      </w:pPr>
      <w:r>
        <w:rPr>
          <w:rFonts w:hint="eastAsia"/>
          <w:sz w:val="21"/>
          <w:szCs w:val="21"/>
          <w:highlight w:val="none"/>
          <w:lang w:val="zh-CN" w:eastAsia="zh-CN"/>
        </w:rPr>
        <w:t>目录</w:t>
      </w:r>
      <w:r>
        <w:rPr>
          <w:sz w:val="21"/>
          <w:szCs w:val="21"/>
          <w:highlight w:val="none"/>
          <w:lang w:val="zh-CN" w:eastAsia="zh-CN"/>
        </w:rPr>
        <w:t xml:space="preserve"> </w:t>
      </w:r>
    </w:p>
    <w:p>
      <w:pPr>
        <w:rPr>
          <w:i/>
          <w:color w:val="00B0F0"/>
          <w:highlight w:val="none"/>
          <w:lang w:val="zh-CN" w:eastAsia="zh-CN"/>
        </w:rPr>
      </w:pPr>
      <w:permStart w:id="1" w:edGrp="everyone"/>
    </w:p>
    <w:p>
      <w:pPr>
        <w:pStyle w:val="15"/>
        <w:rPr>
          <w:b w:val="0"/>
          <w:bCs w:val="0"/>
          <w:caps w:val="0"/>
          <w:szCs w:val="22"/>
          <w:highlight w:val="none"/>
        </w:rPr>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"_Toc522716114" </w:instrText>
      </w:r>
      <w:r>
        <w:rPr>
          <w:highlight w:val="none"/>
        </w:rPr>
        <w:fldChar w:fldCharType="separate"/>
      </w:r>
      <w:r>
        <w:rPr>
          <w:rStyle w:val="23"/>
          <w:rFonts w:hint="eastAsia"/>
          <w:highlight w:val="none"/>
        </w:rPr>
        <w:t>修订历史</w:t>
      </w:r>
      <w:r>
        <w:rPr>
          <w:highlight w:val="none"/>
        </w:rPr>
        <w:tab/>
      </w:r>
      <w:r>
        <w:rPr>
          <w:highlight w:val="none"/>
        </w:rPr>
        <w:fldChar w:fldCharType="begin"/>
      </w:r>
      <w:r>
        <w:rPr>
          <w:highlight w:val="none"/>
        </w:rPr>
        <w:instrText xml:space="preserve"> PAGEREF _Toc522716114 \h </w:instrText>
      </w:r>
      <w:r>
        <w:rPr>
          <w:highlight w:val="none"/>
        </w:rPr>
        <w:fldChar w:fldCharType="separate"/>
      </w:r>
      <w:r>
        <w:rPr>
          <w:highlight w:val="none"/>
        </w:rPr>
        <w:t>3</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"_Toc522716115" </w:instrText>
      </w:r>
      <w:r>
        <w:rPr>
          <w:highlight w:val="none"/>
        </w:rPr>
        <w:fldChar w:fldCharType="separate"/>
      </w:r>
      <w:r>
        <w:rPr>
          <w:rStyle w:val="23"/>
          <w:highlight w:val="none"/>
        </w:rPr>
        <w:t>1</w:t>
      </w:r>
      <w:r>
        <w:rPr>
          <w:b w:val="0"/>
          <w:bCs w:val="0"/>
          <w:caps w:val="0"/>
          <w:szCs w:val="22"/>
          <w:highlight w:val="none"/>
        </w:rPr>
        <w:tab/>
      </w:r>
      <w:r>
        <w:rPr>
          <w:rStyle w:val="23"/>
          <w:rFonts w:hint="eastAsia"/>
          <w:highlight w:val="none"/>
        </w:rPr>
        <w:t>目的</w:t>
      </w:r>
      <w:r>
        <w:rPr>
          <w:highlight w:val="none"/>
        </w:rPr>
        <w:tab/>
      </w:r>
      <w:r>
        <w:rPr>
          <w:highlight w:val="none"/>
        </w:rPr>
        <w:fldChar w:fldCharType="begin"/>
      </w:r>
      <w:r>
        <w:rPr>
          <w:highlight w:val="none"/>
        </w:rPr>
        <w:instrText xml:space="preserve"> PAGEREF _Toc522716115 \h </w:instrText>
      </w:r>
      <w:r>
        <w:rPr>
          <w:highlight w:val="none"/>
        </w:rPr>
        <w:fldChar w:fldCharType="separate"/>
      </w:r>
      <w:r>
        <w:rPr>
          <w:highlight w:val="none"/>
        </w:rPr>
        <w:t>4</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"_Toc522716116" </w:instrText>
      </w:r>
      <w:r>
        <w:rPr>
          <w:highlight w:val="none"/>
        </w:rPr>
        <w:fldChar w:fldCharType="separate"/>
      </w:r>
      <w:r>
        <w:rPr>
          <w:rStyle w:val="23"/>
          <w:highlight w:val="none"/>
        </w:rPr>
        <w:t>2</w:t>
      </w:r>
      <w:r>
        <w:rPr>
          <w:b w:val="0"/>
          <w:bCs w:val="0"/>
          <w:caps w:val="0"/>
          <w:szCs w:val="22"/>
          <w:highlight w:val="none"/>
        </w:rPr>
        <w:tab/>
      </w:r>
      <w:r>
        <w:rPr>
          <w:rStyle w:val="23"/>
          <w:rFonts w:hint="eastAsia"/>
          <w:highlight w:val="none"/>
        </w:rPr>
        <w:t>范围</w:t>
      </w:r>
      <w:r>
        <w:rPr>
          <w:highlight w:val="none"/>
        </w:rPr>
        <w:tab/>
      </w:r>
      <w:r>
        <w:rPr>
          <w:highlight w:val="none"/>
        </w:rPr>
        <w:fldChar w:fldCharType="begin"/>
      </w:r>
      <w:r>
        <w:rPr>
          <w:highlight w:val="none"/>
        </w:rPr>
        <w:instrText xml:space="preserve"> PAGEREF _Toc522716116 \h </w:instrText>
      </w:r>
      <w:r>
        <w:rPr>
          <w:highlight w:val="none"/>
        </w:rPr>
        <w:fldChar w:fldCharType="separate"/>
      </w:r>
      <w:r>
        <w:rPr>
          <w:highlight w:val="none"/>
        </w:rPr>
        <w:t>4</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"_Toc522716117" </w:instrText>
      </w:r>
      <w:r>
        <w:rPr>
          <w:highlight w:val="none"/>
        </w:rPr>
        <w:fldChar w:fldCharType="separate"/>
      </w:r>
      <w:r>
        <w:rPr>
          <w:rStyle w:val="23"/>
          <w:highlight w:val="none"/>
        </w:rPr>
        <w:t>3</w:t>
      </w:r>
      <w:r>
        <w:rPr>
          <w:b w:val="0"/>
          <w:bCs w:val="0"/>
          <w:caps w:val="0"/>
          <w:szCs w:val="22"/>
          <w:highlight w:val="none"/>
        </w:rPr>
        <w:tab/>
      </w:r>
      <w:r>
        <w:rPr>
          <w:rStyle w:val="23"/>
          <w:rFonts w:hint="eastAsia"/>
          <w:highlight w:val="none"/>
        </w:rPr>
        <w:t>参考文件</w:t>
      </w:r>
      <w:r>
        <w:rPr>
          <w:highlight w:val="none"/>
        </w:rPr>
        <w:tab/>
      </w:r>
      <w:r>
        <w:rPr>
          <w:highlight w:val="none"/>
        </w:rPr>
        <w:fldChar w:fldCharType="begin"/>
      </w:r>
      <w:r>
        <w:rPr>
          <w:highlight w:val="none"/>
        </w:rPr>
        <w:instrText xml:space="preserve"> PAGEREF _Toc522716117 \h </w:instrText>
      </w:r>
      <w:r>
        <w:rPr>
          <w:highlight w:val="none"/>
        </w:rPr>
        <w:fldChar w:fldCharType="separate"/>
      </w:r>
      <w:r>
        <w:rPr>
          <w:highlight w:val="none"/>
        </w:rPr>
        <w:t>4</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"_Toc522716118" </w:instrText>
      </w:r>
      <w:r>
        <w:rPr>
          <w:highlight w:val="none"/>
        </w:rPr>
        <w:fldChar w:fldCharType="separate"/>
      </w:r>
      <w:r>
        <w:rPr>
          <w:rStyle w:val="23"/>
          <w:highlight w:val="none"/>
        </w:rPr>
        <w:t>4</w:t>
      </w:r>
      <w:r>
        <w:rPr>
          <w:b w:val="0"/>
          <w:bCs w:val="0"/>
          <w:caps w:val="0"/>
          <w:szCs w:val="22"/>
          <w:highlight w:val="none"/>
        </w:rPr>
        <w:tab/>
      </w:r>
      <w:r>
        <w:rPr>
          <w:rStyle w:val="23"/>
          <w:rFonts w:hint="eastAsia"/>
          <w:highlight w:val="none"/>
        </w:rPr>
        <w:t>职责</w:t>
      </w:r>
      <w:r>
        <w:rPr>
          <w:highlight w:val="none"/>
        </w:rPr>
        <w:tab/>
      </w:r>
      <w:r>
        <w:rPr>
          <w:highlight w:val="none"/>
        </w:rPr>
        <w:fldChar w:fldCharType="begin"/>
      </w:r>
      <w:r>
        <w:rPr>
          <w:highlight w:val="none"/>
        </w:rPr>
        <w:instrText xml:space="preserve"> PAGEREF _Toc522716118 \h </w:instrText>
      </w:r>
      <w:r>
        <w:rPr>
          <w:highlight w:val="none"/>
        </w:rPr>
        <w:fldChar w:fldCharType="separate"/>
      </w:r>
      <w:r>
        <w:rPr>
          <w:highlight w:val="none"/>
        </w:rPr>
        <w:t>5</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"_Toc522716119" </w:instrText>
      </w:r>
      <w:r>
        <w:rPr>
          <w:highlight w:val="none"/>
        </w:rPr>
        <w:fldChar w:fldCharType="separate"/>
      </w:r>
      <w:r>
        <w:rPr>
          <w:rStyle w:val="23"/>
          <w:highlight w:val="none"/>
        </w:rPr>
        <w:t>5</w:t>
      </w:r>
      <w:r>
        <w:rPr>
          <w:b w:val="0"/>
          <w:bCs w:val="0"/>
          <w:caps w:val="0"/>
          <w:szCs w:val="22"/>
          <w:highlight w:val="none"/>
        </w:rPr>
        <w:tab/>
      </w:r>
      <w:r>
        <w:rPr>
          <w:rStyle w:val="23"/>
          <w:rFonts w:hint="eastAsia"/>
          <w:highlight w:val="none"/>
        </w:rPr>
        <w:t>系统描述</w:t>
      </w:r>
      <w:r>
        <w:rPr>
          <w:highlight w:val="none"/>
        </w:rPr>
        <w:tab/>
      </w:r>
      <w:r>
        <w:rPr>
          <w:highlight w:val="none"/>
        </w:rPr>
        <w:fldChar w:fldCharType="begin"/>
      </w:r>
      <w:r>
        <w:rPr>
          <w:highlight w:val="none"/>
        </w:rPr>
        <w:instrText xml:space="preserve"> PAGEREF _Toc522716119 \h </w:instrText>
      </w:r>
      <w:r>
        <w:rPr>
          <w:highlight w:val="none"/>
        </w:rPr>
        <w:fldChar w:fldCharType="separate"/>
      </w:r>
      <w:r>
        <w:rPr>
          <w:highlight w:val="none"/>
        </w:rPr>
        <w:t>5</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"_Toc522716120" </w:instrText>
      </w:r>
      <w:r>
        <w:rPr>
          <w:highlight w:val="none"/>
        </w:rPr>
        <w:fldChar w:fldCharType="separate"/>
      </w:r>
      <w:r>
        <w:rPr>
          <w:rStyle w:val="23"/>
          <w:highlight w:val="none"/>
        </w:rPr>
        <w:t>6</w:t>
      </w:r>
      <w:r>
        <w:rPr>
          <w:b w:val="0"/>
          <w:bCs w:val="0"/>
          <w:caps w:val="0"/>
          <w:szCs w:val="22"/>
          <w:highlight w:val="none"/>
        </w:rPr>
        <w:tab/>
      </w:r>
      <w:r>
        <w:rPr>
          <w:rStyle w:val="23"/>
          <w:rFonts w:hint="eastAsia"/>
          <w:highlight w:val="none"/>
        </w:rPr>
        <w:t>安装要求</w:t>
      </w:r>
      <w:r>
        <w:rPr>
          <w:highlight w:val="none"/>
        </w:rPr>
        <w:tab/>
      </w:r>
      <w:r>
        <w:rPr>
          <w:highlight w:val="none"/>
        </w:rPr>
        <w:fldChar w:fldCharType="begin"/>
      </w:r>
      <w:r>
        <w:rPr>
          <w:highlight w:val="none"/>
        </w:rPr>
        <w:instrText xml:space="preserve"> PAGEREF _Toc522716120 \h </w:instrText>
      </w:r>
      <w:r>
        <w:rPr>
          <w:highlight w:val="none"/>
        </w:rPr>
        <w:fldChar w:fldCharType="separate"/>
      </w:r>
      <w:r>
        <w:rPr>
          <w:highlight w:val="none"/>
        </w:rPr>
        <w:t>6</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"_Toc522716121" </w:instrText>
      </w:r>
      <w:r>
        <w:rPr>
          <w:highlight w:val="none"/>
        </w:rPr>
        <w:fldChar w:fldCharType="separate"/>
      </w:r>
      <w:r>
        <w:rPr>
          <w:rStyle w:val="23"/>
          <w:highlight w:val="none"/>
        </w:rPr>
        <w:t>7</w:t>
      </w:r>
      <w:r>
        <w:rPr>
          <w:b w:val="0"/>
          <w:bCs w:val="0"/>
          <w:caps w:val="0"/>
          <w:szCs w:val="22"/>
          <w:highlight w:val="none"/>
        </w:rPr>
        <w:tab/>
      </w:r>
      <w:r>
        <w:rPr>
          <w:rStyle w:val="23"/>
          <w:rFonts w:hint="eastAsia"/>
          <w:highlight w:val="none"/>
        </w:rPr>
        <w:t>运行要求</w:t>
      </w:r>
      <w:r>
        <w:rPr>
          <w:highlight w:val="none"/>
        </w:rPr>
        <w:tab/>
      </w:r>
      <w:r>
        <w:rPr>
          <w:highlight w:val="none"/>
        </w:rPr>
        <w:fldChar w:fldCharType="begin"/>
      </w:r>
      <w:r>
        <w:rPr>
          <w:highlight w:val="none"/>
        </w:rPr>
        <w:instrText xml:space="preserve"> PAGEREF _Toc522716121 \h </w:instrText>
      </w:r>
      <w:r>
        <w:rPr>
          <w:highlight w:val="none"/>
        </w:rPr>
        <w:fldChar w:fldCharType="separate"/>
      </w:r>
      <w:r>
        <w:rPr>
          <w:highlight w:val="none"/>
        </w:rPr>
        <w:t>8</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"_Toc522716122" </w:instrText>
      </w:r>
      <w:r>
        <w:rPr>
          <w:highlight w:val="none"/>
        </w:rPr>
        <w:fldChar w:fldCharType="separate"/>
      </w:r>
      <w:r>
        <w:rPr>
          <w:rStyle w:val="23"/>
          <w:highlight w:val="none"/>
        </w:rPr>
        <w:t>8</w:t>
      </w:r>
      <w:r>
        <w:rPr>
          <w:b w:val="0"/>
          <w:bCs w:val="0"/>
          <w:caps w:val="0"/>
          <w:szCs w:val="22"/>
          <w:highlight w:val="none"/>
        </w:rPr>
        <w:tab/>
      </w:r>
      <w:r>
        <w:rPr>
          <w:rStyle w:val="23"/>
          <w:rFonts w:hint="eastAsia"/>
          <w:highlight w:val="none"/>
        </w:rPr>
        <w:t>电气、自动控制要求</w:t>
      </w:r>
      <w:r>
        <w:rPr>
          <w:highlight w:val="none"/>
        </w:rPr>
        <w:tab/>
      </w:r>
      <w:r>
        <w:rPr>
          <w:highlight w:val="none"/>
        </w:rPr>
        <w:fldChar w:fldCharType="begin"/>
      </w:r>
      <w:r>
        <w:rPr>
          <w:highlight w:val="none"/>
        </w:rPr>
        <w:instrText xml:space="preserve"> PAGEREF _Toc522716122 \h </w:instrText>
      </w:r>
      <w:r>
        <w:rPr>
          <w:highlight w:val="none"/>
        </w:rPr>
        <w:fldChar w:fldCharType="separate"/>
      </w:r>
      <w:r>
        <w:rPr>
          <w:highlight w:val="none"/>
        </w:rPr>
        <w:t>10</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"_Toc522716123" </w:instrText>
      </w:r>
      <w:r>
        <w:rPr>
          <w:highlight w:val="none"/>
        </w:rPr>
        <w:fldChar w:fldCharType="separate"/>
      </w:r>
      <w:r>
        <w:rPr>
          <w:rStyle w:val="23"/>
          <w:highlight w:val="none"/>
        </w:rPr>
        <w:t>9</w:t>
      </w:r>
      <w:r>
        <w:rPr>
          <w:b w:val="0"/>
          <w:bCs w:val="0"/>
          <w:caps w:val="0"/>
          <w:szCs w:val="22"/>
          <w:highlight w:val="none"/>
        </w:rPr>
        <w:tab/>
      </w:r>
      <w:r>
        <w:rPr>
          <w:rStyle w:val="23"/>
          <w:rFonts w:hint="eastAsia"/>
          <w:highlight w:val="none"/>
        </w:rPr>
        <w:t>安全要求</w:t>
      </w:r>
      <w:r>
        <w:rPr>
          <w:highlight w:val="none"/>
        </w:rPr>
        <w:tab/>
      </w:r>
      <w:r>
        <w:rPr>
          <w:highlight w:val="none"/>
        </w:rPr>
        <w:fldChar w:fldCharType="begin"/>
      </w:r>
      <w:r>
        <w:rPr>
          <w:highlight w:val="none"/>
        </w:rPr>
        <w:instrText xml:space="preserve"> PAGEREF _Toc522716123 \h </w:instrText>
      </w:r>
      <w:r>
        <w:rPr>
          <w:highlight w:val="none"/>
        </w:rPr>
        <w:fldChar w:fldCharType="separate"/>
      </w:r>
      <w:r>
        <w:rPr>
          <w:highlight w:val="none"/>
        </w:rPr>
        <w:t>15</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"_Toc522716124" </w:instrText>
      </w:r>
      <w:r>
        <w:rPr>
          <w:highlight w:val="none"/>
        </w:rPr>
        <w:fldChar w:fldCharType="separate"/>
      </w:r>
      <w:r>
        <w:rPr>
          <w:rStyle w:val="23"/>
          <w:highlight w:val="none"/>
        </w:rPr>
        <w:t>10</w:t>
      </w:r>
      <w:r>
        <w:rPr>
          <w:b w:val="0"/>
          <w:bCs w:val="0"/>
          <w:caps w:val="0"/>
          <w:szCs w:val="22"/>
          <w:highlight w:val="none"/>
        </w:rPr>
        <w:tab/>
      </w:r>
      <w:r>
        <w:rPr>
          <w:rStyle w:val="23"/>
          <w:rFonts w:hint="eastAsia"/>
          <w:highlight w:val="none"/>
        </w:rPr>
        <w:t>文件要求</w:t>
      </w:r>
      <w:r>
        <w:rPr>
          <w:highlight w:val="none"/>
        </w:rPr>
        <w:tab/>
      </w:r>
      <w:r>
        <w:rPr>
          <w:highlight w:val="none"/>
        </w:rPr>
        <w:fldChar w:fldCharType="begin"/>
      </w:r>
      <w:r>
        <w:rPr>
          <w:highlight w:val="none"/>
        </w:rPr>
        <w:instrText xml:space="preserve"> PAGEREF _Toc522716124 \h </w:instrText>
      </w:r>
      <w:r>
        <w:rPr>
          <w:highlight w:val="none"/>
        </w:rPr>
        <w:fldChar w:fldCharType="separate"/>
      </w:r>
      <w:r>
        <w:rPr>
          <w:highlight w:val="none"/>
        </w:rPr>
        <w:t>15</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"_Toc522716125" </w:instrText>
      </w:r>
      <w:r>
        <w:rPr>
          <w:highlight w:val="none"/>
        </w:rPr>
        <w:fldChar w:fldCharType="separate"/>
      </w:r>
      <w:r>
        <w:rPr>
          <w:rStyle w:val="23"/>
          <w:highlight w:val="none"/>
        </w:rPr>
        <w:t>11</w:t>
      </w:r>
      <w:r>
        <w:rPr>
          <w:b w:val="0"/>
          <w:bCs w:val="0"/>
          <w:caps w:val="0"/>
          <w:szCs w:val="22"/>
          <w:highlight w:val="none"/>
        </w:rPr>
        <w:tab/>
      </w:r>
      <w:r>
        <w:rPr>
          <w:rStyle w:val="23"/>
          <w:rFonts w:hint="eastAsia"/>
          <w:highlight w:val="none"/>
        </w:rPr>
        <w:t>服务要求</w:t>
      </w:r>
      <w:r>
        <w:rPr>
          <w:highlight w:val="none"/>
        </w:rPr>
        <w:tab/>
      </w:r>
      <w:r>
        <w:rPr>
          <w:highlight w:val="none"/>
        </w:rPr>
        <w:fldChar w:fldCharType="begin"/>
      </w:r>
      <w:r>
        <w:rPr>
          <w:highlight w:val="none"/>
        </w:rPr>
        <w:instrText xml:space="preserve"> PAGEREF _Toc522716125 \h </w:instrText>
      </w:r>
      <w:r>
        <w:rPr>
          <w:highlight w:val="none"/>
        </w:rPr>
        <w:fldChar w:fldCharType="separate"/>
      </w:r>
      <w:r>
        <w:rPr>
          <w:highlight w:val="none"/>
        </w:rPr>
        <w:t>17</w:t>
      </w:r>
      <w:r>
        <w:rPr>
          <w:highlight w:val="none"/>
        </w:rPr>
        <w:fldChar w:fldCharType="end"/>
      </w:r>
      <w:r>
        <w:rPr>
          <w:highlight w:val="none"/>
        </w:rPr>
        <w:fldChar w:fldCharType="end"/>
      </w:r>
    </w:p>
    <w:p>
      <w:pPr>
        <w:pStyle w:val="15"/>
        <w:rPr>
          <w:b w:val="0"/>
          <w:bCs w:val="0"/>
          <w:caps w:val="0"/>
          <w:szCs w:val="22"/>
          <w:highlight w:val="none"/>
        </w:rPr>
      </w:pPr>
      <w:r>
        <w:rPr>
          <w:highlight w:val="none"/>
        </w:rPr>
        <w:fldChar w:fldCharType="begin"/>
      </w:r>
      <w:r>
        <w:rPr>
          <w:highlight w:val="none"/>
        </w:rPr>
        <w:instrText xml:space="preserve"> HYPERLINK \l "_Toc522716126" </w:instrText>
      </w:r>
      <w:r>
        <w:rPr>
          <w:highlight w:val="none"/>
        </w:rPr>
        <w:fldChar w:fldCharType="separate"/>
      </w:r>
      <w:r>
        <w:rPr>
          <w:rStyle w:val="23"/>
          <w:highlight w:val="none"/>
        </w:rPr>
        <w:t>12</w:t>
      </w:r>
      <w:r>
        <w:rPr>
          <w:b w:val="0"/>
          <w:bCs w:val="0"/>
          <w:caps w:val="0"/>
          <w:szCs w:val="22"/>
          <w:highlight w:val="none"/>
        </w:rPr>
        <w:tab/>
      </w:r>
      <w:r>
        <w:rPr>
          <w:rStyle w:val="23"/>
          <w:rFonts w:hint="eastAsia"/>
          <w:highlight w:val="none"/>
        </w:rPr>
        <w:t>附件</w:t>
      </w:r>
      <w:r>
        <w:rPr>
          <w:highlight w:val="none"/>
        </w:rPr>
        <w:tab/>
      </w:r>
      <w:r>
        <w:rPr>
          <w:highlight w:val="none"/>
        </w:rPr>
        <w:fldChar w:fldCharType="begin"/>
      </w:r>
      <w:r>
        <w:rPr>
          <w:highlight w:val="none"/>
        </w:rPr>
        <w:instrText xml:space="preserve"> PAGEREF _Toc522716126 \h </w:instrText>
      </w:r>
      <w:r>
        <w:rPr>
          <w:highlight w:val="none"/>
        </w:rPr>
        <w:fldChar w:fldCharType="separate"/>
      </w:r>
      <w:r>
        <w:rPr>
          <w:highlight w:val="none"/>
        </w:rPr>
        <w:t>19</w:t>
      </w:r>
      <w:r>
        <w:rPr>
          <w:highlight w:val="none"/>
        </w:rPr>
        <w:fldChar w:fldCharType="end"/>
      </w:r>
      <w:r>
        <w:rPr>
          <w:highlight w:val="none"/>
        </w:rPr>
        <w:fldChar w:fldCharType="end"/>
      </w:r>
    </w:p>
    <w:p>
      <w:pPr>
        <w:rPr>
          <w:highlight w:val="none"/>
        </w:rPr>
      </w:pPr>
      <w:r>
        <w:rPr>
          <w:highlight w:val="none"/>
        </w:rPr>
        <w:fldChar w:fldCharType="end"/>
      </w:r>
      <w:permEnd w:id="1"/>
    </w:p>
    <w:p>
      <w:pPr>
        <w:rPr>
          <w:b/>
          <w:bCs/>
          <w:caps/>
          <w:kern w:val="2"/>
          <w:szCs w:val="21"/>
          <w:highlight w:val="none"/>
          <w:lang w:eastAsia="zh-CN"/>
        </w:rPr>
      </w:pPr>
      <w:r>
        <w:rPr>
          <w:b/>
          <w:bCs/>
          <w:caps/>
          <w:kern w:val="2"/>
          <w:szCs w:val="21"/>
          <w:highlight w:val="none"/>
          <w:lang w:eastAsia="zh-CN"/>
        </w:rPr>
        <w:br w:type="page"/>
      </w:r>
    </w:p>
    <w:p>
      <w:pPr>
        <w:pStyle w:val="44"/>
        <w:numPr>
          <w:ilvl w:val="0"/>
          <w:numId w:val="3"/>
        </w:numPr>
        <w:spacing w:after="158" w:afterLines="50"/>
        <w:ind w:left="426" w:hanging="426" w:hangingChars="202"/>
        <w:outlineLvl w:val="0"/>
        <w:rPr>
          <w:rFonts w:ascii="Times New Roman" w:hAnsi="Times New Roman"/>
          <w:b/>
          <w:highlight w:val="none"/>
        </w:rPr>
      </w:pPr>
      <w:bookmarkStart w:id="5" w:name="_Toc522107735"/>
      <w:bookmarkStart w:id="6" w:name="_Toc522716115"/>
      <w:r>
        <w:rPr>
          <w:rFonts w:hint="eastAsia" w:ascii="Times New Roman" w:hAnsi="Times New Roman"/>
          <w:b/>
          <w:highlight w:val="none"/>
        </w:rPr>
        <w:t>目的</w:t>
      </w:r>
      <w:bookmarkEnd w:id="5"/>
      <w:bookmarkEnd w:id="6"/>
    </w:p>
    <w:p>
      <w:pPr>
        <w:pStyle w:val="53"/>
        <w:spacing w:before="0" w:line="360" w:lineRule="auto"/>
        <w:ind w:left="357"/>
        <w:jc w:val="left"/>
        <w:rPr>
          <w:rFonts w:asciiTheme="minorEastAsia" w:hAnsiTheme="minorEastAsia" w:eastAsiaTheme="minorEastAsia"/>
          <w:sz w:val="21"/>
          <w:szCs w:val="21"/>
          <w:highlight w:val="none"/>
          <w:lang w:eastAsia="zh-CN"/>
        </w:rPr>
      </w:pPr>
      <w:bookmarkStart w:id="7" w:name="_Toc482369805"/>
      <w:bookmarkStart w:id="8" w:name="_Toc482359936"/>
      <w:bookmarkStart w:id="9" w:name="_Toc482370349"/>
      <w:bookmarkStart w:id="10" w:name="_Toc482370061"/>
      <w:bookmarkStart w:id="11" w:name="_Toc482370141"/>
      <w:bookmarkStart w:id="12" w:name="_Toc482625279"/>
      <w:bookmarkStart w:id="13" w:name="_Toc482360281"/>
      <w:bookmarkStart w:id="14" w:name="_Toc482370757"/>
      <w:bookmarkStart w:id="15" w:name="_Toc481702475"/>
      <w:r>
        <w:rPr>
          <w:rFonts w:hint="eastAsia" w:asciiTheme="minorEastAsia" w:hAnsiTheme="minorEastAsia" w:eastAsiaTheme="minorEastAsia"/>
          <w:sz w:val="21"/>
          <w:szCs w:val="21"/>
          <w:highlight w:val="none"/>
          <w:lang w:eastAsia="zh-CN"/>
        </w:rPr>
        <w:t>本文件的目的是描述武汉生物制品研究所有限责任公司</w:t>
      </w:r>
      <w:permStart w:id="2" w:edGrp="everyone"/>
      <w:r>
        <w:rPr>
          <w:rFonts w:hint="eastAsia" w:asciiTheme="minorEastAsia" w:hAnsiTheme="minorEastAsia" w:eastAsiaTheme="minorEastAsia"/>
          <w:sz w:val="21"/>
          <w:szCs w:val="21"/>
          <w:highlight w:val="none"/>
          <w:lang w:eastAsia="zh-CN"/>
        </w:rPr>
        <w:t>研发中心分装中试车间西林瓶粒子及微生物在线监测系统</w:t>
      </w:r>
      <w:permEnd w:id="2"/>
      <w:r>
        <w:rPr>
          <w:rFonts w:hint="eastAsia" w:asciiTheme="minorEastAsia" w:hAnsiTheme="minorEastAsia" w:eastAsiaTheme="minorEastAsia"/>
          <w:sz w:val="21"/>
          <w:szCs w:val="21"/>
          <w:highlight w:val="none"/>
          <w:lang w:eastAsia="zh-CN"/>
        </w:rPr>
        <w:t>的用户需求说明（</w:t>
      </w:r>
      <w:r>
        <w:rPr>
          <w:rFonts w:asciiTheme="minorEastAsia" w:hAnsiTheme="minorEastAsia" w:eastAsiaTheme="minorEastAsia"/>
          <w:sz w:val="21"/>
          <w:szCs w:val="21"/>
          <w:highlight w:val="none"/>
          <w:lang w:eastAsia="zh-CN"/>
        </w:rPr>
        <w:t>URS</w:t>
      </w:r>
      <w:r>
        <w:rPr>
          <w:rFonts w:hint="eastAsia" w:asciiTheme="minorEastAsia" w:hAnsiTheme="minorEastAsia" w:eastAsiaTheme="minorEastAsia"/>
          <w:sz w:val="21"/>
          <w:szCs w:val="21"/>
          <w:highlight w:val="none"/>
          <w:lang w:eastAsia="zh-CN"/>
        </w:rPr>
        <w:t>），以确保最终用户的需求在项目设计阶段得以实现，并作为后续验证工作的基础。</w:t>
      </w:r>
    </w:p>
    <w:p>
      <w:pPr>
        <w:pStyle w:val="53"/>
        <w:spacing w:before="0"/>
        <w:ind w:left="360"/>
        <w:rPr>
          <w:szCs w:val="21"/>
          <w:highlight w:val="none"/>
          <w:lang w:eastAsia="zh-CN"/>
        </w:rPr>
      </w:pPr>
    </w:p>
    <w:p>
      <w:pPr>
        <w:pStyle w:val="44"/>
        <w:numPr>
          <w:ilvl w:val="0"/>
          <w:numId w:val="3"/>
        </w:numPr>
        <w:spacing w:after="158" w:afterLines="50"/>
        <w:ind w:left="426" w:hanging="426" w:hangingChars="202"/>
        <w:outlineLvl w:val="0"/>
        <w:rPr>
          <w:rFonts w:ascii="Times New Roman" w:hAnsi="Times New Roman"/>
          <w:b/>
          <w:highlight w:val="none"/>
        </w:rPr>
      </w:pPr>
      <w:bookmarkStart w:id="16" w:name="_Toc522716116"/>
      <w:bookmarkStart w:id="17" w:name="_Toc522107736"/>
      <w:r>
        <w:rPr>
          <w:rFonts w:hint="eastAsia" w:ascii="Times New Roman" w:hAnsi="Times New Roman"/>
          <w:b/>
          <w:highlight w:val="none"/>
        </w:rPr>
        <w:t>范围</w:t>
      </w:r>
      <w:bookmarkEnd w:id="16"/>
      <w:bookmarkEnd w:id="17"/>
    </w:p>
    <w:p>
      <w:pPr>
        <w:pStyle w:val="53"/>
        <w:spacing w:before="0" w:line="360" w:lineRule="auto"/>
        <w:ind w:left="357"/>
        <w:jc w:val="left"/>
        <w:rPr>
          <w:szCs w:val="21"/>
          <w:highlight w:val="none"/>
          <w:lang w:eastAsia="zh-CN"/>
        </w:rPr>
      </w:pPr>
      <w:r>
        <w:rPr>
          <w:rFonts w:hint="eastAsia" w:ascii="宋体" w:hAnsi="宋体"/>
          <w:sz w:val="21"/>
          <w:szCs w:val="21"/>
          <w:highlight w:val="none"/>
          <w:lang w:eastAsia="zh-CN"/>
        </w:rPr>
        <w:t>本</w:t>
      </w:r>
      <w:r>
        <w:rPr>
          <w:rFonts w:ascii="宋体" w:hAnsi="宋体"/>
          <w:sz w:val="21"/>
          <w:szCs w:val="21"/>
          <w:highlight w:val="none"/>
          <w:lang w:eastAsia="zh-CN"/>
        </w:rPr>
        <w:t>URS</w:t>
      </w:r>
      <w:r>
        <w:rPr>
          <w:rFonts w:hint="eastAsia" w:ascii="宋体" w:hAnsi="宋体"/>
          <w:sz w:val="21"/>
          <w:szCs w:val="21"/>
          <w:highlight w:val="none"/>
          <w:lang w:eastAsia="zh-CN"/>
        </w:rPr>
        <w:t>适用于武汉生物制品研究所有限责任公司</w:t>
      </w:r>
      <w:permStart w:id="3" w:edGrp="everyone"/>
      <w:r>
        <w:rPr>
          <w:rFonts w:hint="eastAsia" w:asciiTheme="minorEastAsia" w:hAnsiTheme="minorEastAsia" w:eastAsiaTheme="minorEastAsia"/>
          <w:sz w:val="21"/>
          <w:szCs w:val="21"/>
          <w:highlight w:val="none"/>
          <w:lang w:eastAsia="zh-CN"/>
        </w:rPr>
        <w:t>研发中心分装中试</w:t>
      </w:r>
      <w:r>
        <w:rPr>
          <w:rFonts w:hint="eastAsia" w:ascii="宋体" w:hAnsi="宋体"/>
          <w:sz w:val="21"/>
          <w:szCs w:val="21"/>
          <w:highlight w:val="none"/>
          <w:lang w:eastAsia="zh-CN"/>
        </w:rPr>
        <w:t>车间</w:t>
      </w:r>
      <w:r>
        <w:rPr>
          <w:rFonts w:hint="eastAsia" w:asciiTheme="minorEastAsia" w:hAnsiTheme="minorEastAsia" w:eastAsiaTheme="minorEastAsia"/>
          <w:sz w:val="21"/>
          <w:szCs w:val="21"/>
          <w:highlight w:val="none"/>
          <w:lang w:eastAsia="zh-CN"/>
        </w:rPr>
        <w:t>西林瓶</w:t>
      </w:r>
      <w:r>
        <w:rPr>
          <w:rFonts w:hint="eastAsia" w:ascii="宋体" w:hAnsi="宋体"/>
          <w:sz w:val="21"/>
          <w:szCs w:val="21"/>
          <w:highlight w:val="none"/>
          <w:lang w:eastAsia="zh-CN"/>
        </w:rPr>
        <w:t>粒子及微生物在线监测系统</w:t>
      </w:r>
      <w:permEnd w:id="3"/>
      <w:r>
        <w:rPr>
          <w:rFonts w:hint="eastAsia"/>
          <w:szCs w:val="21"/>
          <w:highlight w:val="none"/>
          <w:lang w:eastAsia="zh-CN"/>
        </w:rPr>
        <w:t>。</w:t>
      </w:r>
      <w:bookmarkEnd w:id="7"/>
      <w:bookmarkEnd w:id="8"/>
      <w:bookmarkEnd w:id="9"/>
      <w:bookmarkEnd w:id="10"/>
      <w:bookmarkEnd w:id="11"/>
      <w:bookmarkEnd w:id="12"/>
      <w:bookmarkEnd w:id="13"/>
      <w:bookmarkEnd w:id="14"/>
      <w:bookmarkEnd w:id="15"/>
    </w:p>
    <w:p>
      <w:pPr>
        <w:pStyle w:val="53"/>
        <w:spacing w:before="0" w:line="360" w:lineRule="auto"/>
        <w:ind w:left="357"/>
        <w:jc w:val="left"/>
        <w:rPr>
          <w:szCs w:val="21"/>
          <w:highlight w:val="none"/>
          <w:lang w:eastAsia="zh-CN"/>
        </w:rPr>
      </w:pPr>
    </w:p>
    <w:p>
      <w:pPr>
        <w:pStyle w:val="44"/>
        <w:numPr>
          <w:ilvl w:val="0"/>
          <w:numId w:val="3"/>
        </w:numPr>
        <w:spacing w:after="158" w:afterLines="50"/>
        <w:ind w:left="426" w:hanging="426" w:hangingChars="202"/>
        <w:outlineLvl w:val="0"/>
        <w:rPr>
          <w:rFonts w:ascii="Times New Roman" w:hAnsi="Times New Roman"/>
          <w:b/>
          <w:highlight w:val="none"/>
        </w:rPr>
      </w:pPr>
      <w:bookmarkStart w:id="18" w:name="_Toc522107737"/>
      <w:bookmarkStart w:id="19" w:name="_Toc522716117"/>
      <w:r>
        <w:rPr>
          <w:rFonts w:hint="eastAsia" w:ascii="Times New Roman" w:hAnsi="Times New Roman"/>
          <w:b/>
          <w:highlight w:val="none"/>
        </w:rPr>
        <w:t>参考文件</w:t>
      </w:r>
      <w:bookmarkEnd w:id="18"/>
      <w:bookmarkEnd w:id="19"/>
    </w:p>
    <w:p>
      <w:pPr>
        <w:pStyle w:val="53"/>
        <w:numPr>
          <w:ilvl w:val="0"/>
          <w:numId w:val="4"/>
        </w:numPr>
        <w:spacing w:before="0" w:line="360" w:lineRule="auto"/>
        <w:jc w:val="left"/>
        <w:rPr>
          <w:rFonts w:ascii="宋体" w:hAnsi="宋体"/>
          <w:color w:val="000000"/>
          <w:sz w:val="21"/>
          <w:szCs w:val="21"/>
          <w:highlight w:val="none"/>
          <w:lang w:eastAsia="zh-CN"/>
        </w:rPr>
      </w:pPr>
      <w:r>
        <w:rPr>
          <w:rFonts w:ascii="宋体" w:hAnsi="宋体"/>
          <w:color w:val="000000"/>
          <w:sz w:val="21"/>
          <w:szCs w:val="21"/>
          <w:highlight w:val="none"/>
          <w:lang w:eastAsia="zh-CN"/>
        </w:rPr>
        <w:t>GMP</w:t>
      </w:r>
      <w:r>
        <w:rPr>
          <w:rFonts w:hint="eastAsia" w:ascii="宋体" w:hAnsi="宋体"/>
          <w:color w:val="000000"/>
          <w:sz w:val="21"/>
          <w:szCs w:val="21"/>
          <w:highlight w:val="none"/>
          <w:lang w:eastAsia="zh-CN"/>
        </w:rPr>
        <w:t>法规指南和</w:t>
      </w:r>
      <w:r>
        <w:rPr>
          <w:rFonts w:ascii="宋体" w:hAnsi="宋体"/>
          <w:color w:val="000000"/>
          <w:sz w:val="21"/>
          <w:szCs w:val="21"/>
          <w:highlight w:val="none"/>
          <w:lang w:eastAsia="zh-CN"/>
        </w:rPr>
        <w:t>SOP</w:t>
      </w:r>
    </w:p>
    <w:p>
      <w:pPr>
        <w:pStyle w:val="53"/>
        <w:numPr>
          <w:ilvl w:val="0"/>
          <w:numId w:val="5"/>
        </w:numPr>
        <w:spacing w:before="0" w:line="360" w:lineRule="auto"/>
        <w:ind w:left="777"/>
        <w:jc w:val="left"/>
        <w:rPr>
          <w:rFonts w:ascii="宋体" w:hAnsi="宋体"/>
          <w:color w:val="4472C4"/>
          <w:sz w:val="21"/>
          <w:szCs w:val="21"/>
          <w:highlight w:val="none"/>
          <w:lang w:eastAsia="zh-CN"/>
        </w:rPr>
      </w:pPr>
      <w:r>
        <w:rPr>
          <w:rFonts w:ascii="宋体" w:hAnsi="宋体"/>
          <w:color w:val="000000"/>
          <w:sz w:val="21"/>
          <w:szCs w:val="21"/>
          <w:highlight w:val="none"/>
          <w:lang w:eastAsia="zh-CN"/>
        </w:rPr>
        <w:t xml:space="preserve">SOP-06-12-0005 </w:t>
      </w:r>
      <w:r>
        <w:rPr>
          <w:rFonts w:hint="eastAsia" w:ascii="宋体" w:hAnsi="宋体"/>
          <w:color w:val="000000"/>
          <w:sz w:val="21"/>
          <w:szCs w:val="21"/>
          <w:highlight w:val="none"/>
          <w:lang w:eastAsia="zh-CN"/>
        </w:rPr>
        <w:t>用户需求编写审批</w:t>
      </w:r>
      <w:r>
        <w:rPr>
          <w:rFonts w:ascii="宋体" w:hAnsi="宋体"/>
          <w:color w:val="000000"/>
          <w:sz w:val="21"/>
          <w:szCs w:val="21"/>
          <w:highlight w:val="none"/>
          <w:lang w:eastAsia="zh-CN"/>
        </w:rPr>
        <w:t>SOP</w:t>
      </w:r>
    </w:p>
    <w:p>
      <w:pPr>
        <w:pStyle w:val="53"/>
        <w:numPr>
          <w:ilvl w:val="0"/>
          <w:numId w:val="5"/>
        </w:numPr>
        <w:spacing w:before="0" w:line="360" w:lineRule="auto"/>
        <w:ind w:left="777"/>
        <w:jc w:val="left"/>
        <w:rPr>
          <w:rFonts w:ascii="宋体" w:hAnsi="宋体"/>
          <w:sz w:val="21"/>
          <w:szCs w:val="21"/>
          <w:highlight w:val="none"/>
          <w:lang w:eastAsia="zh-CN"/>
        </w:rPr>
      </w:pPr>
      <w:permStart w:id="4" w:edGrp="everyone"/>
      <w:r>
        <w:rPr>
          <w:rFonts w:hint="eastAsia" w:ascii="宋体" w:hAnsi="宋体"/>
          <w:sz w:val="21"/>
          <w:szCs w:val="21"/>
          <w:highlight w:val="none"/>
          <w:lang w:eastAsia="zh-CN"/>
        </w:rPr>
        <w:t>《药品生产质量管理规范》</w:t>
      </w:r>
      <w:r>
        <w:rPr>
          <w:rFonts w:hint="eastAsia" w:ascii="宋体" w:hAnsi="宋体"/>
          <w:kern w:val="2"/>
          <w:sz w:val="21"/>
          <w:szCs w:val="21"/>
          <w:highlight w:val="none"/>
          <w:lang w:eastAsia="zh-CN"/>
        </w:rPr>
        <w:t>（</w:t>
      </w:r>
      <w:r>
        <w:rPr>
          <w:rFonts w:ascii="宋体" w:hAnsi="宋体"/>
          <w:kern w:val="2"/>
          <w:sz w:val="21"/>
          <w:szCs w:val="21"/>
          <w:highlight w:val="none"/>
          <w:lang w:eastAsia="zh-CN"/>
        </w:rPr>
        <w:t>2010</w:t>
      </w:r>
      <w:r>
        <w:rPr>
          <w:rFonts w:hint="eastAsia" w:ascii="宋体" w:hAnsi="宋体"/>
          <w:kern w:val="2"/>
          <w:sz w:val="21"/>
          <w:szCs w:val="21"/>
          <w:highlight w:val="none"/>
          <w:lang w:eastAsia="zh-CN"/>
        </w:rPr>
        <w:t>年修订版）及附录</w:t>
      </w:r>
    </w:p>
    <w:p>
      <w:pPr>
        <w:pStyle w:val="53"/>
        <w:numPr>
          <w:ilvl w:val="0"/>
          <w:numId w:val="5"/>
        </w:numPr>
        <w:spacing w:before="0" w:line="360" w:lineRule="auto"/>
        <w:ind w:left="777"/>
        <w:jc w:val="left"/>
        <w:rPr>
          <w:rFonts w:ascii="宋体" w:hAnsi="宋体"/>
          <w:sz w:val="21"/>
          <w:szCs w:val="21"/>
          <w:highlight w:val="none"/>
          <w:lang w:eastAsia="zh-CN"/>
        </w:rPr>
      </w:pPr>
      <w:r>
        <w:rPr>
          <w:rFonts w:hint="eastAsia" w:ascii="宋体" w:hAnsi="宋体"/>
          <w:sz w:val="21"/>
          <w:szCs w:val="21"/>
          <w:highlight w:val="none"/>
          <w:lang w:eastAsia="zh-CN"/>
        </w:rPr>
        <w:t>《欧盟：药品生产质量管理规范》第5版</w:t>
      </w:r>
    </w:p>
    <w:p>
      <w:pPr>
        <w:pStyle w:val="53"/>
        <w:numPr>
          <w:ilvl w:val="0"/>
          <w:numId w:val="5"/>
        </w:numPr>
        <w:spacing w:before="0" w:line="360" w:lineRule="auto"/>
        <w:ind w:left="777"/>
        <w:jc w:val="left"/>
        <w:rPr>
          <w:rFonts w:ascii="宋体" w:hAnsi="宋体"/>
          <w:sz w:val="21"/>
          <w:szCs w:val="21"/>
          <w:highlight w:val="none"/>
          <w:lang w:eastAsia="zh-CN"/>
        </w:rPr>
      </w:pPr>
      <w:r>
        <w:rPr>
          <w:rFonts w:hint="eastAsia" w:ascii="宋体" w:hAnsi="宋体"/>
          <w:sz w:val="21"/>
          <w:szCs w:val="21"/>
          <w:highlight w:val="none"/>
          <w:lang w:eastAsia="zh-CN"/>
        </w:rPr>
        <w:t>《药品</w:t>
      </w:r>
      <w:r>
        <w:rPr>
          <w:rFonts w:ascii="宋体" w:hAnsi="宋体"/>
          <w:sz w:val="21"/>
          <w:szCs w:val="21"/>
          <w:highlight w:val="none"/>
          <w:lang w:eastAsia="zh-CN"/>
        </w:rPr>
        <w:t>GMP</w:t>
      </w:r>
      <w:r>
        <w:rPr>
          <w:rFonts w:hint="eastAsia" w:ascii="宋体" w:hAnsi="宋体"/>
          <w:sz w:val="21"/>
          <w:szCs w:val="21"/>
          <w:highlight w:val="none"/>
          <w:lang w:eastAsia="zh-CN"/>
        </w:rPr>
        <w:t>指南》无菌药品</w:t>
      </w:r>
      <w:r>
        <w:rPr>
          <w:rFonts w:hint="eastAsia" w:ascii="宋体" w:hAnsi="宋体"/>
          <w:kern w:val="2"/>
          <w:sz w:val="21"/>
          <w:szCs w:val="21"/>
          <w:highlight w:val="none"/>
          <w:lang w:eastAsia="zh-CN"/>
        </w:rPr>
        <w:t>（</w:t>
      </w:r>
      <w:r>
        <w:rPr>
          <w:rFonts w:ascii="宋体" w:hAnsi="宋体"/>
          <w:kern w:val="2"/>
          <w:sz w:val="21"/>
          <w:szCs w:val="21"/>
          <w:highlight w:val="none"/>
          <w:lang w:eastAsia="zh-CN"/>
        </w:rPr>
        <w:t>2011</w:t>
      </w:r>
      <w:r>
        <w:rPr>
          <w:rFonts w:hint="eastAsia" w:ascii="宋体" w:hAnsi="宋体"/>
          <w:kern w:val="2"/>
          <w:sz w:val="21"/>
          <w:szCs w:val="21"/>
          <w:highlight w:val="none"/>
          <w:lang w:eastAsia="zh-CN"/>
        </w:rPr>
        <w:t>版）</w:t>
      </w:r>
    </w:p>
    <w:p>
      <w:pPr>
        <w:pStyle w:val="53"/>
        <w:numPr>
          <w:ilvl w:val="0"/>
          <w:numId w:val="5"/>
        </w:numPr>
        <w:spacing w:before="0" w:line="360" w:lineRule="auto"/>
        <w:ind w:left="777"/>
        <w:jc w:val="left"/>
        <w:rPr>
          <w:rFonts w:ascii="宋体" w:hAnsi="宋体"/>
          <w:sz w:val="21"/>
          <w:szCs w:val="21"/>
          <w:highlight w:val="none"/>
          <w:lang w:eastAsia="zh-CN"/>
        </w:rPr>
      </w:pPr>
      <w:r>
        <w:rPr>
          <w:rFonts w:ascii="宋体" w:hAnsi="宋体"/>
          <w:kern w:val="2"/>
          <w:sz w:val="21"/>
          <w:szCs w:val="21"/>
          <w:highlight w:val="none"/>
          <w:lang w:eastAsia="zh-CN"/>
        </w:rPr>
        <w:t>GMP</w:t>
      </w:r>
      <w:r>
        <w:rPr>
          <w:rFonts w:hint="eastAsia" w:ascii="宋体" w:hAnsi="宋体"/>
          <w:kern w:val="2"/>
          <w:sz w:val="21"/>
          <w:szCs w:val="21"/>
          <w:highlight w:val="none"/>
          <w:lang w:eastAsia="zh-CN"/>
        </w:rPr>
        <w:t>附件</w:t>
      </w:r>
      <w:r>
        <w:rPr>
          <w:rFonts w:ascii="宋体" w:hAnsi="宋体"/>
          <w:kern w:val="2"/>
          <w:sz w:val="21"/>
          <w:szCs w:val="21"/>
          <w:highlight w:val="none"/>
          <w:lang w:eastAsia="zh-CN"/>
        </w:rPr>
        <w:t>1</w:t>
      </w:r>
      <w:r>
        <w:rPr>
          <w:rFonts w:hint="eastAsia" w:ascii="宋体" w:hAnsi="宋体"/>
          <w:kern w:val="2"/>
          <w:sz w:val="21"/>
          <w:szCs w:val="21"/>
          <w:highlight w:val="none"/>
          <w:lang w:eastAsia="zh-CN"/>
        </w:rPr>
        <w:t>《计算机化系统》（</w:t>
      </w:r>
      <w:r>
        <w:rPr>
          <w:rFonts w:ascii="宋体" w:hAnsi="宋体"/>
          <w:kern w:val="2"/>
          <w:sz w:val="21"/>
          <w:szCs w:val="21"/>
          <w:highlight w:val="none"/>
          <w:lang w:eastAsia="zh-CN"/>
        </w:rPr>
        <w:t>2015</w:t>
      </w:r>
      <w:r>
        <w:rPr>
          <w:rFonts w:hint="eastAsia" w:ascii="宋体" w:hAnsi="宋体"/>
          <w:kern w:val="2"/>
          <w:sz w:val="21"/>
          <w:szCs w:val="21"/>
          <w:highlight w:val="none"/>
          <w:lang w:eastAsia="zh-CN"/>
        </w:rPr>
        <w:t>版）</w:t>
      </w:r>
    </w:p>
    <w:p>
      <w:pPr>
        <w:pStyle w:val="53"/>
        <w:numPr>
          <w:ilvl w:val="0"/>
          <w:numId w:val="5"/>
        </w:numPr>
        <w:spacing w:before="0" w:line="360" w:lineRule="auto"/>
        <w:ind w:left="777"/>
        <w:jc w:val="left"/>
        <w:rPr>
          <w:rFonts w:ascii="宋体" w:hAnsi="宋体"/>
          <w:sz w:val="21"/>
          <w:szCs w:val="21"/>
          <w:highlight w:val="none"/>
          <w:lang w:eastAsia="zh-CN"/>
        </w:rPr>
      </w:pPr>
      <w:r>
        <w:rPr>
          <w:rFonts w:ascii="宋体" w:hAnsi="宋体"/>
          <w:kern w:val="2"/>
          <w:sz w:val="21"/>
          <w:szCs w:val="21"/>
          <w:highlight w:val="none"/>
          <w:lang w:eastAsia="zh-CN"/>
        </w:rPr>
        <w:t>GMP</w:t>
      </w:r>
      <w:r>
        <w:rPr>
          <w:rFonts w:hint="eastAsia" w:ascii="宋体" w:hAnsi="宋体"/>
          <w:kern w:val="2"/>
          <w:sz w:val="21"/>
          <w:szCs w:val="21"/>
          <w:highlight w:val="none"/>
          <w:lang w:eastAsia="zh-CN"/>
        </w:rPr>
        <w:t>附件</w:t>
      </w:r>
      <w:r>
        <w:rPr>
          <w:rFonts w:ascii="宋体" w:hAnsi="宋体"/>
          <w:kern w:val="2"/>
          <w:sz w:val="21"/>
          <w:szCs w:val="21"/>
          <w:highlight w:val="none"/>
          <w:lang w:eastAsia="zh-CN"/>
        </w:rPr>
        <w:t>2</w:t>
      </w:r>
      <w:r>
        <w:rPr>
          <w:rFonts w:hint="eastAsia" w:ascii="宋体" w:hAnsi="宋体"/>
          <w:kern w:val="2"/>
          <w:sz w:val="21"/>
          <w:szCs w:val="21"/>
          <w:highlight w:val="none"/>
          <w:lang w:eastAsia="zh-CN"/>
        </w:rPr>
        <w:t>《确认与验证》（</w:t>
      </w:r>
      <w:r>
        <w:rPr>
          <w:rFonts w:ascii="宋体" w:hAnsi="宋体"/>
          <w:kern w:val="2"/>
          <w:sz w:val="21"/>
          <w:szCs w:val="21"/>
          <w:highlight w:val="none"/>
          <w:lang w:eastAsia="zh-CN"/>
        </w:rPr>
        <w:t>2015</w:t>
      </w:r>
      <w:r>
        <w:rPr>
          <w:rFonts w:hint="eastAsia" w:ascii="宋体" w:hAnsi="宋体"/>
          <w:kern w:val="2"/>
          <w:sz w:val="21"/>
          <w:szCs w:val="21"/>
          <w:highlight w:val="none"/>
          <w:lang w:eastAsia="zh-CN"/>
        </w:rPr>
        <w:t>版）</w:t>
      </w:r>
    </w:p>
    <w:p>
      <w:pPr>
        <w:pStyle w:val="53"/>
        <w:numPr>
          <w:ilvl w:val="0"/>
          <w:numId w:val="5"/>
        </w:numPr>
        <w:spacing w:before="0" w:line="360" w:lineRule="auto"/>
        <w:ind w:left="777"/>
        <w:jc w:val="left"/>
        <w:rPr>
          <w:rFonts w:ascii="宋体" w:hAnsi="宋体"/>
          <w:sz w:val="21"/>
          <w:szCs w:val="21"/>
          <w:highlight w:val="none"/>
          <w:lang w:eastAsia="zh-CN"/>
        </w:rPr>
      </w:pPr>
      <w:r>
        <w:rPr>
          <w:rFonts w:ascii="宋体" w:hAnsi="宋体"/>
          <w:kern w:val="2"/>
          <w:sz w:val="21"/>
          <w:szCs w:val="21"/>
          <w:highlight w:val="none"/>
        </w:rPr>
        <w:t>21CFR Part11</w:t>
      </w:r>
      <w:r>
        <w:rPr>
          <w:rFonts w:ascii="宋体" w:hAnsi="宋体"/>
          <w:sz w:val="21"/>
          <w:szCs w:val="21"/>
          <w:highlight w:val="none"/>
        </w:rPr>
        <w:t>电子记录</w:t>
      </w:r>
      <w:r>
        <w:rPr>
          <w:rFonts w:hint="eastAsia" w:ascii="宋体" w:hAnsi="宋体"/>
          <w:sz w:val="21"/>
          <w:szCs w:val="21"/>
          <w:highlight w:val="none"/>
        </w:rPr>
        <w:t>和</w:t>
      </w:r>
      <w:r>
        <w:rPr>
          <w:rFonts w:ascii="宋体" w:hAnsi="宋体"/>
          <w:sz w:val="21"/>
          <w:szCs w:val="21"/>
          <w:highlight w:val="none"/>
        </w:rPr>
        <w:t>电子签名</w:t>
      </w:r>
      <w:r>
        <w:rPr>
          <w:rFonts w:hint="eastAsia" w:ascii="宋体" w:hAnsi="宋体"/>
          <w:sz w:val="21"/>
          <w:szCs w:val="21"/>
          <w:highlight w:val="none"/>
        </w:rPr>
        <w:t>1997年8月20日</w:t>
      </w:r>
    </w:p>
    <w:p>
      <w:pPr>
        <w:pStyle w:val="53"/>
        <w:numPr>
          <w:ilvl w:val="0"/>
          <w:numId w:val="5"/>
        </w:numPr>
        <w:spacing w:before="0" w:line="360" w:lineRule="auto"/>
        <w:ind w:left="777"/>
        <w:jc w:val="left"/>
        <w:rPr>
          <w:rFonts w:ascii="宋体" w:hAnsi="宋体"/>
          <w:sz w:val="21"/>
          <w:szCs w:val="21"/>
          <w:highlight w:val="none"/>
          <w:lang w:eastAsia="zh-CN"/>
        </w:rPr>
      </w:pPr>
      <w:r>
        <w:rPr>
          <w:rFonts w:ascii="宋体" w:hAnsi="宋体"/>
          <w:sz w:val="21"/>
          <w:szCs w:val="21"/>
          <w:highlight w:val="none"/>
        </w:rPr>
        <w:t>GAMP5</w:t>
      </w:r>
    </w:p>
    <w:p>
      <w:pPr>
        <w:pStyle w:val="53"/>
        <w:numPr>
          <w:ilvl w:val="0"/>
          <w:numId w:val="5"/>
        </w:numPr>
        <w:spacing w:before="0" w:line="360" w:lineRule="auto"/>
        <w:ind w:left="777"/>
        <w:jc w:val="left"/>
        <w:rPr>
          <w:rFonts w:ascii="宋体" w:hAnsi="宋体"/>
          <w:sz w:val="21"/>
          <w:szCs w:val="21"/>
          <w:highlight w:val="none"/>
          <w:lang w:eastAsia="zh-CN"/>
        </w:rPr>
      </w:pPr>
      <w:r>
        <w:rPr>
          <w:rFonts w:ascii="宋体" w:hAnsi="宋体"/>
          <w:sz w:val="21"/>
          <w:szCs w:val="21"/>
          <w:highlight w:val="none"/>
          <w:lang w:eastAsia="zh-CN"/>
        </w:rPr>
        <w:t>ISO14644</w:t>
      </w:r>
      <w:r>
        <w:rPr>
          <w:rFonts w:hint="eastAsia" w:ascii="宋体" w:hAnsi="宋体"/>
          <w:sz w:val="21"/>
          <w:szCs w:val="21"/>
          <w:highlight w:val="none"/>
          <w:lang w:eastAsia="zh-CN"/>
        </w:rPr>
        <w:t xml:space="preserve">-1  </w:t>
      </w:r>
      <w:r>
        <w:rPr>
          <w:rFonts w:hint="eastAsia" w:ascii="宋体" w:hAnsi="宋体"/>
          <w:sz w:val="21"/>
          <w:szCs w:val="21"/>
          <w:highlight w:val="none"/>
        </w:rPr>
        <w:t>2015年12月15日</w:t>
      </w:r>
    </w:p>
    <w:p>
      <w:pPr>
        <w:pStyle w:val="53"/>
        <w:numPr>
          <w:ilvl w:val="0"/>
          <w:numId w:val="5"/>
        </w:numPr>
        <w:spacing w:before="0" w:line="360" w:lineRule="auto"/>
        <w:ind w:left="777"/>
        <w:jc w:val="left"/>
        <w:rPr>
          <w:rFonts w:ascii="宋体" w:hAnsi="宋体"/>
          <w:kern w:val="2"/>
          <w:sz w:val="21"/>
          <w:szCs w:val="21"/>
          <w:highlight w:val="none"/>
        </w:rPr>
      </w:pPr>
      <w:r>
        <w:rPr>
          <w:rFonts w:ascii="宋体" w:hAnsi="宋体"/>
          <w:kern w:val="2"/>
          <w:sz w:val="21"/>
          <w:szCs w:val="21"/>
          <w:highlight w:val="none"/>
        </w:rPr>
        <w:t>ISO 21501:2015</w:t>
      </w:r>
    </w:p>
    <w:p>
      <w:pPr>
        <w:pStyle w:val="53"/>
        <w:numPr>
          <w:ilvl w:val="0"/>
          <w:numId w:val="5"/>
        </w:numPr>
        <w:spacing w:before="0" w:line="360" w:lineRule="auto"/>
        <w:ind w:left="777"/>
        <w:jc w:val="left"/>
        <w:rPr>
          <w:rFonts w:ascii="宋体" w:hAnsi="宋体"/>
          <w:sz w:val="21"/>
          <w:szCs w:val="21"/>
          <w:highlight w:val="none"/>
          <w:lang w:eastAsia="zh-CN"/>
        </w:rPr>
      </w:pPr>
      <w:r>
        <w:rPr>
          <w:rFonts w:ascii="宋体" w:hAnsi="宋体"/>
          <w:sz w:val="21"/>
          <w:szCs w:val="21"/>
          <w:highlight w:val="none"/>
          <w:lang w:eastAsia="zh-CN"/>
        </w:rPr>
        <w:t xml:space="preserve">GB/T 6167-2007 </w:t>
      </w:r>
      <w:r>
        <w:rPr>
          <w:rFonts w:hint="eastAsia" w:ascii="宋体" w:hAnsi="宋体"/>
          <w:sz w:val="21"/>
          <w:szCs w:val="21"/>
          <w:highlight w:val="none"/>
          <w:lang w:eastAsia="zh-CN"/>
        </w:rPr>
        <w:t>尘埃粒子计数器性能试验方法</w:t>
      </w:r>
    </w:p>
    <w:p>
      <w:pPr>
        <w:pStyle w:val="53"/>
        <w:numPr>
          <w:ilvl w:val="0"/>
          <w:numId w:val="5"/>
        </w:numPr>
        <w:spacing w:before="0" w:line="360" w:lineRule="auto"/>
        <w:ind w:left="777"/>
        <w:jc w:val="left"/>
        <w:rPr>
          <w:rFonts w:ascii="宋体" w:hAnsi="宋体"/>
          <w:sz w:val="21"/>
          <w:szCs w:val="21"/>
          <w:highlight w:val="none"/>
          <w:lang w:eastAsia="zh-CN"/>
        </w:rPr>
      </w:pPr>
      <w:r>
        <w:rPr>
          <w:rFonts w:ascii="宋体" w:hAnsi="宋体"/>
          <w:sz w:val="21"/>
          <w:szCs w:val="21"/>
          <w:highlight w:val="none"/>
          <w:lang w:eastAsia="zh-CN"/>
        </w:rPr>
        <w:t xml:space="preserve">JJF1190-2008 </w:t>
      </w:r>
      <w:r>
        <w:rPr>
          <w:rFonts w:hint="eastAsia" w:ascii="宋体" w:hAnsi="宋体"/>
          <w:sz w:val="21"/>
          <w:szCs w:val="21"/>
          <w:highlight w:val="none"/>
          <w:lang w:eastAsia="zh-CN"/>
        </w:rPr>
        <w:t>尘埃粒子计数器校准规则</w:t>
      </w:r>
    </w:p>
    <w:p>
      <w:pPr>
        <w:pStyle w:val="53"/>
        <w:numPr>
          <w:ilvl w:val="0"/>
          <w:numId w:val="5"/>
        </w:numPr>
        <w:spacing w:before="0" w:line="360" w:lineRule="auto"/>
        <w:ind w:left="777"/>
        <w:jc w:val="left"/>
        <w:rPr>
          <w:rFonts w:ascii="宋体" w:hAnsi="宋体"/>
          <w:sz w:val="21"/>
          <w:szCs w:val="21"/>
          <w:highlight w:val="none"/>
          <w:lang w:eastAsia="zh-CN"/>
        </w:rPr>
      </w:pPr>
      <w:r>
        <w:rPr>
          <w:rFonts w:ascii="宋体" w:hAnsi="宋体"/>
          <w:highlight w:val="none"/>
          <w:lang w:eastAsia="zh-CN"/>
        </w:rPr>
        <w:t>ISO 14698-1</w:t>
      </w:r>
      <w:r>
        <w:rPr>
          <w:rFonts w:hint="eastAsia" w:ascii="宋体" w:hAnsi="宋体"/>
          <w:highlight w:val="none"/>
          <w:lang w:eastAsia="zh-CN"/>
        </w:rPr>
        <w:t>（</w:t>
      </w:r>
      <w:r>
        <w:rPr>
          <w:rFonts w:ascii="宋体" w:hAnsi="宋体"/>
          <w:highlight w:val="none"/>
          <w:lang w:eastAsia="zh-CN"/>
        </w:rPr>
        <w:t xml:space="preserve"> </w:t>
      </w:r>
      <w:r>
        <w:rPr>
          <w:rFonts w:hint="eastAsia" w:ascii="宋体" w:hAnsi="宋体"/>
          <w:highlight w:val="none"/>
          <w:lang w:eastAsia="zh-CN"/>
        </w:rPr>
        <w:t>洁净室及相关控制环境的微生物污染控制）</w:t>
      </w:r>
    </w:p>
    <w:p>
      <w:pPr>
        <w:pStyle w:val="53"/>
        <w:numPr>
          <w:ilvl w:val="0"/>
          <w:numId w:val="5"/>
        </w:numPr>
        <w:spacing w:before="0" w:line="360" w:lineRule="auto"/>
        <w:ind w:left="777"/>
        <w:jc w:val="left"/>
        <w:rPr>
          <w:rFonts w:ascii="宋体" w:hAnsi="宋体"/>
          <w:kern w:val="2"/>
          <w:sz w:val="21"/>
          <w:szCs w:val="21"/>
          <w:highlight w:val="none"/>
          <w:lang w:eastAsia="zh-CN"/>
        </w:rPr>
      </w:pPr>
      <w:r>
        <w:rPr>
          <w:rFonts w:ascii="宋体" w:hAnsi="宋体"/>
          <w:kern w:val="2"/>
          <w:sz w:val="21"/>
          <w:szCs w:val="21"/>
          <w:highlight w:val="none"/>
          <w:lang w:eastAsia="zh-CN"/>
        </w:rPr>
        <w:t>GB50591-2010</w:t>
      </w:r>
      <w:r>
        <w:rPr>
          <w:rFonts w:hint="eastAsia" w:ascii="宋体" w:hAnsi="宋体"/>
          <w:kern w:val="2"/>
          <w:sz w:val="21"/>
          <w:szCs w:val="21"/>
          <w:highlight w:val="none"/>
          <w:lang w:eastAsia="zh-CN"/>
        </w:rPr>
        <w:t>《洁净室施工及验收规范》</w:t>
      </w:r>
    </w:p>
    <w:permEnd w:id="4"/>
    <w:p>
      <w:pPr>
        <w:pStyle w:val="53"/>
        <w:numPr>
          <w:ilvl w:val="0"/>
          <w:numId w:val="4"/>
        </w:numPr>
        <w:spacing w:before="0" w:line="360" w:lineRule="auto"/>
        <w:jc w:val="left"/>
        <w:rPr>
          <w:rFonts w:ascii="宋体" w:hAnsi="宋体"/>
          <w:color w:val="000000"/>
          <w:sz w:val="21"/>
          <w:szCs w:val="21"/>
          <w:highlight w:val="none"/>
          <w:lang w:eastAsia="zh-CN"/>
        </w:rPr>
      </w:pPr>
      <w:r>
        <w:rPr>
          <w:rFonts w:hint="eastAsia" w:ascii="宋体" w:hAnsi="宋体"/>
          <w:color w:val="000000"/>
          <w:sz w:val="21"/>
          <w:szCs w:val="21"/>
          <w:highlight w:val="none"/>
          <w:lang w:eastAsia="zh-CN"/>
        </w:rPr>
        <w:t>安全及环保法规指南</w:t>
      </w:r>
    </w:p>
    <w:p>
      <w:pPr>
        <w:pStyle w:val="53"/>
        <w:numPr>
          <w:ilvl w:val="0"/>
          <w:numId w:val="5"/>
        </w:numPr>
        <w:spacing w:before="0" w:line="360" w:lineRule="auto"/>
        <w:ind w:left="777"/>
        <w:jc w:val="left"/>
        <w:rPr>
          <w:rFonts w:ascii="宋体" w:hAnsi="宋体"/>
          <w:color w:val="000000"/>
          <w:sz w:val="21"/>
          <w:szCs w:val="21"/>
          <w:highlight w:val="none"/>
          <w:lang w:eastAsia="zh-CN"/>
        </w:rPr>
      </w:pPr>
      <w:permStart w:id="5" w:edGrp="everyone"/>
      <w:r>
        <w:rPr>
          <w:rFonts w:hint="eastAsia" w:ascii="宋体" w:hAnsi="宋体"/>
          <w:color w:val="000000"/>
          <w:sz w:val="21"/>
          <w:szCs w:val="21"/>
          <w:highlight w:val="none"/>
          <w:lang w:eastAsia="zh-CN"/>
        </w:rPr>
        <w:t>电气安全应符合</w:t>
      </w:r>
      <w:r>
        <w:rPr>
          <w:rFonts w:ascii="宋体" w:hAnsi="宋体"/>
          <w:color w:val="000000"/>
          <w:sz w:val="21"/>
          <w:szCs w:val="21"/>
          <w:highlight w:val="none"/>
          <w:lang w:eastAsia="zh-CN"/>
        </w:rPr>
        <w:t>GB4793.1-2007</w:t>
      </w:r>
      <w:r>
        <w:rPr>
          <w:rFonts w:hint="eastAsia" w:ascii="宋体" w:hAnsi="宋体"/>
          <w:color w:val="000000"/>
          <w:sz w:val="21"/>
          <w:szCs w:val="21"/>
          <w:highlight w:val="none"/>
          <w:lang w:eastAsia="zh-CN"/>
        </w:rPr>
        <w:t>测量、控制和实验室用电气设备的安全要求。</w:t>
      </w:r>
    </w:p>
    <w:p>
      <w:pPr>
        <w:pStyle w:val="53"/>
        <w:numPr>
          <w:ilvl w:val="0"/>
          <w:numId w:val="5"/>
        </w:numPr>
        <w:spacing w:before="0" w:line="360" w:lineRule="auto"/>
        <w:ind w:left="777"/>
        <w:jc w:val="left"/>
        <w:rPr>
          <w:szCs w:val="21"/>
          <w:highlight w:val="none"/>
          <w:lang w:eastAsia="zh-CN"/>
        </w:rPr>
      </w:pPr>
      <w:r>
        <w:rPr>
          <w:rFonts w:hint="eastAsia" w:ascii="宋体" w:hAnsi="宋体"/>
          <w:color w:val="000000"/>
          <w:sz w:val="21"/>
          <w:szCs w:val="21"/>
          <w:highlight w:val="none"/>
          <w:lang w:eastAsia="zh-CN"/>
        </w:rPr>
        <w:t>电磁兼容性应符合</w:t>
      </w:r>
      <w:r>
        <w:rPr>
          <w:rFonts w:ascii="宋体" w:hAnsi="宋体"/>
          <w:color w:val="000000"/>
          <w:sz w:val="21"/>
          <w:szCs w:val="21"/>
          <w:highlight w:val="none"/>
          <w:lang w:eastAsia="zh-CN"/>
        </w:rPr>
        <w:t>GB/T18268-2000</w:t>
      </w:r>
      <w:r>
        <w:rPr>
          <w:rFonts w:hint="eastAsia" w:ascii="宋体" w:hAnsi="宋体"/>
          <w:color w:val="000000"/>
          <w:sz w:val="21"/>
          <w:szCs w:val="21"/>
          <w:highlight w:val="none"/>
          <w:lang w:eastAsia="zh-CN"/>
        </w:rPr>
        <w:t>的要求。</w:t>
      </w:r>
      <w:permEnd w:id="5"/>
      <w:permStart w:id="6" w:edGrp="everyone"/>
    </w:p>
    <w:permEnd w:id="6"/>
    <w:p>
      <w:pPr>
        <w:pStyle w:val="44"/>
        <w:numPr>
          <w:ilvl w:val="0"/>
          <w:numId w:val="3"/>
        </w:numPr>
        <w:spacing w:after="158" w:afterLines="50"/>
        <w:ind w:left="426" w:hanging="426" w:hangingChars="202"/>
        <w:outlineLvl w:val="0"/>
        <w:rPr>
          <w:rFonts w:ascii="Times New Roman" w:hAnsi="Times New Roman"/>
          <w:b/>
          <w:highlight w:val="none"/>
        </w:rPr>
      </w:pPr>
      <w:bookmarkStart w:id="20" w:name="_Toc522716119"/>
      <w:bookmarkStart w:id="21" w:name="_Toc522107739"/>
      <w:r>
        <w:rPr>
          <w:rFonts w:hint="eastAsia" w:ascii="Times New Roman" w:hAnsi="Times New Roman"/>
          <w:b/>
          <w:highlight w:val="none"/>
        </w:rPr>
        <w:t>系统描述</w:t>
      </w:r>
      <w:bookmarkEnd w:id="20"/>
      <w:bookmarkEnd w:id="21"/>
    </w:p>
    <w:p>
      <w:pPr>
        <w:pStyle w:val="53"/>
        <w:spacing w:before="0" w:line="360" w:lineRule="auto"/>
        <w:ind w:left="357" w:firstLine="210" w:firstLineChars="100"/>
        <w:jc w:val="left"/>
        <w:rPr>
          <w:rFonts w:ascii="宋体" w:hAnsi="宋体"/>
          <w:sz w:val="21"/>
          <w:szCs w:val="21"/>
          <w:highlight w:val="none"/>
          <w:lang w:eastAsia="zh-CN"/>
        </w:rPr>
      </w:pPr>
      <w:permStart w:id="7" w:edGrp="everyone"/>
      <w:r>
        <w:rPr>
          <w:rFonts w:hint="eastAsia" w:asciiTheme="minorEastAsia" w:hAnsiTheme="minorEastAsia" w:eastAsiaTheme="minorEastAsia"/>
          <w:sz w:val="21"/>
          <w:szCs w:val="21"/>
          <w:highlight w:val="none"/>
          <w:lang w:eastAsia="zh-CN"/>
        </w:rPr>
        <w:t>研发中心分装中试</w:t>
      </w:r>
      <w:r>
        <w:rPr>
          <w:rFonts w:hint="eastAsia" w:ascii="宋体" w:hAnsi="宋体"/>
          <w:sz w:val="21"/>
          <w:szCs w:val="21"/>
          <w:highlight w:val="none"/>
          <w:lang w:eastAsia="zh-CN"/>
        </w:rPr>
        <w:t>车间检测西林瓶灌装机的A级区以及B级背景区的粒子和微生物情况。</w:t>
      </w:r>
      <w:r>
        <w:rPr>
          <w:rFonts w:hint="eastAsia" w:ascii="宋体" w:hAnsi="宋体"/>
          <w:sz w:val="21"/>
          <w:szCs w:val="21"/>
          <w:highlight w:val="none"/>
          <w:lang w:val="en-US" w:eastAsia="zh-CN"/>
        </w:rPr>
        <w:t>检测</w:t>
      </w:r>
      <w:r>
        <w:rPr>
          <w:rFonts w:hint="eastAsia" w:ascii="宋体" w:hAnsi="宋体"/>
          <w:sz w:val="21"/>
          <w:szCs w:val="21"/>
          <w:highlight w:val="none"/>
          <w:lang w:eastAsia="zh-CN"/>
        </w:rPr>
        <w:t>工位及配置如下：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870"/>
        <w:gridCol w:w="825"/>
        <w:gridCol w:w="705"/>
        <w:gridCol w:w="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0" w:type="dxa"/>
            <w:gridSpan w:val="5"/>
            <w:shd w:val="clear" w:color="auto" w:fill="F2F2F2"/>
            <w:vAlign w:val="center"/>
          </w:tcPr>
          <w:p>
            <w:pPr>
              <w:spacing w:line="360" w:lineRule="auto"/>
              <w:jc w:val="center"/>
              <w:rPr>
                <w:rFonts w:ascii="宋体"/>
                <w:b/>
                <w:bCs/>
                <w:szCs w:val="21"/>
                <w:highlight w:val="none"/>
              </w:rPr>
            </w:pPr>
            <w:r>
              <w:rPr>
                <w:rFonts w:hint="eastAsia" w:ascii="宋体" w:hAnsi="宋体"/>
                <w:b/>
                <w:bCs/>
                <w:szCs w:val="21"/>
                <w:highlight w:val="none"/>
              </w:rPr>
              <w:t>系统基本配置表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shd w:val="clear" w:color="auto" w:fill="D9D9D9"/>
            <w:vAlign w:val="center"/>
          </w:tcPr>
          <w:p>
            <w:pPr>
              <w:spacing w:line="360" w:lineRule="auto"/>
              <w:jc w:val="center"/>
              <w:rPr>
                <w:rFonts w:ascii="宋体"/>
                <w:b/>
                <w:bCs/>
                <w:szCs w:val="21"/>
                <w:highlight w:val="none"/>
              </w:rPr>
            </w:pPr>
            <w:r>
              <w:rPr>
                <w:rFonts w:hint="eastAsia" w:ascii="宋体" w:hAnsi="宋体"/>
                <w:b/>
                <w:bCs/>
                <w:szCs w:val="21"/>
                <w:highlight w:val="none"/>
              </w:rPr>
              <w:t>序号</w:t>
            </w:r>
          </w:p>
        </w:tc>
        <w:tc>
          <w:tcPr>
            <w:tcW w:w="1870" w:type="dxa"/>
            <w:shd w:val="clear" w:color="auto" w:fill="D9D9D9"/>
            <w:vAlign w:val="center"/>
          </w:tcPr>
          <w:p>
            <w:pPr>
              <w:spacing w:line="360" w:lineRule="auto"/>
              <w:jc w:val="center"/>
              <w:rPr>
                <w:rFonts w:ascii="宋体"/>
                <w:b/>
                <w:bCs/>
                <w:szCs w:val="21"/>
                <w:highlight w:val="none"/>
              </w:rPr>
            </w:pPr>
            <w:r>
              <w:rPr>
                <w:rFonts w:hint="eastAsia" w:ascii="宋体" w:hAnsi="宋体"/>
                <w:b/>
                <w:bCs/>
                <w:szCs w:val="21"/>
                <w:highlight w:val="none"/>
              </w:rPr>
              <w:t>项目名称</w:t>
            </w:r>
          </w:p>
        </w:tc>
        <w:tc>
          <w:tcPr>
            <w:tcW w:w="825" w:type="dxa"/>
            <w:shd w:val="clear" w:color="auto" w:fill="D9D9D9"/>
            <w:vAlign w:val="center"/>
          </w:tcPr>
          <w:p>
            <w:pPr>
              <w:spacing w:line="360" w:lineRule="auto"/>
              <w:jc w:val="center"/>
              <w:rPr>
                <w:rFonts w:ascii="宋体"/>
                <w:b/>
                <w:bCs/>
                <w:szCs w:val="21"/>
                <w:highlight w:val="none"/>
              </w:rPr>
            </w:pPr>
            <w:r>
              <w:rPr>
                <w:rFonts w:hint="eastAsia" w:ascii="宋体" w:hAnsi="宋体"/>
                <w:b/>
                <w:bCs/>
                <w:szCs w:val="21"/>
                <w:highlight w:val="none"/>
              </w:rPr>
              <w:t>单位</w:t>
            </w:r>
          </w:p>
        </w:tc>
        <w:tc>
          <w:tcPr>
            <w:tcW w:w="705" w:type="dxa"/>
            <w:shd w:val="clear" w:color="auto" w:fill="D9D9D9"/>
            <w:vAlign w:val="center"/>
          </w:tcPr>
          <w:p>
            <w:pPr>
              <w:spacing w:line="360" w:lineRule="auto"/>
              <w:jc w:val="center"/>
              <w:rPr>
                <w:rFonts w:ascii="宋体"/>
                <w:b/>
                <w:bCs/>
                <w:szCs w:val="21"/>
                <w:highlight w:val="none"/>
              </w:rPr>
            </w:pPr>
            <w:r>
              <w:rPr>
                <w:rFonts w:hint="eastAsia" w:ascii="宋体" w:hAnsi="宋体"/>
                <w:b/>
                <w:bCs/>
                <w:szCs w:val="21"/>
                <w:highlight w:val="none"/>
              </w:rPr>
              <w:t>数量</w:t>
            </w:r>
          </w:p>
        </w:tc>
        <w:tc>
          <w:tcPr>
            <w:tcW w:w="5384" w:type="dxa"/>
            <w:shd w:val="clear" w:color="auto" w:fill="D9D9D9"/>
            <w:vAlign w:val="center"/>
          </w:tcPr>
          <w:p>
            <w:pPr>
              <w:spacing w:line="360" w:lineRule="auto"/>
              <w:jc w:val="center"/>
              <w:rPr>
                <w:rFonts w:ascii="宋体"/>
                <w:b/>
                <w:bCs/>
                <w:szCs w:val="21"/>
                <w:highlight w:val="none"/>
              </w:rPr>
            </w:pPr>
            <w:r>
              <w:rPr>
                <w:rFonts w:hint="eastAsia" w:ascii="宋体" w:hAnsi="宋体"/>
                <w:b/>
                <w:bCs/>
                <w:szCs w:val="21"/>
                <w:highlight w:val="none"/>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color w:val="auto"/>
                <w:szCs w:val="21"/>
                <w:highlight w:val="none"/>
              </w:rPr>
            </w:pPr>
            <w:r>
              <w:rPr>
                <w:rFonts w:ascii="宋体" w:hAnsi="宋体"/>
                <w:bCs/>
                <w:color w:val="auto"/>
                <w:szCs w:val="21"/>
                <w:highlight w:val="none"/>
              </w:rPr>
              <w:t>1</w:t>
            </w:r>
          </w:p>
        </w:tc>
        <w:tc>
          <w:tcPr>
            <w:tcW w:w="1870" w:type="dxa"/>
            <w:vAlign w:val="center"/>
          </w:tcPr>
          <w:p>
            <w:pPr>
              <w:spacing w:line="360" w:lineRule="auto"/>
              <w:jc w:val="center"/>
              <w:rPr>
                <w:rFonts w:ascii="宋体"/>
                <w:bCs/>
                <w:color w:val="auto"/>
                <w:szCs w:val="21"/>
                <w:highlight w:val="none"/>
              </w:rPr>
            </w:pPr>
            <w:r>
              <w:rPr>
                <w:rFonts w:hint="eastAsia" w:ascii="宋体" w:hAnsi="宋体"/>
                <w:bCs/>
                <w:color w:val="auto"/>
                <w:szCs w:val="21"/>
                <w:highlight w:val="none"/>
              </w:rPr>
              <w:t>尘埃粒子计数器</w:t>
            </w:r>
          </w:p>
        </w:tc>
        <w:tc>
          <w:tcPr>
            <w:tcW w:w="825" w:type="dxa"/>
            <w:vAlign w:val="center"/>
          </w:tcPr>
          <w:p>
            <w:pPr>
              <w:spacing w:line="360" w:lineRule="auto"/>
              <w:jc w:val="center"/>
              <w:rPr>
                <w:rFonts w:ascii="宋体"/>
                <w:bCs/>
                <w:color w:val="auto"/>
                <w:szCs w:val="21"/>
                <w:highlight w:val="none"/>
              </w:rPr>
            </w:pPr>
            <w:r>
              <w:rPr>
                <w:rFonts w:hint="eastAsia" w:ascii="宋体" w:hAnsi="宋体"/>
                <w:bCs/>
                <w:color w:val="auto"/>
                <w:szCs w:val="21"/>
                <w:highlight w:val="none"/>
              </w:rPr>
              <w:t>个</w:t>
            </w:r>
          </w:p>
        </w:tc>
        <w:tc>
          <w:tcPr>
            <w:tcW w:w="705" w:type="dxa"/>
            <w:vAlign w:val="center"/>
          </w:tcPr>
          <w:p>
            <w:pPr>
              <w:spacing w:line="360" w:lineRule="auto"/>
              <w:jc w:val="center"/>
              <w:rPr>
                <w:rFonts w:ascii="宋体"/>
                <w:bCs/>
                <w:color w:val="auto"/>
                <w:szCs w:val="21"/>
                <w:highlight w:val="none"/>
              </w:rPr>
            </w:pPr>
            <w:r>
              <w:rPr>
                <w:rFonts w:hint="eastAsia" w:ascii="宋体" w:hAnsi="宋体"/>
                <w:bCs/>
                <w:color w:val="auto"/>
                <w:szCs w:val="21"/>
                <w:highlight w:val="none"/>
                <w:lang w:val="en-US" w:eastAsia="zh-CN"/>
              </w:rPr>
              <w:t>4</w:t>
            </w:r>
          </w:p>
        </w:tc>
        <w:tc>
          <w:tcPr>
            <w:tcW w:w="5384" w:type="dxa"/>
            <w:vAlign w:val="center"/>
          </w:tcPr>
          <w:p>
            <w:pPr>
              <w:spacing w:line="360" w:lineRule="auto"/>
              <w:rPr>
                <w:rFonts w:ascii="宋体"/>
                <w:bCs/>
                <w:color w:val="auto"/>
                <w:szCs w:val="21"/>
                <w:highlight w:val="none"/>
                <w:lang w:eastAsia="zh-CN"/>
              </w:rPr>
            </w:pPr>
            <w:r>
              <w:rPr>
                <w:rFonts w:hint="eastAsia" w:ascii="宋体"/>
                <w:bCs/>
                <w:color w:val="auto"/>
                <w:szCs w:val="21"/>
                <w:highlight w:val="none"/>
                <w:lang w:eastAsia="zh-CN"/>
              </w:rPr>
              <w:t>“</w:t>
            </w:r>
            <w:r>
              <w:rPr>
                <w:rFonts w:hint="eastAsia" w:ascii="宋体"/>
                <w:bCs/>
                <w:color w:val="auto"/>
                <w:szCs w:val="21"/>
                <w:highlight w:val="none"/>
                <w:lang w:val="en-US" w:eastAsia="zh-CN"/>
              </w:rPr>
              <w:t>灌装间</w:t>
            </w:r>
            <w:r>
              <w:rPr>
                <w:rFonts w:hint="eastAsia" w:ascii="宋体"/>
                <w:bCs/>
                <w:color w:val="auto"/>
                <w:szCs w:val="21"/>
                <w:highlight w:val="none"/>
                <w:lang w:eastAsia="zh-CN"/>
              </w:rPr>
              <w:t>”</w:t>
            </w:r>
            <w:r>
              <w:rPr>
                <w:rFonts w:hint="eastAsia" w:ascii="宋体"/>
                <w:bCs/>
                <w:color w:val="auto"/>
                <w:szCs w:val="21"/>
                <w:highlight w:val="none"/>
                <w:lang w:val="en-US" w:eastAsia="zh-CN"/>
              </w:rPr>
              <w:t>5个</w:t>
            </w:r>
            <w:r>
              <w:rPr>
                <w:rFonts w:hint="eastAsia" w:ascii="宋体"/>
                <w:bCs/>
                <w:color w:val="auto"/>
                <w:szCs w:val="21"/>
                <w:highlight w:val="none"/>
                <w:lang w:eastAsia="zh-CN"/>
              </w:rPr>
              <w:t>；</w:t>
            </w:r>
            <w:r>
              <w:rPr>
                <w:rFonts w:hint="eastAsia" w:ascii="宋体" w:hAnsi="宋体"/>
                <w:bCs/>
                <w:color w:val="auto"/>
                <w:szCs w:val="21"/>
                <w:highlight w:val="none"/>
                <w:lang w:eastAsia="zh-CN"/>
              </w:rPr>
              <w:t>（灌装泵右侧10cm处，加塞转盘旁10cm处，</w:t>
            </w:r>
            <w:r>
              <w:rPr>
                <w:rFonts w:hint="eastAsia" w:ascii="宋体" w:hAnsi="宋体"/>
                <w:bCs/>
                <w:color w:val="auto"/>
                <w:szCs w:val="21"/>
                <w:highlight w:val="none"/>
                <w:lang w:val="en-US" w:eastAsia="zh-CN"/>
              </w:rPr>
              <w:t>HMI操作界面旁，</w:t>
            </w:r>
            <w:r>
              <w:rPr>
                <w:rFonts w:hint="eastAsia" w:ascii="宋体" w:hAnsi="宋体"/>
                <w:bCs/>
                <w:color w:val="auto"/>
                <w:szCs w:val="21"/>
                <w:highlight w:val="none"/>
                <w:lang w:eastAsia="zh-CN"/>
              </w:rPr>
              <w:t>2号冻干柜柜门旁，</w:t>
            </w:r>
            <w:r>
              <w:rPr>
                <w:rFonts w:hint="eastAsia" w:ascii="宋体" w:hAnsi="宋体"/>
                <w:bCs/>
                <w:color w:val="auto"/>
                <w:szCs w:val="21"/>
                <w:highlight w:val="none"/>
                <w:lang w:val="en-US" w:eastAsia="zh-CN"/>
              </w:rPr>
              <w:t>理瓶盘外侧</w:t>
            </w:r>
            <w:r>
              <w:rPr>
                <w:rFonts w:hint="eastAsia" w:ascii="宋体" w:hAnsi="宋体"/>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color w:val="auto"/>
                <w:szCs w:val="21"/>
                <w:highlight w:val="none"/>
              </w:rPr>
            </w:pPr>
            <w:r>
              <w:rPr>
                <w:rFonts w:ascii="宋体" w:hAnsi="宋体"/>
                <w:bCs/>
                <w:color w:val="auto"/>
                <w:szCs w:val="21"/>
                <w:highlight w:val="none"/>
              </w:rPr>
              <w:t>2</w:t>
            </w:r>
          </w:p>
        </w:tc>
        <w:tc>
          <w:tcPr>
            <w:tcW w:w="1870" w:type="dxa"/>
            <w:vAlign w:val="center"/>
          </w:tcPr>
          <w:p>
            <w:pPr>
              <w:spacing w:line="360" w:lineRule="auto"/>
              <w:jc w:val="center"/>
              <w:rPr>
                <w:rFonts w:ascii="宋体"/>
                <w:bCs/>
                <w:color w:val="auto"/>
                <w:szCs w:val="21"/>
                <w:highlight w:val="none"/>
              </w:rPr>
            </w:pPr>
            <w:r>
              <w:rPr>
                <w:rFonts w:hint="eastAsia" w:ascii="宋体" w:hAnsi="宋体"/>
                <w:bCs/>
                <w:color w:val="auto"/>
                <w:szCs w:val="21"/>
                <w:highlight w:val="none"/>
              </w:rPr>
              <w:t>浮游菌采样器</w:t>
            </w:r>
          </w:p>
        </w:tc>
        <w:tc>
          <w:tcPr>
            <w:tcW w:w="825" w:type="dxa"/>
            <w:vAlign w:val="center"/>
          </w:tcPr>
          <w:p>
            <w:pPr>
              <w:spacing w:line="360" w:lineRule="auto"/>
              <w:jc w:val="center"/>
              <w:rPr>
                <w:rFonts w:ascii="宋体"/>
                <w:bCs/>
                <w:color w:val="auto"/>
                <w:szCs w:val="21"/>
                <w:highlight w:val="none"/>
              </w:rPr>
            </w:pPr>
            <w:r>
              <w:rPr>
                <w:rFonts w:hint="eastAsia" w:ascii="宋体" w:hAnsi="宋体"/>
                <w:bCs/>
                <w:color w:val="auto"/>
                <w:szCs w:val="21"/>
                <w:highlight w:val="none"/>
              </w:rPr>
              <w:t>个</w:t>
            </w:r>
          </w:p>
        </w:tc>
        <w:tc>
          <w:tcPr>
            <w:tcW w:w="705" w:type="dxa"/>
            <w:vAlign w:val="center"/>
          </w:tcPr>
          <w:p>
            <w:pPr>
              <w:spacing w:line="360" w:lineRule="auto"/>
              <w:jc w:val="center"/>
              <w:rPr>
                <w:rFonts w:ascii="宋体"/>
                <w:bCs/>
                <w:color w:val="auto"/>
                <w:szCs w:val="21"/>
                <w:highlight w:val="none"/>
              </w:rPr>
            </w:pPr>
            <w:r>
              <w:rPr>
                <w:rFonts w:hint="eastAsia" w:ascii="宋体" w:hAnsi="宋体"/>
                <w:bCs/>
                <w:color w:val="auto"/>
                <w:szCs w:val="21"/>
                <w:highlight w:val="none"/>
                <w:lang w:val="en-US" w:eastAsia="zh-CN"/>
              </w:rPr>
              <w:t>5</w:t>
            </w:r>
          </w:p>
        </w:tc>
        <w:tc>
          <w:tcPr>
            <w:tcW w:w="5384" w:type="dxa"/>
            <w:vAlign w:val="center"/>
          </w:tcPr>
          <w:p>
            <w:pPr>
              <w:spacing w:line="360" w:lineRule="auto"/>
              <w:rPr>
                <w:rFonts w:ascii="宋体"/>
                <w:bCs/>
                <w:color w:val="auto"/>
                <w:szCs w:val="21"/>
                <w:highlight w:val="none"/>
                <w:lang w:eastAsia="zh-CN"/>
              </w:rPr>
            </w:pPr>
            <w:r>
              <w:rPr>
                <w:rFonts w:hint="eastAsia" w:ascii="宋体"/>
                <w:bCs/>
                <w:color w:val="auto"/>
                <w:szCs w:val="21"/>
                <w:highlight w:val="none"/>
                <w:lang w:eastAsia="zh-CN"/>
              </w:rPr>
              <w:t>“</w:t>
            </w:r>
            <w:r>
              <w:rPr>
                <w:rFonts w:hint="eastAsia" w:ascii="宋体"/>
                <w:bCs/>
                <w:color w:val="auto"/>
                <w:szCs w:val="21"/>
                <w:highlight w:val="none"/>
                <w:lang w:val="en-US" w:eastAsia="zh-CN"/>
              </w:rPr>
              <w:t>灌装间</w:t>
            </w:r>
            <w:r>
              <w:rPr>
                <w:rFonts w:hint="eastAsia" w:ascii="宋体"/>
                <w:bCs/>
                <w:color w:val="auto"/>
                <w:szCs w:val="21"/>
                <w:highlight w:val="none"/>
                <w:lang w:eastAsia="zh-CN"/>
              </w:rPr>
              <w:t xml:space="preserve">” </w:t>
            </w:r>
            <w:r>
              <w:rPr>
                <w:rFonts w:hint="eastAsia" w:ascii="宋体"/>
                <w:bCs/>
                <w:color w:val="auto"/>
                <w:szCs w:val="21"/>
                <w:highlight w:val="none"/>
                <w:lang w:val="en-US" w:eastAsia="zh-CN"/>
              </w:rPr>
              <w:t>6</w:t>
            </w:r>
            <w:r>
              <w:rPr>
                <w:rFonts w:hint="eastAsia" w:ascii="宋体"/>
                <w:bCs/>
                <w:color w:val="auto"/>
                <w:szCs w:val="21"/>
                <w:highlight w:val="none"/>
                <w:lang w:eastAsia="zh-CN"/>
              </w:rPr>
              <w:t>个；</w:t>
            </w:r>
            <w:r>
              <w:rPr>
                <w:rFonts w:hint="eastAsia" w:ascii="宋体" w:hAnsi="宋体"/>
                <w:bCs/>
                <w:color w:val="auto"/>
                <w:szCs w:val="21"/>
                <w:highlight w:val="none"/>
                <w:lang w:eastAsia="zh-CN"/>
              </w:rPr>
              <w:t>（出瓶区传送带附近，灌装泵右侧10cm处，胶塞料斗旁10cm处，制品刮瓶区，冻干柜门前，</w:t>
            </w:r>
            <w:r>
              <w:rPr>
                <w:rFonts w:hint="eastAsia" w:ascii="宋体" w:hAnsi="宋体"/>
                <w:bCs/>
                <w:color w:val="auto"/>
                <w:szCs w:val="21"/>
                <w:highlight w:val="none"/>
                <w:lang w:val="en-US" w:eastAsia="zh-CN"/>
              </w:rPr>
              <w:t>理瓶盘外侧</w:t>
            </w:r>
            <w:r>
              <w:rPr>
                <w:rFonts w:hint="eastAsia" w:ascii="宋体" w:hAnsi="宋体"/>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highlight w:val="none"/>
              </w:rPr>
            </w:pPr>
            <w:r>
              <w:rPr>
                <w:rFonts w:ascii="宋体" w:hAnsi="宋体"/>
                <w:bCs/>
                <w:szCs w:val="21"/>
                <w:highlight w:val="none"/>
              </w:rPr>
              <w:t>3</w:t>
            </w:r>
          </w:p>
        </w:tc>
        <w:tc>
          <w:tcPr>
            <w:tcW w:w="1870" w:type="dxa"/>
            <w:vAlign w:val="center"/>
          </w:tcPr>
          <w:p>
            <w:pPr>
              <w:spacing w:line="360" w:lineRule="auto"/>
              <w:jc w:val="center"/>
              <w:rPr>
                <w:rFonts w:ascii="宋体" w:hAnsi="宋体"/>
                <w:bCs/>
                <w:szCs w:val="21"/>
                <w:highlight w:val="none"/>
                <w:lang w:eastAsia="zh-CN"/>
              </w:rPr>
            </w:pPr>
            <w:r>
              <w:rPr>
                <w:rFonts w:hint="eastAsia" w:ascii="宋体" w:hAnsi="宋体"/>
                <w:bCs/>
                <w:szCs w:val="21"/>
                <w:highlight w:val="none"/>
                <w:lang w:eastAsia="zh-CN"/>
              </w:rPr>
              <w:t>触摸屏</w:t>
            </w:r>
          </w:p>
        </w:tc>
        <w:tc>
          <w:tcPr>
            <w:tcW w:w="825" w:type="dxa"/>
            <w:vAlign w:val="center"/>
          </w:tcPr>
          <w:p>
            <w:pPr>
              <w:spacing w:line="360" w:lineRule="auto"/>
              <w:jc w:val="center"/>
              <w:rPr>
                <w:rFonts w:ascii="宋体" w:hAnsi="宋体"/>
                <w:bCs/>
                <w:szCs w:val="21"/>
                <w:highlight w:val="none"/>
              </w:rPr>
            </w:pPr>
            <w:r>
              <w:rPr>
                <w:rFonts w:hint="eastAsia" w:ascii="宋体" w:hAnsi="宋体"/>
                <w:bCs/>
                <w:szCs w:val="21"/>
                <w:highlight w:val="none"/>
                <w:lang w:eastAsia="zh-CN"/>
              </w:rPr>
              <w:t>台</w:t>
            </w:r>
          </w:p>
        </w:tc>
        <w:tc>
          <w:tcPr>
            <w:tcW w:w="705" w:type="dxa"/>
            <w:vAlign w:val="center"/>
          </w:tcPr>
          <w:p>
            <w:pPr>
              <w:spacing w:line="360" w:lineRule="auto"/>
              <w:jc w:val="center"/>
              <w:rPr>
                <w:rFonts w:ascii="宋体" w:hAnsi="宋体"/>
                <w:bCs/>
                <w:szCs w:val="21"/>
                <w:highlight w:val="none"/>
                <w:lang w:eastAsia="zh-CN"/>
              </w:rPr>
            </w:pPr>
            <w:r>
              <w:rPr>
                <w:rFonts w:hint="eastAsia" w:ascii="宋体" w:hAnsi="宋体"/>
                <w:bCs/>
                <w:szCs w:val="21"/>
                <w:highlight w:val="none"/>
                <w:lang w:val="en-US" w:eastAsia="zh-CN"/>
              </w:rPr>
              <w:t>1</w:t>
            </w:r>
          </w:p>
        </w:tc>
        <w:tc>
          <w:tcPr>
            <w:tcW w:w="5384" w:type="dxa"/>
            <w:vAlign w:val="center"/>
          </w:tcPr>
          <w:p>
            <w:pPr>
              <w:spacing w:line="360" w:lineRule="auto"/>
              <w:rPr>
                <w:rFonts w:ascii="宋体"/>
                <w:bCs/>
                <w:szCs w:val="21"/>
                <w:highlight w:val="none"/>
                <w:lang w:eastAsia="zh-CN"/>
              </w:rPr>
            </w:pPr>
            <w:r>
              <w:rPr>
                <w:rFonts w:hint="eastAsia" w:ascii="宋体"/>
                <w:bCs/>
                <w:szCs w:val="21"/>
                <w:highlight w:val="none"/>
                <w:lang w:eastAsia="zh-CN"/>
              </w:rPr>
              <w:t>“</w:t>
            </w:r>
            <w:r>
              <w:rPr>
                <w:rFonts w:hint="eastAsia" w:ascii="宋体"/>
                <w:bCs/>
                <w:szCs w:val="21"/>
                <w:highlight w:val="none"/>
                <w:lang w:val="en-US" w:eastAsia="zh-CN"/>
              </w:rPr>
              <w:t>灌装间</w:t>
            </w:r>
            <w:r>
              <w:rPr>
                <w:rFonts w:hint="eastAsia" w:ascii="宋体"/>
                <w:bCs/>
                <w:szCs w:val="21"/>
                <w:highlight w:val="none"/>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highlight w:val="none"/>
              </w:rPr>
            </w:pPr>
            <w:r>
              <w:rPr>
                <w:rFonts w:ascii="宋体" w:hAnsi="宋体"/>
                <w:bCs/>
                <w:szCs w:val="21"/>
                <w:highlight w:val="none"/>
              </w:rPr>
              <w:t>4</w:t>
            </w:r>
          </w:p>
        </w:tc>
        <w:tc>
          <w:tcPr>
            <w:tcW w:w="1870" w:type="dxa"/>
            <w:vAlign w:val="center"/>
          </w:tcPr>
          <w:p>
            <w:pPr>
              <w:spacing w:line="360" w:lineRule="auto"/>
              <w:jc w:val="center"/>
              <w:rPr>
                <w:rFonts w:ascii="宋体"/>
                <w:bCs/>
                <w:szCs w:val="21"/>
                <w:highlight w:val="none"/>
              </w:rPr>
            </w:pPr>
            <w:r>
              <w:rPr>
                <w:rFonts w:hint="eastAsia" w:ascii="宋体" w:hAnsi="宋体"/>
                <w:bCs/>
                <w:szCs w:val="21"/>
                <w:highlight w:val="none"/>
              </w:rPr>
              <w:t>报警</w:t>
            </w:r>
            <w:r>
              <w:rPr>
                <w:rFonts w:hint="eastAsia" w:ascii="宋体" w:hAnsi="宋体"/>
                <w:bCs/>
                <w:szCs w:val="21"/>
                <w:highlight w:val="none"/>
                <w:lang w:eastAsia="zh-CN"/>
              </w:rPr>
              <w:t>器</w:t>
            </w:r>
          </w:p>
        </w:tc>
        <w:tc>
          <w:tcPr>
            <w:tcW w:w="825" w:type="dxa"/>
            <w:vAlign w:val="center"/>
          </w:tcPr>
          <w:p>
            <w:pPr>
              <w:spacing w:line="360" w:lineRule="auto"/>
              <w:jc w:val="center"/>
              <w:rPr>
                <w:rFonts w:ascii="宋体"/>
                <w:bCs/>
                <w:szCs w:val="21"/>
                <w:highlight w:val="none"/>
              </w:rPr>
            </w:pPr>
            <w:r>
              <w:rPr>
                <w:rFonts w:hint="eastAsia" w:ascii="宋体" w:hAnsi="宋体"/>
                <w:bCs/>
                <w:szCs w:val="21"/>
                <w:highlight w:val="none"/>
                <w:lang w:eastAsia="zh-CN"/>
              </w:rPr>
              <w:t>个</w:t>
            </w:r>
          </w:p>
        </w:tc>
        <w:tc>
          <w:tcPr>
            <w:tcW w:w="705" w:type="dxa"/>
            <w:vAlign w:val="center"/>
          </w:tcPr>
          <w:p>
            <w:pPr>
              <w:spacing w:line="360" w:lineRule="auto"/>
              <w:jc w:val="center"/>
              <w:rPr>
                <w:rFonts w:ascii="宋体"/>
                <w:bCs/>
                <w:szCs w:val="21"/>
                <w:highlight w:val="none"/>
                <w:lang w:eastAsia="zh-CN"/>
              </w:rPr>
            </w:pPr>
            <w:r>
              <w:rPr>
                <w:rFonts w:ascii="宋体" w:hAnsi="宋体"/>
                <w:bCs/>
                <w:szCs w:val="21"/>
                <w:highlight w:val="none"/>
                <w:lang w:val="en-US" w:eastAsia="zh-CN"/>
              </w:rPr>
              <w:t>1</w:t>
            </w:r>
          </w:p>
        </w:tc>
        <w:tc>
          <w:tcPr>
            <w:tcW w:w="5384" w:type="dxa"/>
            <w:vAlign w:val="center"/>
          </w:tcPr>
          <w:p>
            <w:pPr>
              <w:spacing w:line="360" w:lineRule="auto"/>
              <w:rPr>
                <w:rFonts w:ascii="宋体"/>
                <w:bCs/>
                <w:szCs w:val="21"/>
                <w:highlight w:val="none"/>
                <w:lang w:eastAsia="zh-CN"/>
              </w:rPr>
            </w:pPr>
            <w:r>
              <w:rPr>
                <w:rFonts w:hint="eastAsia" w:ascii="宋体"/>
                <w:bCs/>
                <w:szCs w:val="21"/>
                <w:highlight w:val="none"/>
                <w:lang w:eastAsia="zh-CN"/>
              </w:rPr>
              <w:t xml:space="preserve"> 灌装间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highlight w:val="none"/>
              </w:rPr>
            </w:pPr>
            <w:r>
              <w:rPr>
                <w:rFonts w:ascii="宋体" w:hAnsi="宋体"/>
                <w:bCs/>
                <w:szCs w:val="21"/>
                <w:highlight w:val="none"/>
              </w:rPr>
              <w:t>5</w:t>
            </w:r>
          </w:p>
        </w:tc>
        <w:tc>
          <w:tcPr>
            <w:tcW w:w="1870" w:type="dxa"/>
            <w:vAlign w:val="center"/>
          </w:tcPr>
          <w:p>
            <w:pPr>
              <w:spacing w:line="360" w:lineRule="auto"/>
              <w:jc w:val="center"/>
              <w:rPr>
                <w:rFonts w:ascii="宋体" w:hAnsi="宋体"/>
                <w:bCs/>
                <w:szCs w:val="21"/>
                <w:highlight w:val="none"/>
                <w:lang w:eastAsia="zh-CN"/>
              </w:rPr>
            </w:pPr>
            <w:r>
              <w:rPr>
                <w:rFonts w:hint="eastAsia" w:ascii="宋体" w:hAnsi="宋体"/>
                <w:bCs/>
                <w:szCs w:val="21"/>
                <w:highlight w:val="none"/>
                <w:lang w:eastAsia="zh-CN"/>
              </w:rPr>
              <w:t>主控电脑</w:t>
            </w:r>
          </w:p>
          <w:p>
            <w:pPr>
              <w:spacing w:line="360" w:lineRule="auto"/>
              <w:jc w:val="center"/>
              <w:rPr>
                <w:rFonts w:ascii="宋体"/>
                <w:bCs/>
                <w:szCs w:val="21"/>
                <w:highlight w:val="none"/>
                <w:lang w:eastAsia="zh-CN"/>
              </w:rPr>
            </w:pPr>
            <w:r>
              <w:rPr>
                <w:rFonts w:hint="eastAsia" w:ascii="宋体" w:hAnsi="宋体"/>
                <w:bCs/>
                <w:szCs w:val="21"/>
                <w:highlight w:val="none"/>
                <w:lang w:eastAsia="zh-CN"/>
              </w:rPr>
              <w:t>（含软件）</w:t>
            </w:r>
          </w:p>
        </w:tc>
        <w:tc>
          <w:tcPr>
            <w:tcW w:w="825" w:type="dxa"/>
            <w:vAlign w:val="center"/>
          </w:tcPr>
          <w:p>
            <w:pPr>
              <w:spacing w:line="360" w:lineRule="auto"/>
              <w:jc w:val="center"/>
              <w:rPr>
                <w:rFonts w:ascii="宋体"/>
                <w:bCs/>
                <w:szCs w:val="21"/>
                <w:highlight w:val="none"/>
              </w:rPr>
            </w:pPr>
            <w:r>
              <w:rPr>
                <w:rFonts w:hint="eastAsia" w:ascii="宋体" w:hAnsi="宋体"/>
                <w:bCs/>
                <w:szCs w:val="21"/>
                <w:highlight w:val="none"/>
              </w:rPr>
              <w:t>台</w:t>
            </w:r>
          </w:p>
        </w:tc>
        <w:tc>
          <w:tcPr>
            <w:tcW w:w="705" w:type="dxa"/>
            <w:vAlign w:val="center"/>
          </w:tcPr>
          <w:p>
            <w:pPr>
              <w:spacing w:line="360" w:lineRule="auto"/>
              <w:jc w:val="center"/>
              <w:rPr>
                <w:rFonts w:ascii="宋体" w:hAnsi="宋体"/>
                <w:bCs/>
                <w:szCs w:val="21"/>
                <w:highlight w:val="none"/>
                <w:lang w:eastAsia="zh-CN"/>
              </w:rPr>
            </w:pPr>
            <w:r>
              <w:rPr>
                <w:rFonts w:hint="eastAsia" w:ascii="宋体" w:hAnsi="宋体"/>
                <w:bCs/>
                <w:szCs w:val="21"/>
                <w:highlight w:val="none"/>
                <w:lang w:val="en-US" w:eastAsia="zh-CN"/>
              </w:rPr>
              <w:t>0</w:t>
            </w:r>
          </w:p>
        </w:tc>
        <w:tc>
          <w:tcPr>
            <w:tcW w:w="5384" w:type="dxa"/>
            <w:vAlign w:val="center"/>
          </w:tcPr>
          <w:p>
            <w:pPr>
              <w:spacing w:line="360" w:lineRule="auto"/>
              <w:rPr>
                <w:rFonts w:ascii="宋体"/>
                <w:bCs/>
                <w:szCs w:val="21"/>
                <w:highlight w:val="none"/>
                <w:lang w:eastAsia="zh-CN"/>
              </w:rPr>
            </w:pPr>
            <w:r>
              <w:rPr>
                <w:rFonts w:hint="eastAsia" w:ascii="宋体"/>
                <w:bCs/>
                <w:szCs w:val="21"/>
                <w:highlight w:val="none"/>
                <w:lang w:val="en-US" w:eastAsia="zh-CN"/>
              </w:rPr>
              <w:t>利旧</w:t>
            </w:r>
            <w:r>
              <w:rPr>
                <w:rFonts w:hint="eastAsia" w:ascii="宋体"/>
                <w:bCs/>
                <w:szCs w:val="21"/>
                <w:highlight w:val="none"/>
                <w:lang w:eastAsia="zh-CN"/>
              </w:rPr>
              <w:t>，“</w:t>
            </w:r>
            <w:r>
              <w:rPr>
                <w:rFonts w:hint="eastAsia" w:ascii="宋体" w:hAnsi="宋体"/>
                <w:szCs w:val="21"/>
                <w:highlight w:val="none"/>
                <w:lang w:eastAsia="zh-CN"/>
              </w:rPr>
              <w:t>资料间</w:t>
            </w:r>
            <w:r>
              <w:rPr>
                <w:rFonts w:hint="eastAsia" w:ascii="宋体"/>
                <w:bCs/>
                <w:szCs w:val="21"/>
                <w:highlight w:val="none"/>
                <w:lang w:eastAsia="zh-CN"/>
              </w:rPr>
              <w:t>”有1个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highlight w:val="none"/>
              </w:rPr>
            </w:pPr>
            <w:r>
              <w:rPr>
                <w:rFonts w:ascii="宋体" w:hAnsi="宋体"/>
                <w:bCs/>
                <w:szCs w:val="21"/>
                <w:highlight w:val="none"/>
              </w:rPr>
              <w:t>6</w:t>
            </w:r>
          </w:p>
        </w:tc>
        <w:tc>
          <w:tcPr>
            <w:tcW w:w="1870" w:type="dxa"/>
            <w:vAlign w:val="center"/>
          </w:tcPr>
          <w:p>
            <w:pPr>
              <w:spacing w:line="360" w:lineRule="auto"/>
              <w:jc w:val="center"/>
              <w:rPr>
                <w:rFonts w:ascii="宋体"/>
                <w:bCs/>
                <w:szCs w:val="21"/>
                <w:highlight w:val="none"/>
              </w:rPr>
            </w:pPr>
            <w:r>
              <w:rPr>
                <w:rFonts w:hint="eastAsia" w:ascii="宋体" w:hAnsi="宋体"/>
                <w:bCs/>
                <w:szCs w:val="21"/>
                <w:highlight w:val="none"/>
              </w:rPr>
              <w:t>真空系统</w:t>
            </w:r>
          </w:p>
        </w:tc>
        <w:tc>
          <w:tcPr>
            <w:tcW w:w="825" w:type="dxa"/>
            <w:vAlign w:val="center"/>
          </w:tcPr>
          <w:p>
            <w:pPr>
              <w:spacing w:line="360" w:lineRule="auto"/>
              <w:jc w:val="center"/>
              <w:rPr>
                <w:rFonts w:ascii="宋体"/>
                <w:bCs/>
                <w:szCs w:val="21"/>
                <w:highlight w:val="none"/>
              </w:rPr>
            </w:pPr>
            <w:r>
              <w:rPr>
                <w:rFonts w:hint="eastAsia" w:ascii="宋体" w:hAnsi="宋体"/>
                <w:bCs/>
                <w:szCs w:val="21"/>
                <w:highlight w:val="none"/>
              </w:rPr>
              <w:t>套</w:t>
            </w:r>
          </w:p>
        </w:tc>
        <w:tc>
          <w:tcPr>
            <w:tcW w:w="705" w:type="dxa"/>
            <w:vAlign w:val="center"/>
          </w:tcPr>
          <w:p>
            <w:pPr>
              <w:spacing w:line="360" w:lineRule="auto"/>
              <w:jc w:val="center"/>
              <w:rPr>
                <w:rFonts w:ascii="宋体" w:hAnsi="宋体"/>
                <w:bCs/>
                <w:szCs w:val="21"/>
                <w:highlight w:val="none"/>
                <w:lang w:eastAsia="zh-CN"/>
              </w:rPr>
            </w:pPr>
            <w:r>
              <w:rPr>
                <w:rFonts w:hint="eastAsia" w:ascii="宋体" w:hAnsi="宋体"/>
                <w:bCs/>
                <w:szCs w:val="21"/>
                <w:highlight w:val="none"/>
                <w:lang w:val="en-US" w:eastAsia="zh-CN"/>
              </w:rPr>
              <w:t>0</w:t>
            </w:r>
          </w:p>
        </w:tc>
        <w:tc>
          <w:tcPr>
            <w:tcW w:w="5384" w:type="dxa"/>
            <w:vAlign w:val="center"/>
          </w:tcPr>
          <w:p>
            <w:pPr>
              <w:spacing w:line="360" w:lineRule="auto"/>
              <w:rPr>
                <w:rFonts w:ascii="宋体"/>
                <w:bCs/>
                <w:szCs w:val="21"/>
                <w:highlight w:val="none"/>
                <w:lang w:eastAsia="zh-CN"/>
              </w:rPr>
            </w:pPr>
            <w:r>
              <w:rPr>
                <w:rFonts w:hint="eastAsia" w:ascii="宋体"/>
                <w:bCs/>
                <w:szCs w:val="21"/>
                <w:highlight w:val="none"/>
                <w:lang w:eastAsia="zh-CN"/>
              </w:rPr>
              <w:t>利旧，真空泵安装在空调机房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highlight w:val="none"/>
              </w:rPr>
            </w:pPr>
            <w:r>
              <w:rPr>
                <w:rFonts w:ascii="宋体" w:hAnsi="宋体"/>
                <w:bCs/>
                <w:szCs w:val="21"/>
                <w:highlight w:val="none"/>
              </w:rPr>
              <w:t>7</w:t>
            </w:r>
          </w:p>
        </w:tc>
        <w:tc>
          <w:tcPr>
            <w:tcW w:w="1870" w:type="dxa"/>
            <w:vAlign w:val="center"/>
          </w:tcPr>
          <w:p>
            <w:pPr>
              <w:spacing w:line="360" w:lineRule="auto"/>
              <w:jc w:val="center"/>
              <w:rPr>
                <w:rFonts w:ascii="宋体"/>
                <w:bCs/>
                <w:szCs w:val="21"/>
                <w:highlight w:val="none"/>
              </w:rPr>
            </w:pPr>
            <w:r>
              <w:rPr>
                <w:rFonts w:hint="eastAsia" w:ascii="宋体" w:hAnsi="宋体"/>
                <w:bCs/>
                <w:szCs w:val="21"/>
                <w:highlight w:val="none"/>
              </w:rPr>
              <w:t>打印机</w:t>
            </w:r>
          </w:p>
        </w:tc>
        <w:tc>
          <w:tcPr>
            <w:tcW w:w="825" w:type="dxa"/>
            <w:vAlign w:val="center"/>
          </w:tcPr>
          <w:p>
            <w:pPr>
              <w:spacing w:line="360" w:lineRule="auto"/>
              <w:jc w:val="center"/>
              <w:rPr>
                <w:rFonts w:ascii="宋体"/>
                <w:bCs/>
                <w:szCs w:val="21"/>
                <w:highlight w:val="none"/>
              </w:rPr>
            </w:pPr>
            <w:r>
              <w:rPr>
                <w:rFonts w:hint="eastAsia" w:ascii="宋体" w:hAnsi="宋体"/>
                <w:bCs/>
                <w:szCs w:val="21"/>
                <w:highlight w:val="none"/>
              </w:rPr>
              <w:t>台</w:t>
            </w:r>
          </w:p>
        </w:tc>
        <w:tc>
          <w:tcPr>
            <w:tcW w:w="705" w:type="dxa"/>
            <w:vAlign w:val="center"/>
          </w:tcPr>
          <w:p>
            <w:pPr>
              <w:spacing w:line="360" w:lineRule="auto"/>
              <w:jc w:val="center"/>
              <w:rPr>
                <w:rFonts w:ascii="宋体" w:hAnsi="宋体"/>
                <w:bCs/>
                <w:szCs w:val="21"/>
                <w:highlight w:val="none"/>
                <w:lang w:eastAsia="zh-CN"/>
              </w:rPr>
            </w:pPr>
            <w:r>
              <w:rPr>
                <w:rFonts w:hint="eastAsia" w:ascii="宋体" w:hAnsi="宋体"/>
                <w:bCs/>
                <w:szCs w:val="21"/>
                <w:highlight w:val="none"/>
                <w:lang w:val="en-US" w:eastAsia="zh-CN"/>
              </w:rPr>
              <w:t>0</w:t>
            </w:r>
          </w:p>
        </w:tc>
        <w:tc>
          <w:tcPr>
            <w:tcW w:w="5384" w:type="dxa"/>
            <w:vAlign w:val="center"/>
          </w:tcPr>
          <w:p>
            <w:pPr>
              <w:spacing w:line="360" w:lineRule="auto"/>
              <w:rPr>
                <w:rFonts w:ascii="宋体"/>
                <w:bCs/>
                <w:szCs w:val="21"/>
                <w:highlight w:val="none"/>
                <w:lang w:eastAsia="zh-CN"/>
              </w:rPr>
            </w:pPr>
            <w:r>
              <w:rPr>
                <w:rFonts w:hint="eastAsia" w:ascii="宋体" w:hAnsi="宋体"/>
                <w:bCs/>
                <w:szCs w:val="21"/>
                <w:highlight w:val="none"/>
                <w:lang w:eastAsia="zh-CN"/>
              </w:rPr>
              <w:t>利旧，激光彩色硒鼓打印机</w:t>
            </w:r>
          </w:p>
        </w:tc>
      </w:tr>
      <w:permEnd w:id="7"/>
    </w:tbl>
    <w:p>
      <w:pPr>
        <w:pStyle w:val="53"/>
        <w:spacing w:before="0" w:line="360" w:lineRule="auto"/>
        <w:jc w:val="left"/>
        <w:rPr>
          <w:rFonts w:ascii="宋体" w:hAnsi="宋体"/>
          <w:i/>
          <w:color w:val="4472C4"/>
          <w:sz w:val="21"/>
          <w:szCs w:val="21"/>
          <w:highlight w:val="none"/>
          <w:lang w:eastAsia="zh-CN"/>
        </w:rPr>
      </w:pPr>
    </w:p>
    <w:p>
      <w:pPr>
        <w:pStyle w:val="44"/>
        <w:numPr>
          <w:ilvl w:val="0"/>
          <w:numId w:val="3"/>
        </w:numPr>
        <w:spacing w:after="158" w:afterLines="50"/>
        <w:ind w:left="426" w:hanging="426" w:hangingChars="202"/>
        <w:outlineLvl w:val="0"/>
        <w:rPr>
          <w:rFonts w:ascii="Times New Roman" w:hAnsi="Times New Roman"/>
          <w:szCs w:val="21"/>
          <w:highlight w:val="none"/>
        </w:rPr>
      </w:pPr>
      <w:bookmarkStart w:id="22" w:name="_Toc522716120"/>
      <w:r>
        <w:rPr>
          <w:rFonts w:hint="eastAsia" w:ascii="Times New Roman" w:hAnsi="Times New Roman"/>
          <w:b/>
          <w:szCs w:val="21"/>
          <w:highlight w:val="none"/>
        </w:rPr>
        <w:t>安装要求</w:t>
      </w:r>
      <w:bookmarkEnd w:id="22"/>
      <w:bookmarkStart w:id="47" w:name="_GoBack"/>
      <w:bookmarkEnd w:id="47"/>
      <w:permStart w:id="8" w:edGrp="everyone"/>
      <w:permEnd w:id="8"/>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10"/>
        <w:gridCol w:w="1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highlight w:val="none"/>
              </w:rPr>
            </w:pPr>
            <w:bookmarkStart w:id="23" w:name="OLE_LINK1"/>
            <w:bookmarkStart w:id="24" w:name="OLE_LINK2"/>
            <w:r>
              <w:rPr>
                <w:rFonts w:hint="eastAsia"/>
                <w:b/>
                <w:szCs w:val="21"/>
                <w:highlight w:val="none"/>
              </w:rPr>
              <w:t>编号</w:t>
            </w:r>
          </w:p>
        </w:tc>
        <w:tc>
          <w:tcPr>
            <w:tcW w:w="7128" w:type="dxa"/>
            <w:gridSpan w:val="2"/>
            <w:shd w:val="clear" w:color="auto" w:fill="D9D9D9"/>
            <w:vAlign w:val="center"/>
          </w:tcPr>
          <w:p>
            <w:pPr>
              <w:jc w:val="center"/>
              <w:rPr>
                <w:b/>
                <w:szCs w:val="21"/>
                <w:highlight w:val="none"/>
                <w:lang w:eastAsia="zh-CN"/>
              </w:rPr>
            </w:pPr>
            <w:r>
              <w:rPr>
                <w:rFonts w:hint="eastAsia"/>
                <w:b/>
                <w:szCs w:val="21"/>
                <w:highlight w:val="none"/>
                <w:lang w:eastAsia="zh-CN"/>
              </w:rPr>
              <w:t>需求</w:t>
            </w:r>
          </w:p>
        </w:tc>
        <w:tc>
          <w:tcPr>
            <w:tcW w:w="2125" w:type="dxa"/>
            <w:shd w:val="clear" w:color="auto" w:fill="D9D9D9"/>
            <w:vAlign w:val="center"/>
          </w:tcPr>
          <w:p>
            <w:pPr>
              <w:jc w:val="center"/>
              <w:rPr>
                <w:b/>
                <w:szCs w:val="21"/>
                <w:highlight w:val="none"/>
                <w:lang w:eastAsia="zh-CN"/>
              </w:rPr>
            </w:pPr>
            <w:r>
              <w:rPr>
                <w:rFonts w:hint="eastAsia"/>
                <w:b/>
                <w:szCs w:val="21"/>
                <w:highlight w:val="none"/>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highlight w:val="none"/>
              </w:rPr>
            </w:pPr>
          </w:p>
        </w:tc>
        <w:tc>
          <w:tcPr>
            <w:tcW w:w="9253" w:type="dxa"/>
            <w:gridSpan w:val="3"/>
            <w:shd w:val="clear" w:color="auto" w:fill="D9D9D9"/>
            <w:vAlign w:val="center"/>
          </w:tcPr>
          <w:p>
            <w:pPr>
              <w:jc w:val="both"/>
              <w:rPr>
                <w:szCs w:val="21"/>
                <w:highlight w:val="none"/>
                <w:lang w:eastAsia="zh-CN"/>
              </w:rPr>
            </w:pPr>
            <w:r>
              <w:rPr>
                <w:szCs w:val="21"/>
                <w:highlight w:val="none"/>
                <w:lang w:eastAsia="zh-CN"/>
              </w:rPr>
              <w:t xml:space="preserve"> </w:t>
            </w:r>
            <w:r>
              <w:rPr>
                <w:rFonts w:hint="eastAsia"/>
                <w:szCs w:val="21"/>
                <w:highlight w:val="none"/>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310" w:type="dxa"/>
            <w:vAlign w:val="center"/>
          </w:tcPr>
          <w:p>
            <w:pPr>
              <w:pStyle w:val="44"/>
              <w:numPr>
                <w:ilvl w:val="0"/>
                <w:numId w:val="7"/>
              </w:numPr>
              <w:ind w:left="470" w:hanging="120" w:firstLineChars="0"/>
              <w:rPr>
                <w:rFonts w:ascii="Times New Roman" w:hAnsi="Times New Roman"/>
                <w:color w:val="FF0000"/>
                <w:kern w:val="0"/>
                <w:szCs w:val="21"/>
                <w:highlight w:val="none"/>
                <w:lang w:val="en-GB"/>
              </w:rPr>
            </w:pPr>
            <w:permStart w:id="9" w:edGrp="everyone"/>
          </w:p>
        </w:tc>
        <w:tc>
          <w:tcPr>
            <w:tcW w:w="7128" w:type="dxa"/>
            <w:gridSpan w:val="2"/>
            <w:vAlign w:val="center"/>
          </w:tcPr>
          <w:p>
            <w:pPr>
              <w:spacing w:line="276" w:lineRule="auto"/>
              <w:jc w:val="both"/>
              <w:rPr>
                <w:color w:val="auto"/>
                <w:szCs w:val="21"/>
                <w:highlight w:val="none"/>
                <w:lang w:eastAsia="zh-CN"/>
              </w:rPr>
            </w:pPr>
            <w:r>
              <w:rPr>
                <w:rFonts w:hint="eastAsia"/>
                <w:color w:val="auto"/>
                <w:szCs w:val="21"/>
                <w:highlight w:val="none"/>
                <w:lang w:eastAsia="zh-CN"/>
              </w:rPr>
              <w:t>粒子计数器和浮游菌采样头安装在</w:t>
            </w:r>
            <w:r>
              <w:rPr>
                <w:rFonts w:hint="eastAsia" w:ascii="宋体"/>
                <w:bCs/>
                <w:color w:val="auto"/>
                <w:szCs w:val="21"/>
                <w:highlight w:val="none"/>
                <w:lang w:eastAsia="zh-CN"/>
              </w:rPr>
              <w:t>“灌装间”：</w:t>
            </w:r>
            <w:r>
              <w:rPr>
                <w:rFonts w:hint="eastAsia" w:ascii="宋体" w:hAnsi="宋体"/>
                <w:bCs/>
                <w:color w:val="auto"/>
                <w:szCs w:val="21"/>
                <w:highlight w:val="none"/>
                <w:lang w:eastAsia="zh-CN"/>
              </w:rPr>
              <w:t>灌装泵右侧10cm处，加塞转盘旁10cm处，</w:t>
            </w:r>
            <w:r>
              <w:rPr>
                <w:rFonts w:hint="eastAsia" w:ascii="宋体" w:hAnsi="宋体"/>
                <w:bCs/>
                <w:color w:val="auto"/>
                <w:szCs w:val="21"/>
                <w:highlight w:val="none"/>
                <w:lang w:val="en-US" w:eastAsia="zh-CN"/>
              </w:rPr>
              <w:t>HMI操作界面旁，</w:t>
            </w:r>
            <w:r>
              <w:rPr>
                <w:rFonts w:hint="eastAsia" w:ascii="宋体" w:hAnsi="宋体"/>
                <w:bCs/>
                <w:color w:val="auto"/>
                <w:szCs w:val="21"/>
                <w:highlight w:val="none"/>
                <w:lang w:eastAsia="zh-CN"/>
              </w:rPr>
              <w:t>2号冻干柜柜门旁</w:t>
            </w:r>
          </w:p>
        </w:tc>
        <w:tc>
          <w:tcPr>
            <w:tcW w:w="2125" w:type="dxa"/>
            <w:vAlign w:val="center"/>
          </w:tcPr>
          <w:p>
            <w:pPr>
              <w:jc w:val="center"/>
              <w:rPr>
                <w:i/>
                <w:color w:val="auto"/>
                <w:szCs w:val="21"/>
                <w:highlight w:val="none"/>
                <w:lang w:eastAsia="zh-CN"/>
              </w:rPr>
            </w:pPr>
            <w:r>
              <w:rPr>
                <w:rFonts w:hint="eastAsia"/>
                <w:iCs/>
                <w:color w:val="auto"/>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kern w:val="0"/>
                <w:szCs w:val="21"/>
                <w:highlight w:val="none"/>
                <w:lang w:val="en-GB"/>
              </w:rPr>
            </w:pPr>
          </w:p>
        </w:tc>
        <w:tc>
          <w:tcPr>
            <w:tcW w:w="7128" w:type="dxa"/>
            <w:gridSpan w:val="2"/>
            <w:vAlign w:val="center"/>
          </w:tcPr>
          <w:p>
            <w:pPr>
              <w:spacing w:line="276" w:lineRule="auto"/>
              <w:jc w:val="both"/>
              <w:rPr>
                <w:szCs w:val="21"/>
                <w:highlight w:val="none"/>
                <w:lang w:eastAsia="zh-CN"/>
              </w:rPr>
            </w:pPr>
            <w:r>
              <w:rPr>
                <w:rFonts w:hint="eastAsia" w:ascii="宋体" w:hAnsi="宋体"/>
                <w:szCs w:val="21"/>
                <w:highlight w:val="none"/>
                <w:lang w:eastAsia="zh-CN"/>
              </w:rPr>
              <w:t>扩展的声光报警灯位于：</w:t>
            </w:r>
            <w:r>
              <w:rPr>
                <w:rFonts w:hint="eastAsia" w:ascii="宋体"/>
                <w:bCs/>
                <w:szCs w:val="21"/>
                <w:highlight w:val="none"/>
                <w:lang w:eastAsia="zh-CN"/>
              </w:rPr>
              <w:t>灌装间</w:t>
            </w:r>
          </w:p>
        </w:tc>
        <w:tc>
          <w:tcPr>
            <w:tcW w:w="2125" w:type="dxa"/>
            <w:vAlign w:val="center"/>
          </w:tcPr>
          <w:p>
            <w:pPr>
              <w:jc w:val="center"/>
              <w:rPr>
                <w:iCs/>
                <w:szCs w:val="21"/>
                <w:highlight w:val="none"/>
                <w:lang w:eastAsia="zh-CN"/>
              </w:rPr>
            </w:pPr>
            <w:r>
              <w:rPr>
                <w:rFonts w:hint="eastAsia"/>
                <w:iCs/>
                <w:szCs w:val="21"/>
                <w:highlight w:val="none"/>
                <w:lang w:eastAsia="zh-CN"/>
              </w:rPr>
              <w:t>关键</w:t>
            </w:r>
          </w:p>
        </w:tc>
      </w:tr>
      <w:permEnd w:id="9"/>
      <w:tr>
        <w:tblPrEx>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highlight w:val="none"/>
              </w:rPr>
            </w:pPr>
          </w:p>
        </w:tc>
        <w:tc>
          <w:tcPr>
            <w:tcW w:w="9253" w:type="dxa"/>
            <w:gridSpan w:val="3"/>
            <w:shd w:val="clear" w:color="auto" w:fill="D9D9D9"/>
            <w:vAlign w:val="center"/>
          </w:tcPr>
          <w:p>
            <w:pPr>
              <w:jc w:val="both"/>
              <w:rPr>
                <w:szCs w:val="21"/>
                <w:highlight w:val="none"/>
                <w:lang w:eastAsia="zh-CN"/>
              </w:rPr>
            </w:pPr>
            <w:r>
              <w:rPr>
                <w:rFonts w:hint="eastAsia"/>
                <w:szCs w:val="21"/>
                <w:highlight w:val="none"/>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10" w:edGrp="everyone"/>
          </w:p>
        </w:tc>
        <w:tc>
          <w:tcPr>
            <w:tcW w:w="7128" w:type="dxa"/>
            <w:gridSpan w:val="2"/>
            <w:vAlign w:val="center"/>
          </w:tcPr>
          <w:p>
            <w:pPr>
              <w:spacing w:line="276" w:lineRule="auto"/>
              <w:jc w:val="both"/>
              <w:rPr>
                <w:rFonts w:hint="default"/>
                <w:i/>
                <w:szCs w:val="21"/>
                <w:highlight w:val="none"/>
                <w:lang w:val="en-US" w:eastAsia="zh-CN"/>
              </w:rPr>
            </w:pPr>
            <w:r>
              <w:rPr>
                <w:rFonts w:hint="eastAsia" w:ascii="宋体" w:hAnsi="宋体"/>
                <w:bCs/>
                <w:szCs w:val="30"/>
                <w:highlight w:val="none"/>
                <w:lang w:eastAsia="zh-CN"/>
              </w:rPr>
              <w:t>设备布局和连接轨道应在需方提供的房间内部合理布局。安装高度</w:t>
            </w:r>
            <w:r>
              <w:rPr>
                <w:rFonts w:hint="eastAsia" w:ascii="宋体" w:hAnsi="宋体"/>
                <w:bCs/>
                <w:szCs w:val="30"/>
                <w:highlight w:val="none"/>
                <w:lang w:val="en-US" w:eastAsia="zh-CN"/>
              </w:rPr>
              <w:t>1.45m。</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10"/>
      <w:tr>
        <w:tblPrEx>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11" w:edGrp="everyone"/>
          </w:p>
        </w:tc>
        <w:tc>
          <w:tcPr>
            <w:tcW w:w="7128" w:type="dxa"/>
            <w:gridSpan w:val="2"/>
            <w:vAlign w:val="center"/>
          </w:tcPr>
          <w:p>
            <w:pPr>
              <w:spacing w:line="276" w:lineRule="auto"/>
              <w:jc w:val="both"/>
              <w:rPr>
                <w:color w:val="0070C0"/>
                <w:szCs w:val="21"/>
                <w:highlight w:val="none"/>
                <w:lang w:val="en-US" w:eastAsia="zh-CN"/>
              </w:rPr>
            </w:pPr>
            <w:r>
              <w:rPr>
                <w:rFonts w:hint="eastAsia"/>
                <w:szCs w:val="21"/>
                <w:highlight w:val="none"/>
                <w:lang w:eastAsia="zh-CN"/>
              </w:rPr>
              <w:t>设备的形式尺寸应符合制造商说明书及技术文件规定的要求。</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spacing w:line="276" w:lineRule="auto"/>
              <w:jc w:val="both"/>
              <w:rPr>
                <w:color w:val="0070C0"/>
                <w:szCs w:val="21"/>
                <w:highlight w:val="none"/>
                <w:lang w:eastAsia="zh-CN"/>
              </w:rPr>
            </w:pPr>
            <w:r>
              <w:rPr>
                <w:rFonts w:hint="eastAsia"/>
                <w:szCs w:val="21"/>
                <w:highlight w:val="none"/>
                <w:lang w:eastAsia="zh-CN"/>
              </w:rPr>
              <w:t>供应商必须给出设备选型方案及相应附件选型方案，并交给我公司使用部门及工程类部门审核。</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highlight w:val="none"/>
              </w:rPr>
            </w:pPr>
          </w:p>
        </w:tc>
        <w:tc>
          <w:tcPr>
            <w:tcW w:w="9253" w:type="dxa"/>
            <w:gridSpan w:val="3"/>
            <w:shd w:val="clear" w:color="auto" w:fill="D9D9D9"/>
            <w:vAlign w:val="center"/>
          </w:tcPr>
          <w:p>
            <w:pPr>
              <w:jc w:val="both"/>
              <w:rPr>
                <w:szCs w:val="21"/>
                <w:highlight w:val="none"/>
                <w:lang w:eastAsia="zh-CN"/>
              </w:rPr>
            </w:pPr>
            <w:r>
              <w:rPr>
                <w:rFonts w:hint="eastAsia"/>
                <w:szCs w:val="21"/>
                <w:highlight w:val="none"/>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highlight w:val="none"/>
              </w:rPr>
            </w:pPr>
            <w:permStart w:id="12" w:edGrp="everyone"/>
          </w:p>
        </w:tc>
        <w:tc>
          <w:tcPr>
            <w:tcW w:w="9253" w:type="dxa"/>
            <w:gridSpan w:val="3"/>
            <w:vAlign w:val="center"/>
          </w:tcPr>
          <w:p>
            <w:pPr>
              <w:jc w:val="both"/>
              <w:rPr>
                <w:szCs w:val="21"/>
                <w:highlight w:val="none"/>
                <w:lang w:eastAsia="zh-CN"/>
              </w:rPr>
            </w:pPr>
            <w:r>
              <w:rPr>
                <w:szCs w:val="21"/>
                <w:highlight w:val="none"/>
                <w:lang w:val="en-US"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highlight w:val="none"/>
              </w:rPr>
            </w:pPr>
          </w:p>
        </w:tc>
        <w:tc>
          <w:tcPr>
            <w:tcW w:w="9253" w:type="dxa"/>
            <w:gridSpan w:val="3"/>
            <w:tcBorders>
              <w:bottom w:val="single" w:color="auto" w:sz="4" w:space="0"/>
            </w:tcBorders>
            <w:shd w:val="clear" w:color="auto" w:fill="D9D9D9"/>
            <w:vAlign w:val="center"/>
          </w:tcPr>
          <w:p>
            <w:pPr>
              <w:jc w:val="both"/>
              <w:rPr>
                <w:szCs w:val="21"/>
                <w:highlight w:val="none"/>
                <w:lang w:eastAsia="zh-CN"/>
              </w:rPr>
            </w:pPr>
            <w:r>
              <w:rPr>
                <w:rFonts w:hint="eastAsia"/>
                <w:szCs w:val="21"/>
                <w:highlight w:val="none"/>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44"/>
              <w:numPr>
                <w:ilvl w:val="0"/>
                <w:numId w:val="7"/>
              </w:numPr>
              <w:ind w:left="470" w:hanging="120" w:firstLineChars="0"/>
              <w:rPr>
                <w:rFonts w:ascii="Times New Roman" w:hAnsi="Times New Roman"/>
                <w:szCs w:val="21"/>
                <w:highlight w:val="none"/>
              </w:rPr>
            </w:pPr>
            <w:permStart w:id="13" w:edGrp="everyone"/>
          </w:p>
        </w:tc>
        <w:tc>
          <w:tcPr>
            <w:tcW w:w="7110" w:type="dxa"/>
            <w:tcBorders>
              <w:bottom w:val="single" w:color="auto" w:sz="4" w:space="0"/>
            </w:tcBorders>
            <w:vAlign w:val="center"/>
          </w:tcPr>
          <w:p>
            <w:pPr>
              <w:jc w:val="both"/>
              <w:rPr>
                <w:szCs w:val="21"/>
                <w:highlight w:val="none"/>
                <w:lang w:val="en-US" w:eastAsia="zh-CN"/>
              </w:rPr>
            </w:pPr>
            <w:r>
              <w:rPr>
                <w:rFonts w:hint="eastAsia" w:ascii="宋体" w:hAnsi="宋体"/>
                <w:highlight w:val="none"/>
                <w:lang w:eastAsia="zh-CN"/>
              </w:rPr>
              <w:t>真空系统： 利用原系统真空泵</w:t>
            </w:r>
          </w:p>
        </w:tc>
        <w:tc>
          <w:tcPr>
            <w:tcW w:w="2143" w:type="dxa"/>
            <w:gridSpan w:val="2"/>
            <w:tcBorders>
              <w:bottom w:val="single" w:color="auto" w:sz="4" w:space="0"/>
            </w:tcBorders>
            <w:vAlign w:val="center"/>
          </w:tcPr>
          <w:p>
            <w:pPr>
              <w:jc w:val="center"/>
              <w:rPr>
                <w:szCs w:val="21"/>
                <w:highlight w:val="none"/>
                <w:lang w:val="en-US" w:eastAsia="zh-CN"/>
              </w:rPr>
            </w:pPr>
            <w:r>
              <w:rPr>
                <w:rFonts w:hint="eastAsia"/>
                <w:szCs w:val="21"/>
                <w:highlight w:val="none"/>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highlight w:val="none"/>
              </w:rPr>
            </w:pPr>
            <w:permStart w:id="14" w:edGrp="everyone"/>
            <w:permEnd w:id="14"/>
          </w:p>
        </w:tc>
        <w:tc>
          <w:tcPr>
            <w:tcW w:w="9253" w:type="dxa"/>
            <w:gridSpan w:val="3"/>
            <w:tcBorders>
              <w:top w:val="single" w:color="auto" w:sz="4" w:space="0"/>
            </w:tcBorders>
            <w:shd w:val="clear" w:color="auto" w:fill="D9D9D9"/>
            <w:vAlign w:val="center"/>
          </w:tcPr>
          <w:p>
            <w:pPr>
              <w:jc w:val="both"/>
              <w:rPr>
                <w:szCs w:val="21"/>
                <w:highlight w:val="none"/>
                <w:lang w:eastAsia="zh-CN"/>
              </w:rPr>
            </w:pPr>
            <w:r>
              <w:rPr>
                <w:rFonts w:hint="eastAsia"/>
                <w:szCs w:val="21"/>
                <w:highlight w:val="none"/>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15" w:edGrp="everyone"/>
          </w:p>
        </w:tc>
        <w:tc>
          <w:tcPr>
            <w:tcW w:w="7128" w:type="dxa"/>
            <w:gridSpan w:val="2"/>
            <w:vAlign w:val="center"/>
          </w:tcPr>
          <w:p>
            <w:pPr>
              <w:spacing w:line="276" w:lineRule="auto"/>
              <w:jc w:val="both"/>
              <w:rPr>
                <w:szCs w:val="21"/>
                <w:highlight w:val="none"/>
                <w:lang w:eastAsia="zh-CN"/>
              </w:rPr>
            </w:pPr>
            <w:r>
              <w:rPr>
                <w:rFonts w:hint="eastAsia"/>
                <w:szCs w:val="22"/>
                <w:highlight w:val="none"/>
                <w:lang w:eastAsia="zh-CN"/>
              </w:rPr>
              <w:t>适用于本公司工作</w:t>
            </w:r>
            <w:r>
              <w:rPr>
                <w:rFonts w:hint="eastAsia"/>
                <w:color w:val="000000"/>
                <w:szCs w:val="22"/>
                <w:highlight w:val="none"/>
                <w:lang w:eastAsia="zh-CN"/>
              </w:rPr>
              <w:t>环境温度：能适应</w:t>
            </w:r>
            <w:r>
              <w:rPr>
                <w:color w:val="000000"/>
                <w:szCs w:val="22"/>
                <w:highlight w:val="none"/>
                <w:lang w:eastAsia="zh-CN"/>
              </w:rPr>
              <w:t>10</w:t>
            </w:r>
            <w:r>
              <w:rPr>
                <w:rFonts w:hint="eastAsia"/>
                <w:color w:val="000000"/>
                <w:szCs w:val="22"/>
                <w:highlight w:val="none"/>
                <w:lang w:eastAsia="zh-CN"/>
              </w:rPr>
              <w:t>℃～</w:t>
            </w:r>
            <w:r>
              <w:rPr>
                <w:color w:val="000000"/>
                <w:szCs w:val="22"/>
                <w:highlight w:val="none"/>
                <w:lang w:eastAsia="zh-CN"/>
              </w:rPr>
              <w:t>3</w:t>
            </w:r>
            <w:r>
              <w:rPr>
                <w:color w:val="000000"/>
                <w:szCs w:val="22"/>
                <w:highlight w:val="none"/>
                <w:lang w:val="en-US" w:eastAsia="zh-CN"/>
              </w:rPr>
              <w:t>5</w:t>
            </w:r>
            <w:r>
              <w:rPr>
                <w:rFonts w:hint="eastAsia"/>
                <w:color w:val="000000"/>
                <w:szCs w:val="22"/>
                <w:highlight w:val="none"/>
                <w:lang w:eastAsia="zh-CN"/>
              </w:rPr>
              <w:t>℃环境</w:t>
            </w:r>
            <w:r>
              <w:rPr>
                <w:color w:val="000000"/>
                <w:szCs w:val="22"/>
                <w:highlight w:val="none"/>
                <w:lang w:eastAsia="zh-CN"/>
              </w:rPr>
              <w:t xml:space="preserve"> </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16" w:edGrp="everyone"/>
          </w:p>
        </w:tc>
        <w:tc>
          <w:tcPr>
            <w:tcW w:w="7128" w:type="dxa"/>
            <w:gridSpan w:val="2"/>
            <w:vAlign w:val="center"/>
          </w:tcPr>
          <w:p>
            <w:pPr>
              <w:spacing w:line="276" w:lineRule="auto"/>
              <w:jc w:val="both"/>
              <w:rPr>
                <w:szCs w:val="21"/>
                <w:highlight w:val="none"/>
                <w:lang w:eastAsia="zh-CN"/>
              </w:rPr>
            </w:pPr>
            <w:r>
              <w:rPr>
                <w:rFonts w:hint="eastAsia"/>
                <w:szCs w:val="22"/>
                <w:highlight w:val="none"/>
                <w:lang w:eastAsia="zh-CN"/>
              </w:rPr>
              <w:t>适用于本公司</w:t>
            </w:r>
            <w:r>
              <w:rPr>
                <w:rFonts w:hint="eastAsia"/>
                <w:highlight w:val="none"/>
                <w:lang w:eastAsia="zh-CN"/>
              </w:rPr>
              <w:t>工</w:t>
            </w:r>
            <w:r>
              <w:rPr>
                <w:rFonts w:hint="eastAsia"/>
                <w:color w:val="000000"/>
                <w:highlight w:val="none"/>
                <w:lang w:eastAsia="zh-CN"/>
              </w:rPr>
              <w:t>作环境湿度：至少包括</w:t>
            </w:r>
            <w:r>
              <w:rPr>
                <w:color w:val="000000"/>
                <w:highlight w:val="none"/>
                <w:lang w:val="en-US" w:eastAsia="zh-CN"/>
              </w:rPr>
              <w:t>20</w:t>
            </w:r>
            <w:r>
              <w:rPr>
                <w:color w:val="000000"/>
                <w:highlight w:val="none"/>
                <w:lang w:eastAsia="zh-CN"/>
              </w:rPr>
              <w:t>%</w:t>
            </w:r>
            <w:r>
              <w:rPr>
                <w:rFonts w:hint="eastAsia"/>
                <w:color w:val="000000"/>
                <w:highlight w:val="none"/>
                <w:lang w:eastAsia="zh-CN"/>
              </w:rPr>
              <w:t>～</w:t>
            </w:r>
            <w:r>
              <w:rPr>
                <w:color w:val="000000"/>
                <w:highlight w:val="none"/>
                <w:lang w:val="en-US" w:eastAsia="zh-CN"/>
              </w:rPr>
              <w:t>75</w:t>
            </w:r>
            <w:r>
              <w:rPr>
                <w:color w:val="000000"/>
                <w:highlight w:val="none"/>
                <w:lang w:eastAsia="zh-CN"/>
              </w:rPr>
              <w:t>%</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17" w:edGrp="everyone"/>
          </w:p>
        </w:tc>
        <w:tc>
          <w:tcPr>
            <w:tcW w:w="7128" w:type="dxa"/>
            <w:gridSpan w:val="2"/>
            <w:vAlign w:val="center"/>
          </w:tcPr>
          <w:p>
            <w:pPr>
              <w:spacing w:line="276" w:lineRule="auto"/>
              <w:jc w:val="both"/>
              <w:rPr>
                <w:color w:val="000000"/>
                <w:szCs w:val="22"/>
                <w:highlight w:val="none"/>
                <w:lang w:eastAsia="zh-CN"/>
              </w:rPr>
            </w:pPr>
            <w:r>
              <w:rPr>
                <w:rFonts w:hint="eastAsia"/>
                <w:szCs w:val="22"/>
                <w:highlight w:val="none"/>
                <w:lang w:eastAsia="zh-CN"/>
              </w:rPr>
              <w:t>适用于本公司</w:t>
            </w:r>
            <w:r>
              <w:rPr>
                <w:rFonts w:hint="eastAsia"/>
                <w:highlight w:val="none"/>
                <w:lang w:eastAsia="zh-CN"/>
              </w:rPr>
              <w:t>工作</w:t>
            </w:r>
            <w:r>
              <w:rPr>
                <w:rFonts w:hint="eastAsia"/>
                <w:color w:val="000000"/>
                <w:highlight w:val="none"/>
                <w:lang w:eastAsia="zh-CN"/>
              </w:rPr>
              <w:t>环境洁净级别：</w:t>
            </w:r>
            <w:r>
              <w:rPr>
                <w:color w:val="000000"/>
                <w:szCs w:val="22"/>
                <w:highlight w:val="none"/>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919"/>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841" w:type="dxa"/>
                  <w:shd w:val="clear" w:color="auto" w:fill="D9D9D9"/>
                  <w:vAlign w:val="center"/>
                </w:tcPr>
                <w:p>
                  <w:pPr>
                    <w:pStyle w:val="7"/>
                    <w:spacing w:after="0"/>
                    <w:jc w:val="center"/>
                    <w:rPr>
                      <w:rFonts w:ascii="宋体"/>
                      <w:b/>
                      <w:sz w:val="21"/>
                      <w:szCs w:val="21"/>
                      <w:highlight w:val="none"/>
                    </w:rPr>
                  </w:pPr>
                  <w:r>
                    <w:rPr>
                      <w:rFonts w:hint="eastAsia" w:ascii="宋体" w:hAnsi="宋体"/>
                      <w:b/>
                      <w:sz w:val="21"/>
                      <w:szCs w:val="21"/>
                      <w:highlight w:val="none"/>
                    </w:rPr>
                    <w:t>序号</w:t>
                  </w:r>
                </w:p>
              </w:tc>
              <w:tc>
                <w:tcPr>
                  <w:tcW w:w="2919" w:type="dxa"/>
                  <w:shd w:val="clear" w:color="auto" w:fill="D9D9D9"/>
                  <w:vAlign w:val="center"/>
                </w:tcPr>
                <w:p>
                  <w:pPr>
                    <w:pStyle w:val="7"/>
                    <w:spacing w:after="0"/>
                    <w:jc w:val="center"/>
                    <w:rPr>
                      <w:rFonts w:ascii="宋体"/>
                      <w:b/>
                      <w:sz w:val="21"/>
                      <w:szCs w:val="21"/>
                      <w:highlight w:val="none"/>
                    </w:rPr>
                  </w:pPr>
                  <w:r>
                    <w:rPr>
                      <w:rFonts w:hint="eastAsia" w:ascii="宋体" w:hAnsi="宋体"/>
                      <w:b/>
                      <w:sz w:val="21"/>
                      <w:szCs w:val="21"/>
                      <w:highlight w:val="none"/>
                    </w:rPr>
                    <w:t>部件名称</w:t>
                  </w:r>
                </w:p>
              </w:tc>
              <w:tc>
                <w:tcPr>
                  <w:tcW w:w="2480" w:type="dxa"/>
                  <w:shd w:val="clear" w:color="auto" w:fill="D9D9D9"/>
                  <w:vAlign w:val="center"/>
                </w:tcPr>
                <w:p>
                  <w:pPr>
                    <w:pStyle w:val="7"/>
                    <w:spacing w:after="0"/>
                    <w:jc w:val="center"/>
                    <w:rPr>
                      <w:rFonts w:ascii="宋体"/>
                      <w:b/>
                      <w:sz w:val="21"/>
                      <w:szCs w:val="21"/>
                      <w:highlight w:val="none"/>
                    </w:rPr>
                  </w:pPr>
                  <w:r>
                    <w:rPr>
                      <w:rFonts w:hint="eastAsia" w:ascii="宋体" w:hAnsi="宋体"/>
                      <w:b/>
                      <w:sz w:val="21"/>
                      <w:szCs w:val="21"/>
                      <w:highlight w:val="none"/>
                    </w:rPr>
                    <w:t>环境洁净级别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841" w:type="dxa"/>
                  <w:vAlign w:val="center"/>
                </w:tcPr>
                <w:p>
                  <w:pPr>
                    <w:pStyle w:val="7"/>
                    <w:spacing w:after="0"/>
                    <w:jc w:val="center"/>
                    <w:rPr>
                      <w:rFonts w:ascii="宋体" w:hAnsi="宋体"/>
                      <w:sz w:val="21"/>
                      <w:szCs w:val="21"/>
                      <w:highlight w:val="none"/>
                    </w:rPr>
                  </w:pPr>
                  <w:r>
                    <w:rPr>
                      <w:rFonts w:ascii="宋体" w:hAnsi="宋体"/>
                      <w:sz w:val="21"/>
                      <w:szCs w:val="21"/>
                      <w:highlight w:val="none"/>
                    </w:rPr>
                    <w:t>1</w:t>
                  </w:r>
                </w:p>
              </w:tc>
              <w:tc>
                <w:tcPr>
                  <w:tcW w:w="2919" w:type="dxa"/>
                  <w:vAlign w:val="center"/>
                </w:tcPr>
                <w:p>
                  <w:pPr>
                    <w:pStyle w:val="7"/>
                    <w:spacing w:after="0"/>
                    <w:jc w:val="center"/>
                    <w:rPr>
                      <w:rFonts w:ascii="宋体"/>
                      <w:sz w:val="21"/>
                      <w:szCs w:val="21"/>
                      <w:highlight w:val="none"/>
                      <w:lang w:eastAsia="zh-CN"/>
                    </w:rPr>
                  </w:pPr>
                  <w:r>
                    <w:rPr>
                      <w:rFonts w:hint="eastAsia" w:ascii="宋体" w:hAnsi="宋体"/>
                      <w:sz w:val="21"/>
                      <w:szCs w:val="21"/>
                      <w:highlight w:val="none"/>
                      <w:lang w:eastAsia="zh-CN"/>
                    </w:rPr>
                    <w:t>粒子计数器、浮游菌采样器</w:t>
                  </w:r>
                </w:p>
              </w:tc>
              <w:tc>
                <w:tcPr>
                  <w:tcW w:w="2480" w:type="dxa"/>
                  <w:vAlign w:val="center"/>
                </w:tcPr>
                <w:p>
                  <w:pPr>
                    <w:pStyle w:val="7"/>
                    <w:spacing w:after="0"/>
                    <w:jc w:val="center"/>
                    <w:rPr>
                      <w:rFonts w:ascii="宋体" w:hAnsi="宋体"/>
                      <w:sz w:val="21"/>
                      <w:szCs w:val="21"/>
                      <w:highlight w:val="none"/>
                    </w:rPr>
                  </w:pPr>
                  <w:r>
                    <w:rPr>
                      <w:rFonts w:ascii="宋体" w:hAnsi="宋体"/>
                      <w:sz w:val="21"/>
                      <w:szCs w:val="21"/>
                      <w:highlight w:val="none"/>
                    </w:rPr>
                    <w:t>A</w:t>
                  </w:r>
                  <w:r>
                    <w:rPr>
                      <w:rFonts w:hint="eastAsia" w:ascii="宋体" w:hAnsi="宋体"/>
                      <w:sz w:val="21"/>
                      <w:szCs w:val="21"/>
                      <w:highlight w:val="none"/>
                    </w:rPr>
                    <w:t>、</w:t>
                  </w:r>
                  <w:r>
                    <w:rPr>
                      <w:rFonts w:ascii="宋体" w:hAnsi="宋体"/>
                      <w:sz w:val="21"/>
                      <w:szCs w:val="21"/>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1" w:type="dxa"/>
                  <w:vAlign w:val="center"/>
                </w:tcPr>
                <w:p>
                  <w:pPr>
                    <w:pStyle w:val="7"/>
                    <w:spacing w:after="0"/>
                    <w:jc w:val="center"/>
                    <w:rPr>
                      <w:rFonts w:ascii="宋体" w:hAnsi="宋体"/>
                      <w:sz w:val="21"/>
                      <w:szCs w:val="21"/>
                      <w:highlight w:val="none"/>
                    </w:rPr>
                  </w:pPr>
                  <w:r>
                    <w:rPr>
                      <w:rFonts w:ascii="宋体" w:hAnsi="宋体"/>
                      <w:sz w:val="21"/>
                      <w:szCs w:val="21"/>
                      <w:highlight w:val="none"/>
                    </w:rPr>
                    <w:t>2</w:t>
                  </w:r>
                </w:p>
              </w:tc>
              <w:tc>
                <w:tcPr>
                  <w:tcW w:w="2919" w:type="dxa"/>
                  <w:vAlign w:val="center"/>
                </w:tcPr>
                <w:p>
                  <w:pPr>
                    <w:pStyle w:val="7"/>
                    <w:spacing w:after="0"/>
                    <w:jc w:val="center"/>
                    <w:rPr>
                      <w:rFonts w:ascii="宋体"/>
                      <w:sz w:val="21"/>
                      <w:szCs w:val="21"/>
                      <w:highlight w:val="none"/>
                    </w:rPr>
                  </w:pPr>
                  <w:r>
                    <w:rPr>
                      <w:rFonts w:hint="eastAsia" w:ascii="宋体" w:hAnsi="宋体"/>
                      <w:sz w:val="21"/>
                      <w:szCs w:val="21"/>
                      <w:highlight w:val="none"/>
                      <w:lang w:eastAsia="zh-CN"/>
                    </w:rPr>
                    <w:t>触摸屏</w:t>
                  </w:r>
                </w:p>
              </w:tc>
              <w:tc>
                <w:tcPr>
                  <w:tcW w:w="2480" w:type="dxa"/>
                  <w:vAlign w:val="center"/>
                </w:tcPr>
                <w:p>
                  <w:pPr>
                    <w:pStyle w:val="7"/>
                    <w:spacing w:after="0"/>
                    <w:jc w:val="center"/>
                    <w:rPr>
                      <w:rFonts w:ascii="宋体" w:hAnsi="宋体"/>
                      <w:sz w:val="21"/>
                      <w:szCs w:val="21"/>
                      <w:highlight w:val="none"/>
                    </w:rPr>
                  </w:pPr>
                  <w:r>
                    <w:rPr>
                      <w:rFonts w:ascii="宋体" w:hAnsi="宋体"/>
                      <w:sz w:val="21"/>
                      <w:szCs w:val="21"/>
                      <w:highlight w:val="none"/>
                    </w:rPr>
                    <w:t>A</w:t>
                  </w:r>
                  <w:r>
                    <w:rPr>
                      <w:rFonts w:hint="eastAsia" w:ascii="宋体" w:hAnsi="宋体"/>
                      <w:sz w:val="21"/>
                      <w:szCs w:val="21"/>
                      <w:highlight w:val="none"/>
                    </w:rPr>
                    <w:t>、</w:t>
                  </w:r>
                  <w:r>
                    <w:rPr>
                      <w:rFonts w:ascii="宋体" w:hAnsi="宋体"/>
                      <w:sz w:val="21"/>
                      <w:szCs w:val="21"/>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841" w:type="dxa"/>
                  <w:vAlign w:val="center"/>
                </w:tcPr>
                <w:p>
                  <w:pPr>
                    <w:pStyle w:val="7"/>
                    <w:spacing w:after="0"/>
                    <w:jc w:val="center"/>
                    <w:rPr>
                      <w:rFonts w:ascii="宋体" w:hAnsi="宋体"/>
                      <w:sz w:val="21"/>
                      <w:szCs w:val="21"/>
                      <w:highlight w:val="none"/>
                    </w:rPr>
                  </w:pPr>
                  <w:r>
                    <w:rPr>
                      <w:rFonts w:ascii="宋体" w:hAnsi="宋体"/>
                      <w:sz w:val="21"/>
                      <w:szCs w:val="21"/>
                      <w:highlight w:val="none"/>
                    </w:rPr>
                    <w:t>3</w:t>
                  </w:r>
                </w:p>
              </w:tc>
              <w:tc>
                <w:tcPr>
                  <w:tcW w:w="2919" w:type="dxa"/>
                  <w:vAlign w:val="center"/>
                </w:tcPr>
                <w:p>
                  <w:pPr>
                    <w:pStyle w:val="7"/>
                    <w:spacing w:after="0"/>
                    <w:jc w:val="center"/>
                    <w:rPr>
                      <w:rFonts w:ascii="宋体"/>
                      <w:sz w:val="21"/>
                      <w:szCs w:val="21"/>
                      <w:highlight w:val="none"/>
                    </w:rPr>
                  </w:pPr>
                  <w:r>
                    <w:rPr>
                      <w:rFonts w:hint="eastAsia" w:ascii="宋体" w:hAnsi="宋体"/>
                      <w:bCs/>
                      <w:sz w:val="21"/>
                      <w:szCs w:val="21"/>
                      <w:highlight w:val="none"/>
                    </w:rPr>
                    <w:t>主控</w:t>
                  </w:r>
                  <w:r>
                    <w:rPr>
                      <w:rFonts w:hint="eastAsia" w:ascii="宋体" w:hAnsi="宋体"/>
                      <w:sz w:val="21"/>
                      <w:szCs w:val="21"/>
                      <w:highlight w:val="none"/>
                    </w:rPr>
                    <w:t>电脑</w:t>
                  </w:r>
                </w:p>
              </w:tc>
              <w:tc>
                <w:tcPr>
                  <w:tcW w:w="2480" w:type="dxa"/>
                  <w:vAlign w:val="center"/>
                </w:tcPr>
                <w:p>
                  <w:pPr>
                    <w:pStyle w:val="7"/>
                    <w:spacing w:after="0"/>
                    <w:jc w:val="center"/>
                    <w:rPr>
                      <w:rFonts w:ascii="宋体"/>
                      <w:sz w:val="21"/>
                      <w:szCs w:val="21"/>
                      <w:highlight w:val="none"/>
                    </w:rPr>
                  </w:pPr>
                  <w:r>
                    <w:rPr>
                      <w:rFonts w:ascii="宋体" w:hAnsi="宋体"/>
                      <w:sz w:val="21"/>
                      <w:szCs w:val="21"/>
                      <w:highlight w:val="none"/>
                    </w:rPr>
                    <w:t>CNC</w:t>
                  </w:r>
                  <w:r>
                    <w:rPr>
                      <w:rFonts w:hint="eastAsia" w:ascii="宋体" w:hAnsi="宋体"/>
                      <w:sz w:val="21"/>
                      <w:szCs w:val="21"/>
                      <w:highlight w:val="none"/>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841" w:type="dxa"/>
                  <w:vAlign w:val="center"/>
                </w:tcPr>
                <w:p>
                  <w:pPr>
                    <w:pStyle w:val="7"/>
                    <w:spacing w:after="0"/>
                    <w:jc w:val="center"/>
                    <w:rPr>
                      <w:rFonts w:ascii="宋体" w:hAnsi="宋体"/>
                      <w:sz w:val="21"/>
                      <w:szCs w:val="21"/>
                      <w:highlight w:val="none"/>
                    </w:rPr>
                  </w:pPr>
                  <w:r>
                    <w:rPr>
                      <w:rFonts w:ascii="宋体" w:hAnsi="宋体"/>
                      <w:sz w:val="21"/>
                      <w:szCs w:val="21"/>
                      <w:highlight w:val="none"/>
                    </w:rPr>
                    <w:t>4</w:t>
                  </w:r>
                </w:p>
              </w:tc>
              <w:tc>
                <w:tcPr>
                  <w:tcW w:w="2919" w:type="dxa"/>
                  <w:vAlign w:val="center"/>
                </w:tcPr>
                <w:p>
                  <w:pPr>
                    <w:pStyle w:val="7"/>
                    <w:spacing w:after="0"/>
                    <w:jc w:val="center"/>
                    <w:rPr>
                      <w:rFonts w:ascii="宋体"/>
                      <w:sz w:val="21"/>
                      <w:szCs w:val="21"/>
                      <w:highlight w:val="none"/>
                    </w:rPr>
                  </w:pPr>
                  <w:r>
                    <w:rPr>
                      <w:rFonts w:hint="eastAsia" w:ascii="宋体" w:hAnsi="宋体"/>
                      <w:sz w:val="21"/>
                      <w:szCs w:val="21"/>
                      <w:highlight w:val="none"/>
                    </w:rPr>
                    <w:t>真空泵</w:t>
                  </w:r>
                </w:p>
              </w:tc>
              <w:tc>
                <w:tcPr>
                  <w:tcW w:w="2480" w:type="dxa"/>
                  <w:vAlign w:val="center"/>
                </w:tcPr>
                <w:p>
                  <w:pPr>
                    <w:pStyle w:val="7"/>
                    <w:spacing w:after="0"/>
                    <w:jc w:val="center"/>
                    <w:rPr>
                      <w:rFonts w:ascii="宋体"/>
                      <w:sz w:val="21"/>
                      <w:szCs w:val="21"/>
                      <w:highlight w:val="none"/>
                    </w:rPr>
                  </w:pPr>
                  <w:r>
                    <w:rPr>
                      <w:rFonts w:ascii="宋体" w:hAnsi="宋体"/>
                      <w:sz w:val="21"/>
                      <w:szCs w:val="21"/>
                      <w:highlight w:val="none"/>
                    </w:rPr>
                    <w:t>CNC</w:t>
                  </w:r>
                  <w:r>
                    <w:rPr>
                      <w:rFonts w:hint="eastAsia" w:ascii="宋体" w:hAnsi="宋体"/>
                      <w:sz w:val="21"/>
                      <w:szCs w:val="21"/>
                      <w:highlight w:val="none"/>
                      <w:lang w:eastAsia="zh-CN"/>
                    </w:rPr>
                    <w:t>区</w:t>
                  </w:r>
                </w:p>
              </w:tc>
            </w:tr>
          </w:tbl>
          <w:p>
            <w:pPr>
              <w:spacing w:line="276" w:lineRule="auto"/>
              <w:jc w:val="both"/>
              <w:rPr>
                <w:color w:val="000000"/>
                <w:highlight w:val="none"/>
                <w:lang w:eastAsia="zh-CN"/>
              </w:rPr>
            </w:pP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highlight w:val="none"/>
              </w:rPr>
            </w:pPr>
          </w:p>
        </w:tc>
        <w:tc>
          <w:tcPr>
            <w:tcW w:w="9253" w:type="dxa"/>
            <w:gridSpan w:val="3"/>
            <w:shd w:val="clear" w:color="auto" w:fill="D9D9D9"/>
            <w:vAlign w:val="center"/>
          </w:tcPr>
          <w:p>
            <w:pPr>
              <w:jc w:val="both"/>
              <w:rPr>
                <w:szCs w:val="21"/>
                <w:highlight w:val="none"/>
                <w:lang w:eastAsia="zh-CN"/>
              </w:rPr>
            </w:pPr>
            <w:r>
              <w:rPr>
                <w:rFonts w:hint="eastAsia"/>
                <w:color w:val="000000"/>
                <w:highlight w:val="none"/>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18" w:edGrp="everyone"/>
          </w:p>
        </w:tc>
        <w:tc>
          <w:tcPr>
            <w:tcW w:w="7128" w:type="dxa"/>
            <w:gridSpan w:val="2"/>
            <w:vAlign w:val="center"/>
          </w:tcPr>
          <w:p>
            <w:pPr>
              <w:spacing w:line="276" w:lineRule="auto"/>
              <w:jc w:val="both"/>
              <w:rPr>
                <w:color w:val="000000"/>
                <w:highlight w:val="none"/>
                <w:lang w:eastAsia="zh-CN"/>
              </w:rPr>
            </w:pPr>
            <w:r>
              <w:rPr>
                <w:rFonts w:hint="eastAsia"/>
                <w:szCs w:val="22"/>
                <w:highlight w:val="none"/>
                <w:lang w:eastAsia="zh-CN"/>
              </w:rPr>
              <w:t>适用于本公司</w:t>
            </w:r>
            <w:r>
              <w:rPr>
                <w:rFonts w:hint="eastAsia"/>
                <w:highlight w:val="none"/>
                <w:lang w:eastAsia="zh-CN"/>
              </w:rPr>
              <w:t>交</w:t>
            </w:r>
            <w:r>
              <w:rPr>
                <w:rFonts w:hint="eastAsia"/>
                <w:color w:val="000000"/>
                <w:highlight w:val="none"/>
                <w:lang w:eastAsia="zh-CN"/>
              </w:rPr>
              <w:t>流电电源：</w:t>
            </w:r>
            <w:r>
              <w:rPr>
                <w:rFonts w:hint="eastAsia" w:ascii="宋体" w:hAnsi="宋体"/>
                <w:highlight w:val="none"/>
                <w:lang w:eastAsia="zh-CN"/>
              </w:rPr>
              <w:t>三相交流电电源，</w:t>
            </w:r>
            <w:r>
              <w:rPr>
                <w:rFonts w:ascii="宋体" w:hAnsi="宋体"/>
                <w:highlight w:val="none"/>
                <w:lang w:eastAsia="zh-CN"/>
              </w:rPr>
              <w:t xml:space="preserve"> 380V/220V</w:t>
            </w:r>
            <w:r>
              <w:rPr>
                <w:rFonts w:hint="eastAsia" w:ascii="宋体" w:hAnsi="宋体"/>
                <w:highlight w:val="none"/>
                <w:lang w:eastAsia="zh-CN"/>
              </w:rPr>
              <w:t>±</w:t>
            </w:r>
            <w:r>
              <w:rPr>
                <w:rFonts w:ascii="宋体" w:hAnsi="宋体"/>
                <w:highlight w:val="none"/>
                <w:lang w:eastAsia="zh-CN"/>
              </w:rPr>
              <w:t>5%</w:t>
            </w:r>
            <w:r>
              <w:rPr>
                <w:rFonts w:hint="eastAsia" w:ascii="宋体" w:hAnsi="宋体"/>
                <w:highlight w:val="none"/>
                <w:lang w:eastAsia="zh-CN"/>
              </w:rPr>
              <w:t>，</w:t>
            </w:r>
            <w:r>
              <w:rPr>
                <w:rFonts w:ascii="宋体" w:hAnsi="宋体"/>
                <w:highlight w:val="none"/>
                <w:lang w:eastAsia="zh-CN"/>
              </w:rPr>
              <w:t>50HZ</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6"/>
              </w:numPr>
              <w:ind w:firstLineChars="0"/>
              <w:rPr>
                <w:rFonts w:ascii="Times New Roman" w:hAnsi="Times New Roman"/>
                <w:szCs w:val="21"/>
                <w:highlight w:val="none"/>
              </w:rPr>
            </w:pPr>
          </w:p>
        </w:tc>
        <w:tc>
          <w:tcPr>
            <w:tcW w:w="9253" w:type="dxa"/>
            <w:gridSpan w:val="3"/>
            <w:shd w:val="clear" w:color="auto" w:fill="D9D9D9"/>
            <w:vAlign w:val="center"/>
          </w:tcPr>
          <w:p>
            <w:pPr>
              <w:jc w:val="both"/>
              <w:rPr>
                <w:szCs w:val="21"/>
                <w:highlight w:val="none"/>
                <w:lang w:eastAsia="zh-CN"/>
              </w:rPr>
            </w:pPr>
            <w:r>
              <w:rPr>
                <w:rFonts w:hint="eastAsia"/>
                <w:color w:val="000000"/>
                <w:highlight w:val="none"/>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19" w:edGrp="everyone"/>
          </w:p>
        </w:tc>
        <w:tc>
          <w:tcPr>
            <w:tcW w:w="7128" w:type="dxa"/>
            <w:gridSpan w:val="2"/>
            <w:vAlign w:val="center"/>
          </w:tcPr>
          <w:p>
            <w:pPr>
              <w:jc w:val="both"/>
              <w:rPr>
                <w:i/>
                <w:color w:val="000000"/>
                <w:highlight w:val="none"/>
                <w:lang w:val="en-US" w:eastAsia="zh-CN"/>
              </w:rPr>
            </w:pPr>
            <w:r>
              <w:rPr>
                <w:rFonts w:hint="eastAsia"/>
                <w:iCs/>
                <w:color w:val="000000"/>
                <w:highlight w:val="none"/>
                <w:lang w:val="en-US" w:eastAsia="zh-CN"/>
              </w:rPr>
              <w:t>设备表面：表面平整光洁，无明显的划痕、异常凹陷、脱落、裂纹、锈蚀以及其它肉眼可见的外观缺陷。</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iCs/>
                <w:color w:val="000000"/>
                <w:highlight w:val="none"/>
                <w:lang w:val="en-US" w:eastAsia="zh-CN"/>
              </w:rPr>
            </w:pPr>
            <w:r>
              <w:rPr>
                <w:rFonts w:hint="eastAsia"/>
                <w:iCs/>
                <w:color w:val="000000"/>
                <w:highlight w:val="none"/>
                <w:lang w:val="en-US" w:eastAsia="zh-CN"/>
              </w:rPr>
              <w:t>标记：产品铭牌、标识、标贴等标牌类零件的安装或粘连位置应正确、端正，标牌表面的文字、符号、图案等应正确、清晰。</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iCs/>
                <w:color w:val="000000"/>
                <w:highlight w:val="none"/>
                <w:lang w:val="en-US" w:eastAsia="zh-CN"/>
              </w:rPr>
            </w:pPr>
            <w:r>
              <w:rPr>
                <w:rFonts w:hint="eastAsia"/>
                <w:iCs/>
                <w:color w:val="000000"/>
                <w:highlight w:val="none"/>
                <w:lang w:val="en-US" w:eastAsia="zh-CN"/>
              </w:rPr>
              <w:t>配件：零部件安装位置应正确、端正，品牌规格符合设计文件要求。</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iCs/>
                <w:color w:val="000000"/>
                <w:highlight w:val="none"/>
                <w:lang w:val="en-US" w:eastAsia="zh-CN"/>
              </w:rPr>
            </w:pPr>
            <w:r>
              <w:rPr>
                <w:rFonts w:hint="eastAsia" w:ascii="宋体" w:hAnsi="宋体"/>
                <w:highlight w:val="none"/>
                <w:lang w:eastAsia="zh-CN"/>
              </w:rPr>
              <w:t>所有需要检查维修的部件或内部区域必须能被接触到，以供相应的维修检查和日常清洗操作，不得有盲区或者无法轻易触及的部位</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iCs/>
                <w:color w:val="000000"/>
                <w:highlight w:val="none"/>
                <w:lang w:val="en-US" w:eastAsia="zh-CN"/>
              </w:rPr>
            </w:pPr>
            <w:r>
              <w:rPr>
                <w:rFonts w:ascii="Arial" w:hAnsi="Arial" w:cs="Arial"/>
                <w:szCs w:val="21"/>
                <w:highlight w:val="none"/>
                <w:lang w:eastAsia="zh-CN"/>
              </w:rPr>
              <w:t>粒子计数器外表</w:t>
            </w:r>
            <w:r>
              <w:rPr>
                <w:rFonts w:hint="eastAsia" w:ascii="Arial" w:hAnsi="Arial" w:cs="Arial"/>
                <w:szCs w:val="21"/>
                <w:highlight w:val="none"/>
                <w:lang w:eastAsia="zh-CN"/>
              </w:rPr>
              <w:t>材质为不锈钢，</w:t>
            </w:r>
            <w:r>
              <w:rPr>
                <w:rFonts w:ascii="Arial" w:hAnsi="Arial" w:cs="Arial"/>
                <w:szCs w:val="21"/>
                <w:highlight w:val="none"/>
                <w:lang w:eastAsia="zh-CN"/>
              </w:rPr>
              <w:t>应该易于清洁和消毒</w:t>
            </w:r>
            <w:r>
              <w:rPr>
                <w:rFonts w:hint="eastAsia" w:ascii="Arial" w:hAnsi="Arial" w:cs="Arial"/>
                <w:szCs w:val="21"/>
                <w:highlight w:val="none"/>
                <w:lang w:eastAsia="zh-CN"/>
              </w:rPr>
              <w:t>，没有擦拭盲区</w:t>
            </w:r>
            <w:r>
              <w:rPr>
                <w:rFonts w:ascii="Arial" w:hAnsi="Arial" w:cs="Arial"/>
                <w:szCs w:val="21"/>
                <w:highlight w:val="none"/>
                <w:lang w:eastAsia="zh-CN"/>
              </w:rPr>
              <w:t>。</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rFonts w:ascii="Arial" w:hAnsi="Arial" w:cs="Arial"/>
                <w:szCs w:val="21"/>
                <w:highlight w:val="none"/>
                <w:lang w:eastAsia="zh-CN"/>
              </w:rPr>
            </w:pPr>
            <w:r>
              <w:rPr>
                <w:rFonts w:ascii="Arial" w:hAnsi="Arial" w:cs="Arial"/>
                <w:szCs w:val="21"/>
                <w:highlight w:val="none"/>
                <w:lang w:val="da-DK" w:eastAsia="zh-CN"/>
              </w:rPr>
              <w:t>粒子计数器应该考虑到防尘、防水, 并具有相应防护措施。</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rFonts w:asciiTheme="minorEastAsia" w:hAnsiTheme="minorEastAsia" w:eastAsiaTheme="minorEastAsia"/>
                <w:iCs/>
                <w:color w:val="000000"/>
                <w:szCs w:val="21"/>
                <w:highlight w:val="none"/>
                <w:lang w:val="en-US" w:eastAsia="zh-CN"/>
              </w:rPr>
            </w:pPr>
            <w:r>
              <w:rPr>
                <w:rFonts w:hint="eastAsia" w:asciiTheme="minorEastAsia" w:hAnsiTheme="minorEastAsia" w:eastAsiaTheme="minorEastAsia"/>
                <w:iCs/>
                <w:color w:val="000000"/>
                <w:szCs w:val="21"/>
                <w:highlight w:val="none"/>
                <w:lang w:val="en-US" w:eastAsia="zh-CN"/>
              </w:rPr>
              <w:t>设备本身的材料应不会释放出导致危害健康及环境的有毒物质。</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rFonts w:cs="Arial" w:asciiTheme="minorEastAsia" w:hAnsiTheme="minorEastAsia" w:eastAsiaTheme="minorEastAsia"/>
                <w:szCs w:val="21"/>
                <w:highlight w:val="none"/>
                <w:lang w:val="da-DK" w:eastAsia="zh-CN"/>
              </w:rPr>
            </w:pPr>
            <w:r>
              <w:rPr>
                <w:rFonts w:cs="Arial" w:asciiTheme="minorEastAsia" w:hAnsiTheme="minorEastAsia" w:eastAsiaTheme="minorEastAsia"/>
                <w:szCs w:val="21"/>
                <w:highlight w:val="none"/>
                <w:lang w:val="da-DK" w:eastAsia="zh-CN"/>
              </w:rPr>
              <w:t>触摸屏必须有相应的防护措</w:t>
            </w:r>
            <w:r>
              <w:rPr>
                <w:rFonts w:hint="eastAsia" w:cs="Arial" w:asciiTheme="minorEastAsia" w:hAnsiTheme="minorEastAsia" w:eastAsiaTheme="minorEastAsia"/>
                <w:szCs w:val="21"/>
                <w:highlight w:val="none"/>
                <w:lang w:val="da-DK" w:eastAsia="zh-CN"/>
              </w:rPr>
              <w:t>以</w:t>
            </w:r>
            <w:r>
              <w:rPr>
                <w:rFonts w:cs="Arial" w:asciiTheme="minorEastAsia" w:hAnsiTheme="minorEastAsia" w:eastAsiaTheme="minorEastAsia"/>
                <w:szCs w:val="21"/>
                <w:highlight w:val="none"/>
                <w:lang w:val="da-DK" w:eastAsia="zh-CN"/>
              </w:rPr>
              <w:t>施</w:t>
            </w:r>
            <w:r>
              <w:rPr>
                <w:rFonts w:hint="eastAsia" w:cs="Arial" w:asciiTheme="minorEastAsia" w:hAnsiTheme="minorEastAsia" w:eastAsiaTheme="minorEastAsia"/>
                <w:szCs w:val="21"/>
                <w:highlight w:val="none"/>
                <w:lang w:val="da-DK" w:eastAsia="zh-CN"/>
              </w:rPr>
              <w:t>避免过氧化氢空气灭菌时被腐蚀。</w:t>
            </w:r>
          </w:p>
        </w:tc>
        <w:tc>
          <w:tcPr>
            <w:tcW w:w="2125" w:type="dxa"/>
            <w:vAlign w:val="center"/>
          </w:tcPr>
          <w:p>
            <w:pPr>
              <w:jc w:val="center"/>
              <w:rPr>
                <w:szCs w:val="21"/>
                <w:highlight w:val="none"/>
                <w:lang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rFonts w:cs="Arial" w:asciiTheme="minorEastAsia" w:hAnsiTheme="minorEastAsia" w:eastAsiaTheme="minorEastAsia"/>
                <w:szCs w:val="21"/>
                <w:highlight w:val="none"/>
                <w:lang w:val="da-DK" w:eastAsia="zh-CN"/>
              </w:rPr>
            </w:pPr>
            <w:r>
              <w:rPr>
                <w:rFonts w:hint="eastAsia" w:asciiTheme="minorEastAsia" w:hAnsiTheme="minorEastAsia" w:eastAsiaTheme="minorEastAsia"/>
                <w:szCs w:val="21"/>
                <w:highlight w:val="none"/>
                <w:lang w:eastAsia="zh-CN"/>
              </w:rPr>
              <w:t>所有粒子采样头、浮游菌采样器的表面都应不会被清洁剂如乙醇、苯扎溴铵甲醛、</w:t>
            </w:r>
            <w:r>
              <w:rPr>
                <w:rFonts w:asciiTheme="minorEastAsia" w:hAnsiTheme="minorEastAsia" w:eastAsiaTheme="minorEastAsia"/>
                <w:szCs w:val="21"/>
                <w:highlight w:val="none"/>
                <w:lang w:eastAsia="zh-CN"/>
              </w:rPr>
              <w:t>84</w:t>
            </w:r>
            <w:r>
              <w:rPr>
                <w:rFonts w:hint="eastAsia" w:asciiTheme="minorEastAsia" w:hAnsiTheme="minorEastAsia" w:eastAsiaTheme="minorEastAsia"/>
                <w:szCs w:val="21"/>
                <w:highlight w:val="none"/>
                <w:lang w:eastAsia="zh-CN"/>
              </w:rPr>
              <w:t>消毒液、异丙醇、杀孢子剂等腐蚀</w:t>
            </w:r>
            <w:r>
              <w:rPr>
                <w:rFonts w:hint="eastAsia" w:cs="Arial" w:asciiTheme="minorEastAsia" w:hAnsiTheme="minorEastAsia" w:eastAsiaTheme="minorEastAsia"/>
                <w:szCs w:val="21"/>
                <w:highlight w:val="none"/>
                <w:lang w:val="da-DK" w:eastAsia="zh-CN"/>
              </w:rPr>
              <w:t xml:space="preserve"> </w:t>
            </w:r>
          </w:p>
        </w:tc>
        <w:tc>
          <w:tcPr>
            <w:tcW w:w="2125" w:type="dxa"/>
            <w:vAlign w:val="center"/>
          </w:tcPr>
          <w:p>
            <w:pPr>
              <w:jc w:val="center"/>
              <w:rPr>
                <w:szCs w:val="21"/>
                <w:highlight w:val="none"/>
                <w:lang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洁净室内的所有电子部件和管道应能够适应通常的清洁剂和消毒剂，不得因房间进行甲醛、过氧化氢的熏蒸而对设备本身造成影响</w:t>
            </w:r>
          </w:p>
        </w:tc>
        <w:tc>
          <w:tcPr>
            <w:tcW w:w="2125" w:type="dxa"/>
            <w:vAlign w:val="center"/>
          </w:tcPr>
          <w:p>
            <w:pPr>
              <w:jc w:val="center"/>
              <w:rPr>
                <w:szCs w:val="21"/>
                <w:highlight w:val="none"/>
                <w:lang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rFonts w:asciiTheme="minorEastAsia" w:hAnsiTheme="minorEastAsia" w:eastAsiaTheme="minorEastAsia"/>
                <w:iCs/>
                <w:szCs w:val="21"/>
                <w:highlight w:val="none"/>
                <w:lang w:val="en-US" w:eastAsia="zh-CN"/>
              </w:rPr>
            </w:pPr>
            <w:r>
              <w:rPr>
                <w:rFonts w:hint="eastAsia" w:asciiTheme="minorEastAsia" w:hAnsiTheme="minorEastAsia" w:eastAsiaTheme="minorEastAsia"/>
                <w:iCs/>
                <w:szCs w:val="21"/>
                <w:highlight w:val="none"/>
                <w:lang w:val="en-US" w:eastAsia="zh-CN"/>
              </w:rPr>
              <w:t>不锈钢采样头为A</w:t>
            </w:r>
            <w:r>
              <w:rPr>
                <w:rFonts w:asciiTheme="minorEastAsia" w:hAnsiTheme="minorEastAsia" w:eastAsiaTheme="minorEastAsia"/>
                <w:iCs/>
                <w:szCs w:val="21"/>
                <w:highlight w:val="none"/>
                <w:lang w:val="en-US" w:eastAsia="zh-CN"/>
              </w:rPr>
              <w:t>ISI</w:t>
            </w:r>
            <w:r>
              <w:rPr>
                <w:rFonts w:hint="eastAsia" w:asciiTheme="minorEastAsia" w:hAnsiTheme="minorEastAsia" w:eastAsiaTheme="minorEastAsia"/>
                <w:iCs/>
                <w:szCs w:val="21"/>
                <w:highlight w:val="none"/>
                <w:lang w:val="en-US" w:eastAsia="zh-CN"/>
              </w:rPr>
              <w:t>（或</w:t>
            </w:r>
            <w:r>
              <w:rPr>
                <w:rFonts w:asciiTheme="minorEastAsia" w:hAnsiTheme="minorEastAsia" w:eastAsiaTheme="minorEastAsia"/>
                <w:iCs/>
                <w:szCs w:val="21"/>
                <w:highlight w:val="none"/>
                <w:lang w:val="en-US" w:eastAsia="zh-CN"/>
              </w:rPr>
              <w:t>SUS</w:t>
            </w:r>
            <w:r>
              <w:rPr>
                <w:rFonts w:hint="eastAsia" w:asciiTheme="minorEastAsia" w:hAnsiTheme="minorEastAsia" w:eastAsiaTheme="minorEastAsia"/>
                <w:iCs/>
                <w:szCs w:val="21"/>
                <w:highlight w:val="none"/>
                <w:lang w:val="en-US" w:eastAsia="zh-CN"/>
              </w:rPr>
              <w:t>）316L材料</w:t>
            </w:r>
          </w:p>
        </w:tc>
        <w:tc>
          <w:tcPr>
            <w:tcW w:w="2125" w:type="dxa"/>
            <w:vAlign w:val="center"/>
          </w:tcPr>
          <w:p>
            <w:pPr>
              <w:jc w:val="center"/>
              <w:rPr>
                <w:szCs w:val="21"/>
                <w:highlight w:val="none"/>
                <w:lang w:val="en-US"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gridSpan w:val="2"/>
            <w:vAlign w:val="center"/>
          </w:tcPr>
          <w:p>
            <w:pPr>
              <w:jc w:val="both"/>
              <w:rPr>
                <w:rFonts w:asciiTheme="minorEastAsia" w:hAnsiTheme="minorEastAsia" w:eastAsiaTheme="minorEastAsia"/>
                <w:iCs/>
                <w:color w:val="FF0000"/>
                <w:szCs w:val="21"/>
                <w:highlight w:val="none"/>
                <w:lang w:val="en-US" w:eastAsia="zh-CN"/>
              </w:rPr>
            </w:pPr>
            <w:r>
              <w:rPr>
                <w:rFonts w:cs="Arial" w:asciiTheme="minorEastAsia" w:hAnsiTheme="minorEastAsia" w:eastAsiaTheme="minorEastAsia"/>
                <w:szCs w:val="21"/>
                <w:highlight w:val="none"/>
                <w:lang w:val="da-DK" w:eastAsia="zh-CN"/>
              </w:rPr>
              <w:t>粒子计数器</w:t>
            </w:r>
            <w:r>
              <w:rPr>
                <w:rFonts w:hint="eastAsia" w:cs="Arial" w:asciiTheme="minorEastAsia" w:hAnsiTheme="minorEastAsia" w:eastAsiaTheme="minorEastAsia"/>
                <w:szCs w:val="21"/>
                <w:highlight w:val="none"/>
                <w:lang w:val="da-DK" w:eastAsia="zh-CN"/>
              </w:rPr>
              <w:t>应有</w:t>
            </w:r>
            <w:r>
              <w:rPr>
                <w:rFonts w:cs="Arial" w:asciiTheme="minorEastAsia" w:hAnsiTheme="minorEastAsia" w:eastAsiaTheme="minorEastAsia"/>
                <w:szCs w:val="21"/>
                <w:highlight w:val="none"/>
                <w:lang w:val="da-DK" w:eastAsia="zh-CN"/>
              </w:rPr>
              <w:t>专</w:t>
            </w:r>
            <w:r>
              <w:rPr>
                <w:rFonts w:hint="eastAsia" w:cs="Arial" w:asciiTheme="minorEastAsia" w:hAnsiTheme="minorEastAsia" w:eastAsiaTheme="minorEastAsia"/>
                <w:szCs w:val="21"/>
                <w:highlight w:val="none"/>
                <w:lang w:val="da-DK" w:eastAsia="zh-CN"/>
              </w:rPr>
              <w:t>用3</w:t>
            </w:r>
            <w:r>
              <w:rPr>
                <w:rFonts w:cs="Arial" w:asciiTheme="minorEastAsia" w:hAnsiTheme="minorEastAsia" w:eastAsiaTheme="minorEastAsia"/>
                <w:szCs w:val="21"/>
                <w:highlight w:val="none"/>
                <w:lang w:val="da-DK" w:eastAsia="zh-CN"/>
              </w:rPr>
              <w:t>04</w:t>
            </w:r>
            <w:r>
              <w:rPr>
                <w:rFonts w:hint="eastAsia" w:cs="Arial" w:asciiTheme="minorEastAsia" w:hAnsiTheme="minorEastAsia" w:eastAsiaTheme="minorEastAsia"/>
                <w:szCs w:val="21"/>
                <w:highlight w:val="none"/>
                <w:lang w:val="da-DK" w:eastAsia="zh-CN"/>
              </w:rPr>
              <w:t>不锈钢盒子保护</w:t>
            </w:r>
            <w:r>
              <w:rPr>
                <w:rFonts w:cs="Arial" w:asciiTheme="minorEastAsia" w:hAnsiTheme="minorEastAsia" w:eastAsiaTheme="minorEastAsia"/>
                <w:szCs w:val="21"/>
                <w:highlight w:val="none"/>
                <w:lang w:val="da-DK" w:eastAsia="zh-CN"/>
              </w:rPr>
              <w:t>。</w:t>
            </w:r>
          </w:p>
        </w:tc>
        <w:tc>
          <w:tcPr>
            <w:tcW w:w="2125" w:type="dxa"/>
            <w:vAlign w:val="center"/>
          </w:tcPr>
          <w:p>
            <w:pPr>
              <w:jc w:val="center"/>
              <w:rPr>
                <w:color w:val="FF0000"/>
                <w:szCs w:val="21"/>
                <w:highlight w:val="none"/>
                <w:lang w:val="en-US"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gridSpan w:val="2"/>
            <w:vAlign w:val="center"/>
          </w:tcPr>
          <w:p>
            <w:pPr>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粒子采样管与采样口材质光滑，无缝隙，设计应易于清洁，不得吸附或脱落微粒</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gridSpan w:val="2"/>
            <w:vAlign w:val="center"/>
          </w:tcPr>
          <w:p>
            <w:pPr>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应在不影响生产的位置安装粒子监测探头并排线布管，不会对洁净环境造成污染</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gridSpan w:val="2"/>
            <w:vAlign w:val="center"/>
          </w:tcPr>
          <w:p>
            <w:pPr>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夹层内真空管道应标明名称，便于维修识别，且管道上应预装少量阀门便于后期加装点位改造。</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gridSpan w:val="2"/>
            <w:vAlign w:val="center"/>
          </w:tcPr>
          <w:p>
            <w:pPr>
              <w:jc w:val="both"/>
              <w:rPr>
                <w:rFonts w:asciiTheme="minorEastAsia" w:hAnsiTheme="minorEastAsia" w:eastAsiaTheme="minorEastAsia"/>
                <w:color w:val="000000"/>
                <w:szCs w:val="21"/>
                <w:highlight w:val="none"/>
                <w:lang w:eastAsia="zh-CN"/>
              </w:rPr>
            </w:pPr>
            <w:r>
              <w:rPr>
                <w:rFonts w:hint="eastAsia" w:asciiTheme="minorEastAsia" w:hAnsiTheme="minorEastAsia" w:eastAsiaTheme="minorEastAsia"/>
                <w:color w:val="000000"/>
                <w:szCs w:val="21"/>
                <w:highlight w:val="none"/>
                <w:lang w:eastAsia="zh-CN"/>
              </w:rPr>
              <w:t>配电柜上至少应有以下永久贴牢和清楚易认的标识：制造单位、产品注册号、型号、生产日期和编号、安全标识等。</w:t>
            </w:r>
          </w:p>
        </w:tc>
        <w:tc>
          <w:tcPr>
            <w:tcW w:w="2125" w:type="dxa"/>
            <w:vAlign w:val="center"/>
          </w:tcPr>
          <w:p>
            <w:pPr>
              <w:jc w:val="center"/>
              <w:rPr>
                <w:szCs w:val="21"/>
                <w:highlight w:val="none"/>
                <w:lang w:eastAsia="zh-CN"/>
              </w:rPr>
            </w:pPr>
            <w:r>
              <w:rPr>
                <w:rFonts w:hint="eastAsia"/>
                <w:szCs w:val="21"/>
                <w:highlight w:val="none"/>
                <w:lang w:eastAsia="zh-CN"/>
              </w:rPr>
              <w:t>关键</w:t>
            </w:r>
          </w:p>
        </w:tc>
      </w:tr>
      <w:bookmarkEnd w:id="23"/>
      <w:bookmarkEnd w:id="24"/>
      <w:permEnd w:id="19"/>
    </w:tbl>
    <w:p>
      <w:pPr>
        <w:pStyle w:val="44"/>
        <w:spacing w:after="158" w:afterLines="50"/>
        <w:ind w:left="425" w:firstLine="0" w:firstLineChars="0"/>
        <w:rPr>
          <w:rFonts w:ascii="Times New Roman" w:hAnsi="Times New Roman"/>
          <w:szCs w:val="21"/>
          <w:highlight w:val="none"/>
        </w:rPr>
      </w:pPr>
    </w:p>
    <w:p>
      <w:pPr>
        <w:pStyle w:val="44"/>
        <w:numPr>
          <w:ilvl w:val="0"/>
          <w:numId w:val="3"/>
        </w:numPr>
        <w:spacing w:after="158" w:afterLines="50"/>
        <w:ind w:left="426" w:hanging="426" w:hangingChars="202"/>
        <w:outlineLvl w:val="0"/>
        <w:rPr>
          <w:rFonts w:ascii="Times New Roman" w:hAnsi="Times New Roman"/>
          <w:b/>
          <w:highlight w:val="none"/>
        </w:rPr>
      </w:pPr>
      <w:bookmarkStart w:id="25" w:name="_Toc522716121"/>
      <w:bookmarkStart w:id="26" w:name="_Toc522107740"/>
      <w:r>
        <w:rPr>
          <w:rFonts w:hint="eastAsia" w:ascii="Times New Roman" w:hAnsi="Times New Roman"/>
          <w:b/>
          <w:highlight w:val="none"/>
        </w:rPr>
        <w:t>运行要求</w:t>
      </w:r>
      <w:bookmarkEnd w:id="25"/>
      <w:bookmarkEnd w:id="26"/>
    </w:p>
    <w:p>
      <w:pPr>
        <w:pStyle w:val="53"/>
        <w:spacing w:before="0" w:line="360" w:lineRule="auto"/>
        <w:ind w:left="357"/>
        <w:jc w:val="left"/>
        <w:rPr>
          <w:bCs/>
          <w:i/>
          <w:color w:val="4472C4"/>
          <w:kern w:val="44"/>
          <w:szCs w:val="21"/>
          <w:highlight w:val="none"/>
          <w:lang w:eastAsia="zh-CN"/>
        </w:rPr>
      </w:pPr>
      <w:permStart w:id="20" w:edGrp="everyone"/>
    </w:p>
    <w:permEnd w:id="20"/>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highlight w:val="none"/>
              </w:rPr>
            </w:pPr>
            <w:r>
              <w:rPr>
                <w:rFonts w:hint="eastAsia"/>
                <w:b/>
                <w:szCs w:val="21"/>
                <w:highlight w:val="none"/>
              </w:rPr>
              <w:t>编号</w:t>
            </w:r>
          </w:p>
        </w:tc>
        <w:tc>
          <w:tcPr>
            <w:tcW w:w="7128" w:type="dxa"/>
            <w:shd w:val="clear" w:color="auto" w:fill="D9D9D9"/>
            <w:vAlign w:val="center"/>
          </w:tcPr>
          <w:p>
            <w:pPr>
              <w:jc w:val="center"/>
              <w:rPr>
                <w:b/>
                <w:szCs w:val="21"/>
                <w:highlight w:val="none"/>
                <w:lang w:eastAsia="zh-CN"/>
              </w:rPr>
            </w:pPr>
            <w:r>
              <w:rPr>
                <w:rFonts w:hint="eastAsia"/>
                <w:b/>
                <w:szCs w:val="21"/>
                <w:highlight w:val="none"/>
                <w:lang w:eastAsia="zh-CN"/>
              </w:rPr>
              <w:t>需求</w:t>
            </w:r>
          </w:p>
        </w:tc>
        <w:tc>
          <w:tcPr>
            <w:tcW w:w="2125" w:type="dxa"/>
            <w:shd w:val="clear" w:color="auto" w:fill="D9D9D9"/>
            <w:vAlign w:val="center"/>
          </w:tcPr>
          <w:p>
            <w:pPr>
              <w:jc w:val="center"/>
              <w:rPr>
                <w:b/>
                <w:szCs w:val="21"/>
                <w:highlight w:val="none"/>
                <w:lang w:eastAsia="zh-CN"/>
              </w:rPr>
            </w:pPr>
            <w:r>
              <w:rPr>
                <w:rFonts w:hint="eastAsia"/>
                <w:b/>
                <w:szCs w:val="21"/>
                <w:highlight w:val="none"/>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color w:val="000000"/>
                <w:szCs w:val="21"/>
                <w:highlight w:val="none"/>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highlight w:val="none"/>
              </w:rPr>
            </w:pPr>
            <w:permStart w:id="21" w:edGrp="everyone"/>
          </w:p>
        </w:tc>
        <w:tc>
          <w:tcPr>
            <w:tcW w:w="9253" w:type="dxa"/>
            <w:gridSpan w:val="2"/>
            <w:vAlign w:val="center"/>
          </w:tcPr>
          <w:p>
            <w:pPr>
              <w:jc w:val="both"/>
              <w:rPr>
                <w:szCs w:val="21"/>
                <w:highlight w:val="none"/>
                <w:lang w:eastAsia="zh-CN"/>
              </w:rPr>
            </w:pPr>
            <w:r>
              <w:rPr>
                <w:szCs w:val="21"/>
                <w:highlight w:val="none"/>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color w:val="000000"/>
                <w:szCs w:val="21"/>
                <w:highlight w:val="none"/>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highlight w:val="none"/>
              </w:rPr>
            </w:pPr>
            <w:permStart w:id="22" w:edGrp="everyone"/>
          </w:p>
        </w:tc>
        <w:tc>
          <w:tcPr>
            <w:tcW w:w="9253" w:type="dxa"/>
            <w:gridSpan w:val="2"/>
            <w:vAlign w:val="center"/>
          </w:tcPr>
          <w:p>
            <w:pPr>
              <w:jc w:val="both"/>
              <w:rPr>
                <w:rFonts w:ascii="宋体" w:hAnsi="宋体"/>
                <w:szCs w:val="21"/>
                <w:highlight w:val="none"/>
                <w:lang w:eastAsia="zh-CN"/>
              </w:rPr>
            </w:pPr>
            <w:r>
              <w:rPr>
                <w:rFonts w:ascii="宋体" w:hAnsi="宋体"/>
                <w:szCs w:val="21"/>
                <w:highlight w:val="none"/>
                <w:lang w:val="en-US"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color w:val="000000"/>
                <w:szCs w:val="21"/>
                <w:highlight w:val="none"/>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ermStart w:id="23" w:edGrp="everyone"/>
          </w:p>
        </w:tc>
        <w:tc>
          <w:tcPr>
            <w:tcW w:w="7128" w:type="dxa"/>
            <w:vAlign w:val="center"/>
          </w:tcPr>
          <w:p>
            <w:pPr>
              <w:jc w:val="both"/>
              <w:rPr>
                <w:rFonts w:asciiTheme="minorEastAsia" w:hAnsiTheme="minorEastAsia" w:eastAsiaTheme="minorEastAsia"/>
                <w:szCs w:val="21"/>
                <w:highlight w:val="none"/>
                <w:lang w:val="en-US" w:eastAsia="zh-CN"/>
              </w:rPr>
            </w:pPr>
            <w:r>
              <w:rPr>
                <w:rFonts w:hint="eastAsia" w:asciiTheme="minorEastAsia" w:hAnsiTheme="minorEastAsia" w:eastAsiaTheme="minorEastAsia"/>
                <w:iCs/>
                <w:szCs w:val="21"/>
                <w:highlight w:val="none"/>
                <w:lang w:val="en-US" w:eastAsia="zh-CN"/>
              </w:rPr>
              <w:t>粒子计数器和浮游菌采样器的采样流量为</w:t>
            </w:r>
            <w:r>
              <w:rPr>
                <w:rFonts w:ascii="宋体" w:hAnsi="宋体" w:cs="Arial"/>
                <w:szCs w:val="21"/>
                <w:highlight w:val="none"/>
                <w:lang w:eastAsia="zh-CN"/>
              </w:rPr>
              <w:t>1.0CFM</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jc w:val="both"/>
              <w:rPr>
                <w:rFonts w:asciiTheme="minorEastAsia" w:hAnsiTheme="minorEastAsia" w:eastAsiaTheme="minorEastAsia"/>
                <w:iCs/>
                <w:szCs w:val="21"/>
                <w:highlight w:val="none"/>
                <w:lang w:val="en-US" w:eastAsia="zh-CN"/>
              </w:rPr>
            </w:pPr>
            <w:r>
              <w:rPr>
                <w:rFonts w:hint="eastAsia" w:asciiTheme="minorEastAsia" w:hAnsiTheme="minorEastAsia" w:eastAsiaTheme="minorEastAsia"/>
                <w:iCs/>
                <w:szCs w:val="21"/>
                <w:highlight w:val="none"/>
                <w:lang w:val="en-US" w:eastAsia="zh-CN"/>
              </w:rPr>
              <w:t>粒子计数器和浮游菌采样器</w:t>
            </w:r>
            <w:r>
              <w:rPr>
                <w:rFonts w:hint="eastAsia" w:cs="Arial" w:asciiTheme="minorEastAsia" w:hAnsiTheme="minorEastAsia" w:eastAsiaTheme="minorEastAsia"/>
                <w:szCs w:val="21"/>
                <w:highlight w:val="none"/>
                <w:lang w:eastAsia="zh-CN"/>
              </w:rPr>
              <w:t>应内置流量计，以确保采样器正常运行，</w:t>
            </w:r>
            <w:r>
              <w:rPr>
                <w:rFonts w:hint="eastAsia" w:cs="Arial" w:asciiTheme="minorEastAsia" w:hAnsiTheme="minorEastAsia" w:eastAsiaTheme="minorEastAsia"/>
                <w:szCs w:val="21"/>
                <w:highlight w:val="none"/>
                <w:lang w:val="da-DK" w:eastAsia="zh-CN"/>
              </w:rPr>
              <w:t>误差不超过5%</w:t>
            </w:r>
            <w:r>
              <w:rPr>
                <w:rFonts w:cs="Arial" w:asciiTheme="minorEastAsia" w:hAnsiTheme="minorEastAsia" w:eastAsiaTheme="minorEastAsia"/>
                <w:szCs w:val="21"/>
                <w:highlight w:val="none"/>
                <w:lang w:val="da-DK" w:eastAsia="zh-CN"/>
              </w:rPr>
              <w:t>。</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jc w:val="both"/>
              <w:rPr>
                <w:rFonts w:ascii="Arial" w:hAnsi="Arial" w:cs="Arial"/>
                <w:szCs w:val="21"/>
                <w:highlight w:val="none"/>
                <w:lang w:eastAsia="zh-CN"/>
              </w:rPr>
            </w:pPr>
            <w:r>
              <w:rPr>
                <w:rFonts w:hint="eastAsia" w:ascii="宋体" w:hAnsi="宋体" w:cs="Arial"/>
                <w:szCs w:val="21"/>
                <w:highlight w:val="none"/>
                <w:lang w:eastAsia="zh-CN"/>
              </w:rPr>
              <w:t>通讯方式：以太网或</w:t>
            </w:r>
            <w:r>
              <w:rPr>
                <w:rFonts w:ascii="宋体" w:hAnsi="宋体" w:cs="Arial"/>
                <w:szCs w:val="21"/>
                <w:highlight w:val="none"/>
                <w:lang w:eastAsia="zh-CN"/>
              </w:rPr>
              <w:t>RS-485</w:t>
            </w:r>
          </w:p>
        </w:tc>
        <w:tc>
          <w:tcPr>
            <w:tcW w:w="2125" w:type="dxa"/>
            <w:vAlign w:val="center"/>
          </w:tcPr>
          <w:p>
            <w:pPr>
              <w:jc w:val="center"/>
              <w:rPr>
                <w:color w:val="FF0000"/>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jc w:val="both"/>
              <w:rPr>
                <w:rFonts w:ascii="宋体" w:hAnsi="宋体" w:cs="Arial"/>
                <w:szCs w:val="21"/>
                <w:highlight w:val="none"/>
                <w:lang w:eastAsia="zh-CN"/>
              </w:rPr>
            </w:pPr>
            <w:r>
              <w:rPr>
                <w:rFonts w:hint="eastAsia" w:ascii="宋体" w:hAnsi="宋体" w:cs="Arial"/>
                <w:szCs w:val="21"/>
                <w:highlight w:val="none"/>
                <w:lang w:eastAsia="zh-CN"/>
              </w:rPr>
              <w:t>粒子计数器应至少自动缓存250000笔数据，</w:t>
            </w:r>
            <w:r>
              <w:rPr>
                <w:rFonts w:hint="eastAsia"/>
                <w:highlight w:val="none"/>
                <w:lang w:eastAsia="zh-CN"/>
              </w:rPr>
              <w:t>数据需要带时间标签</w:t>
            </w:r>
            <w:r>
              <w:rPr>
                <w:rFonts w:hint="eastAsia" w:ascii="宋体" w:hAnsi="宋体" w:cs="Arial"/>
                <w:szCs w:val="21"/>
                <w:highlight w:val="none"/>
                <w:lang w:eastAsia="zh-CN"/>
              </w:rPr>
              <w:t>，保证其数据完整性，当系统服务器或数据库出问题时数据仍然缓存在计数器内。</w:t>
            </w:r>
          </w:p>
        </w:tc>
        <w:tc>
          <w:tcPr>
            <w:tcW w:w="2125" w:type="dxa"/>
            <w:vAlign w:val="center"/>
          </w:tcPr>
          <w:p>
            <w:pPr>
              <w:jc w:val="center"/>
              <w:rPr>
                <w:color w:val="FF0000"/>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24" w:edGrp="everyone"/>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ascii="宋体" w:hAnsi="宋体" w:cs="Arial"/>
                <w:szCs w:val="21"/>
                <w:highlight w:val="none"/>
                <w:lang w:eastAsia="zh-CN"/>
              </w:rPr>
              <w:t>激光光源使用寿命至少在5年以上</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rPr>
              <w:t>粒径分辨率：0.5μm偏差＜15%，（符合iso21501-4）</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计数效率：0.5</w:t>
            </w:r>
            <w:r>
              <w:rPr>
                <w:rFonts w:hint="eastAsia" w:cs="Arial" w:asciiTheme="minorEastAsia" w:hAnsiTheme="minorEastAsia" w:eastAsiaTheme="minorEastAsia"/>
                <w:szCs w:val="21"/>
                <w:highlight w:val="none"/>
              </w:rPr>
              <w:t>μ</w:t>
            </w:r>
            <w:r>
              <w:rPr>
                <w:rFonts w:hint="eastAsia" w:cs="Arial" w:asciiTheme="minorEastAsia" w:hAnsiTheme="minorEastAsia" w:eastAsiaTheme="minorEastAsia"/>
                <w:szCs w:val="21"/>
                <w:highlight w:val="none"/>
                <w:lang w:eastAsia="zh-CN"/>
              </w:rPr>
              <w:t>m计数效率应达到50%， 0.75</w:t>
            </w:r>
            <w:r>
              <w:rPr>
                <w:rFonts w:hint="eastAsia" w:cs="Arial" w:asciiTheme="minorEastAsia" w:hAnsiTheme="minorEastAsia" w:eastAsiaTheme="minorEastAsia"/>
                <w:szCs w:val="21"/>
                <w:highlight w:val="none"/>
              </w:rPr>
              <w:t>μ</w:t>
            </w:r>
            <w:r>
              <w:rPr>
                <w:rFonts w:hint="eastAsia" w:cs="Arial" w:asciiTheme="minorEastAsia" w:hAnsiTheme="minorEastAsia" w:eastAsiaTheme="minorEastAsia"/>
                <w:szCs w:val="21"/>
                <w:highlight w:val="none"/>
                <w:lang w:eastAsia="zh-CN"/>
              </w:rPr>
              <w:t>m及以上应达到100%</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粒径通道：</w:t>
            </w:r>
            <w:r>
              <w:rPr>
                <w:rFonts w:hint="eastAsia" w:ascii="宋体" w:hAnsi="宋体" w:cs="Arial"/>
                <w:szCs w:val="21"/>
                <w:highlight w:val="none"/>
                <w:lang w:eastAsia="zh-CN"/>
              </w:rPr>
              <w:t>至少能够检测≥</w:t>
            </w:r>
            <w:r>
              <w:rPr>
                <w:rFonts w:ascii="宋体" w:hAnsi="宋体" w:cs="Arial"/>
                <w:szCs w:val="21"/>
                <w:highlight w:val="none"/>
                <w:lang w:eastAsia="zh-CN"/>
              </w:rPr>
              <w:t xml:space="preserve"> 0.5</w:t>
            </w:r>
            <w:r>
              <w:rPr>
                <w:rFonts w:hint="eastAsia" w:ascii="宋体" w:hAnsi="宋体" w:cs="Arial Unicode MS"/>
                <w:szCs w:val="21"/>
                <w:highlight w:val="none"/>
              </w:rPr>
              <w:t>μ</w:t>
            </w:r>
            <w:r>
              <w:rPr>
                <w:rFonts w:ascii="宋体" w:hAnsi="宋体" w:cs="Arial"/>
                <w:szCs w:val="21"/>
                <w:highlight w:val="none"/>
                <w:lang w:eastAsia="zh-CN"/>
              </w:rPr>
              <w:t>m</w:t>
            </w:r>
            <w:r>
              <w:rPr>
                <w:rFonts w:hint="eastAsia" w:ascii="宋体" w:hAnsi="宋体" w:cs="Arial"/>
                <w:szCs w:val="21"/>
                <w:highlight w:val="none"/>
                <w:lang w:eastAsia="zh-CN"/>
              </w:rPr>
              <w:t>和≥</w:t>
            </w:r>
            <w:r>
              <w:rPr>
                <w:rFonts w:ascii="宋体" w:hAnsi="宋体" w:cs="Arial"/>
                <w:szCs w:val="21"/>
                <w:highlight w:val="none"/>
                <w:lang w:eastAsia="zh-CN"/>
              </w:rPr>
              <w:t xml:space="preserve"> 5</w:t>
            </w:r>
            <w:r>
              <w:rPr>
                <w:rFonts w:hint="eastAsia" w:ascii="宋体" w:hAnsi="宋体" w:cs="Arial Unicode MS"/>
                <w:szCs w:val="21"/>
                <w:highlight w:val="none"/>
              </w:rPr>
              <w:t>μ</w:t>
            </w:r>
            <w:r>
              <w:rPr>
                <w:rFonts w:ascii="宋体" w:hAnsi="宋体" w:cs="Arial Unicode MS"/>
                <w:szCs w:val="21"/>
                <w:highlight w:val="none"/>
                <w:lang w:eastAsia="zh-CN"/>
              </w:rPr>
              <w:t>m</w:t>
            </w:r>
            <w:r>
              <w:rPr>
                <w:rFonts w:hint="eastAsia" w:ascii="宋体" w:hAnsi="宋体" w:cs="Arial"/>
                <w:szCs w:val="21"/>
                <w:highlight w:val="none"/>
                <w:lang w:eastAsia="zh-CN"/>
              </w:rPr>
              <w:t>的粒子</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25" w:edGrp="everyone"/>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采样时间：</w:t>
            </w:r>
            <w:r>
              <w:rPr>
                <w:rFonts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lang w:val="en-US" w:eastAsia="zh-CN"/>
              </w:rPr>
              <w:t>粒子为连续在线采样；浮游菌采样可单独设置</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26" w:edGrp="everyone"/>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ascii="宋体" w:hAnsi="宋体" w:cs="Arial"/>
                <w:szCs w:val="21"/>
                <w:highlight w:val="none"/>
                <w:lang w:eastAsia="zh-CN"/>
              </w:rPr>
              <w:t>粒子采样头到计数器的采样管长度不得超过</w:t>
            </w:r>
            <w:r>
              <w:rPr>
                <w:rFonts w:ascii="宋体" w:hAnsi="宋体" w:cs="Arial"/>
                <w:szCs w:val="21"/>
                <w:highlight w:val="none"/>
                <w:lang w:eastAsia="zh-CN"/>
              </w:rPr>
              <w:t>1.</w:t>
            </w:r>
            <w:r>
              <w:rPr>
                <w:rFonts w:hint="eastAsia" w:ascii="宋体" w:hAnsi="宋体" w:cs="Arial"/>
                <w:szCs w:val="21"/>
                <w:highlight w:val="none"/>
                <w:lang w:val="en-US" w:eastAsia="zh-CN"/>
              </w:rPr>
              <w:t>0</w:t>
            </w:r>
            <w:r>
              <w:rPr>
                <w:rFonts w:ascii="宋体" w:hAnsi="宋体" w:cs="Arial"/>
                <w:szCs w:val="21"/>
                <w:highlight w:val="none"/>
                <w:lang w:eastAsia="zh-CN"/>
              </w:rPr>
              <w:t>m</w:t>
            </w:r>
            <w:r>
              <w:rPr>
                <w:rFonts w:hint="eastAsia" w:ascii="宋体" w:hAnsi="宋体" w:cs="Arial"/>
                <w:szCs w:val="21"/>
                <w:highlight w:val="none"/>
                <w:lang w:eastAsia="zh-CN"/>
              </w:rPr>
              <w:t>，管道的弯角半径适宜。</w:t>
            </w:r>
            <w:r>
              <w:rPr>
                <w:rFonts w:asciiTheme="minorEastAsia" w:hAnsiTheme="minorEastAsia" w:eastAsiaTheme="minorEastAsia"/>
                <w:szCs w:val="21"/>
                <w:highlight w:val="none"/>
                <w:lang w:val="en-US" w:eastAsia="zh-CN"/>
              </w:rPr>
              <w:t xml:space="preserve"> </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27" w:edGrp="everyone"/>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eastAsia="zh-CN"/>
              </w:rPr>
              <w:t>粒子计数器有吹扫自净功能，</w:t>
            </w:r>
            <w:r>
              <w:rPr>
                <w:rFonts w:hint="eastAsia" w:asciiTheme="minorEastAsia" w:hAnsiTheme="minorEastAsia" w:eastAsiaTheme="minorEastAsia"/>
                <w:szCs w:val="21"/>
                <w:highlight w:val="none"/>
                <w:lang w:val="en-US" w:eastAsia="zh-CN"/>
              </w:rPr>
              <w:t>自净时间：</w:t>
            </w:r>
            <w:r>
              <w:rPr>
                <w:rFonts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lang w:val="en-US" w:eastAsia="zh-CN"/>
              </w:rPr>
              <w:t>≤</w:t>
            </w:r>
            <w:r>
              <w:rPr>
                <w:rFonts w:asciiTheme="minorEastAsia" w:hAnsiTheme="minorEastAsia" w:eastAsiaTheme="minorEastAsia"/>
                <w:szCs w:val="21"/>
                <w:highlight w:val="none"/>
                <w:lang w:val="en-US" w:eastAsia="zh-CN"/>
              </w:rPr>
              <w:t>10min</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da-DK" w:eastAsia="zh-CN"/>
              </w:rPr>
              <w:t>粒子计数器</w:t>
            </w:r>
            <w:r>
              <w:rPr>
                <w:rFonts w:cs="Arial" w:asciiTheme="minorEastAsia" w:hAnsiTheme="minorEastAsia" w:eastAsiaTheme="minorEastAsia"/>
                <w:szCs w:val="21"/>
                <w:highlight w:val="none"/>
                <w:lang w:val="da-DK" w:eastAsia="zh-CN"/>
              </w:rPr>
              <w:t>零点计数</w:t>
            </w:r>
            <w:r>
              <w:rPr>
                <w:rFonts w:hint="eastAsia" w:cs="Arial" w:asciiTheme="minorEastAsia" w:hAnsiTheme="minorEastAsia" w:eastAsiaTheme="minorEastAsia"/>
                <w:szCs w:val="21"/>
                <w:highlight w:val="none"/>
                <w:lang w:val="da-DK" w:eastAsia="zh-CN"/>
              </w:rPr>
              <w:t>标准：</w:t>
            </w:r>
            <w:r>
              <w:rPr>
                <w:rFonts w:cs="Arial" w:asciiTheme="minorEastAsia" w:hAnsiTheme="minorEastAsia" w:eastAsiaTheme="minorEastAsia"/>
                <w:szCs w:val="21"/>
                <w:highlight w:val="none"/>
                <w:lang w:val="da-DK" w:eastAsia="zh-CN"/>
              </w:rPr>
              <w:t>每5分钟</w:t>
            </w:r>
            <w:r>
              <w:rPr>
                <w:rFonts w:hint="eastAsia" w:cs="Arial" w:asciiTheme="minorEastAsia" w:hAnsiTheme="minorEastAsia" w:eastAsiaTheme="minorEastAsia"/>
                <w:szCs w:val="21"/>
                <w:highlight w:val="none"/>
                <w:lang w:val="da-DK" w:eastAsia="zh-CN"/>
              </w:rPr>
              <w:t>粒子计数小于</w:t>
            </w:r>
            <w:r>
              <w:rPr>
                <w:rFonts w:cs="Arial" w:asciiTheme="minorEastAsia" w:hAnsiTheme="minorEastAsia" w:eastAsiaTheme="minorEastAsia"/>
                <w:szCs w:val="21"/>
                <w:highlight w:val="none"/>
                <w:lang w:val="da-DK" w:eastAsia="zh-CN"/>
              </w:rPr>
              <w:t>1</w:t>
            </w:r>
          </w:p>
        </w:tc>
        <w:tc>
          <w:tcPr>
            <w:tcW w:w="2125" w:type="dxa"/>
            <w:vAlign w:val="center"/>
          </w:tcPr>
          <w:p>
            <w:pPr>
              <w:jc w:val="center"/>
              <w:rPr>
                <w:szCs w:val="21"/>
                <w:highlight w:val="none"/>
                <w:lang w:eastAsia="zh-CN"/>
              </w:rPr>
            </w:pPr>
            <w:r>
              <w:rPr>
                <w:rFonts w:hint="eastAsia"/>
                <w:szCs w:val="21"/>
                <w:highlight w:val="none"/>
                <w:lang w:eastAsia="zh-CN"/>
              </w:rPr>
              <w:t>关键</w:t>
            </w:r>
          </w:p>
        </w:tc>
      </w:tr>
      <w:tr>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val="da-DK" w:eastAsia="zh-CN"/>
              </w:rPr>
            </w:pPr>
            <w:r>
              <w:rPr>
                <w:rFonts w:hint="eastAsia" w:cs="Arial" w:asciiTheme="minorEastAsia" w:hAnsiTheme="minorEastAsia" w:eastAsiaTheme="minorEastAsia"/>
                <w:szCs w:val="21"/>
                <w:highlight w:val="none"/>
                <w:lang w:val="da-DK" w:eastAsia="zh-CN"/>
              </w:rPr>
              <w:t>软件可扩展性强，后期可支持对接至少15个点位。</w:t>
            </w:r>
          </w:p>
        </w:tc>
        <w:tc>
          <w:tcPr>
            <w:tcW w:w="2125" w:type="dxa"/>
            <w:vAlign w:val="center"/>
          </w:tcPr>
          <w:p>
            <w:pPr>
              <w:jc w:val="center"/>
              <w:rPr>
                <w:szCs w:val="21"/>
                <w:highlight w:val="none"/>
                <w:lang w:val="da-DK" w:eastAsia="zh-CN"/>
              </w:rPr>
            </w:pPr>
            <w:r>
              <w:rPr>
                <w:rFonts w:hint="eastAsia"/>
                <w:szCs w:val="21"/>
                <w:highlight w:val="none"/>
                <w:lang w:val="da-DK"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44"/>
              <w:numPr>
                <w:ilvl w:val="0"/>
                <w:numId w:val="8"/>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szCs w:val="21"/>
                <w:highlight w:val="none"/>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ermStart w:id="28" w:edGrp="everyone"/>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粒子和浮游菌监测点都使用等动力采样头</w:t>
            </w:r>
          </w:p>
        </w:tc>
        <w:tc>
          <w:tcPr>
            <w:tcW w:w="2125" w:type="dxa"/>
            <w:vAlign w:val="center"/>
          </w:tcPr>
          <w:p>
            <w:pPr>
              <w:jc w:val="center"/>
              <w:rPr>
                <w:color w:val="FF0000"/>
                <w:szCs w:val="21"/>
                <w:highlight w:val="none"/>
                <w:lang w:eastAsia="zh-CN"/>
              </w:rPr>
            </w:pPr>
            <w:r>
              <w:rPr>
                <w:rFonts w:hint="eastAsia"/>
                <w:szCs w:val="21"/>
                <w:highlight w:val="none"/>
                <w:lang w:val="en-US" w:eastAsia="zh-CN"/>
              </w:rPr>
              <w:t>关键</w:t>
            </w:r>
          </w:p>
        </w:tc>
      </w:tr>
      <w:tr>
        <w:tblPrEx>
          <w:tblCellMar>
            <w:top w:w="0" w:type="dxa"/>
            <w:left w:w="108" w:type="dxa"/>
            <w:bottom w:w="0" w:type="dxa"/>
            <w:right w:w="108" w:type="dxa"/>
          </w:tblCellMar>
        </w:tblPrEx>
        <w:trPr>
          <w:cantSplit/>
          <w:trHeight w:val="695"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rFonts w:ascii="宋体" w:hAnsi="宋体" w:cs="Arial"/>
                <w:szCs w:val="21"/>
                <w:highlight w:val="none"/>
                <w:lang w:eastAsia="zh-CN"/>
              </w:rPr>
            </w:pPr>
            <w:r>
              <w:rPr>
                <w:rFonts w:hint="eastAsia" w:ascii="宋体" w:hAnsi="宋体" w:cs="Arial"/>
                <w:szCs w:val="21"/>
                <w:highlight w:val="none"/>
                <w:lang w:eastAsia="zh-CN"/>
              </w:rPr>
              <w:t>浮游菌采样头安装培养皿的规格为φ</w:t>
            </w:r>
            <w:r>
              <w:rPr>
                <w:rFonts w:ascii="宋体" w:hAnsi="宋体" w:cs="Arial"/>
                <w:szCs w:val="21"/>
                <w:highlight w:val="none"/>
                <w:lang w:eastAsia="zh-CN"/>
              </w:rPr>
              <w:t>90mm</w:t>
            </w:r>
          </w:p>
        </w:tc>
        <w:tc>
          <w:tcPr>
            <w:tcW w:w="2125" w:type="dxa"/>
            <w:vAlign w:val="center"/>
          </w:tcPr>
          <w:p>
            <w:pPr>
              <w:jc w:val="center"/>
              <w:rPr>
                <w:szCs w:val="21"/>
                <w:highlight w:val="none"/>
                <w:lang w:val="en-US"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ascii="宋体" w:hAnsi="宋体" w:cs="Arial"/>
                <w:szCs w:val="21"/>
                <w:highlight w:val="none"/>
                <w:lang w:eastAsia="zh-CN"/>
              </w:rPr>
              <w:t>各计数监测点连接方式：并联；每个粒子计数器和浮游菌采样器可单独控制开关</w:t>
            </w:r>
          </w:p>
        </w:tc>
        <w:tc>
          <w:tcPr>
            <w:tcW w:w="2125" w:type="dxa"/>
            <w:vAlign w:val="center"/>
          </w:tcPr>
          <w:p>
            <w:pPr>
              <w:jc w:val="center"/>
              <w:rPr>
                <w:szCs w:val="21"/>
                <w:highlight w:val="none"/>
                <w:lang w:val="en-US"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粒子计数器激光源自动控制：传感器监测到无气流通过时，可自动关闭激光源，以延长激光光源使用寿命</w:t>
            </w:r>
          </w:p>
        </w:tc>
        <w:tc>
          <w:tcPr>
            <w:tcW w:w="2125" w:type="dxa"/>
            <w:vAlign w:val="center"/>
          </w:tcPr>
          <w:p>
            <w:pPr>
              <w:jc w:val="center"/>
              <w:rPr>
                <w:szCs w:val="21"/>
                <w:highlight w:val="none"/>
                <w:lang w:val="en-US"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eastAsia="zh-CN"/>
              </w:rPr>
              <w:t>浮游菌采样器不得产生尾气造成被监测区域污染。</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eastAsia="zh-CN"/>
              </w:rPr>
              <w:t>各采样点按照位置应覆盖关键生产区域，但不得干扰正常生产操作</w:t>
            </w:r>
          </w:p>
        </w:tc>
        <w:tc>
          <w:tcPr>
            <w:tcW w:w="2125" w:type="dxa"/>
            <w:vAlign w:val="center"/>
          </w:tcPr>
          <w:p>
            <w:pPr>
              <w:jc w:val="center"/>
              <w:rPr>
                <w:szCs w:val="21"/>
                <w:highlight w:val="none"/>
                <w:lang w:val="en-US" w:eastAsia="zh-CN"/>
              </w:rPr>
            </w:pPr>
            <w:r>
              <w:rPr>
                <w:rFonts w:hint="eastAsia"/>
                <w:szCs w:val="21"/>
                <w:highlight w:val="none"/>
                <w:lang w:val="en-US" w:eastAsia="zh-CN"/>
              </w:rPr>
              <w:t>关键</w:t>
            </w:r>
          </w:p>
        </w:tc>
      </w:tr>
      <w:tr>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浮游菌采样头的设计能有效的避免假阳性的数据</w:t>
            </w:r>
          </w:p>
        </w:tc>
        <w:tc>
          <w:tcPr>
            <w:tcW w:w="2125" w:type="dxa"/>
            <w:vAlign w:val="center"/>
          </w:tcPr>
          <w:p>
            <w:pPr>
              <w:jc w:val="center"/>
              <w:rPr>
                <w:szCs w:val="21"/>
                <w:highlight w:val="none"/>
                <w:lang w:val="en-US"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cs="Arial" w:asciiTheme="minorEastAsia" w:hAnsiTheme="minorEastAsia" w:eastAsiaTheme="minorEastAsia"/>
                <w:szCs w:val="21"/>
                <w:highlight w:val="none"/>
                <w:lang w:eastAsia="zh-CN"/>
              </w:rPr>
              <w:t>A</w:t>
            </w:r>
            <w:r>
              <w:rPr>
                <w:rFonts w:hint="eastAsia" w:cs="Arial" w:asciiTheme="minorEastAsia" w:hAnsiTheme="minorEastAsia" w:eastAsiaTheme="minorEastAsia"/>
                <w:szCs w:val="21"/>
                <w:highlight w:val="none"/>
                <w:lang w:eastAsia="zh-CN"/>
              </w:rPr>
              <w:t>级区用的浮游菌采样头应该具有良好的物理和生物采样效率，采样效率有验证报告可证明大于</w:t>
            </w:r>
            <w:r>
              <w:rPr>
                <w:rFonts w:cs="Arial" w:asciiTheme="minorEastAsia" w:hAnsiTheme="minorEastAsia" w:eastAsiaTheme="minorEastAsia"/>
                <w:szCs w:val="21"/>
                <w:highlight w:val="none"/>
                <w:lang w:eastAsia="zh-CN"/>
              </w:rPr>
              <w:t>80%</w:t>
            </w:r>
          </w:p>
        </w:tc>
        <w:tc>
          <w:tcPr>
            <w:tcW w:w="2125" w:type="dxa"/>
            <w:vAlign w:val="center"/>
          </w:tcPr>
          <w:p>
            <w:pPr>
              <w:jc w:val="center"/>
              <w:rPr>
                <w:szCs w:val="21"/>
                <w:highlight w:val="none"/>
                <w:lang w:val="en-US"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采样器布置的位置和数量应符合</w:t>
            </w:r>
            <w:r>
              <w:rPr>
                <w:rFonts w:asciiTheme="minorEastAsia" w:hAnsiTheme="minorEastAsia" w:eastAsiaTheme="minorEastAsia"/>
                <w:szCs w:val="21"/>
                <w:highlight w:val="none"/>
                <w:lang w:eastAsia="zh-CN"/>
              </w:rPr>
              <w:t>ISO14698</w:t>
            </w:r>
            <w:r>
              <w:rPr>
                <w:rFonts w:hint="eastAsia" w:cs="Arial" w:asciiTheme="minorEastAsia" w:hAnsiTheme="minorEastAsia" w:eastAsiaTheme="minorEastAsia"/>
                <w:szCs w:val="21"/>
                <w:highlight w:val="none"/>
                <w:lang w:eastAsia="zh-CN"/>
              </w:rPr>
              <w:t>相关要求，供应商应详细明确说明其布点数量及位置的依据</w:t>
            </w:r>
          </w:p>
        </w:tc>
        <w:tc>
          <w:tcPr>
            <w:tcW w:w="2125" w:type="dxa"/>
            <w:vAlign w:val="center"/>
          </w:tcPr>
          <w:p>
            <w:pPr>
              <w:jc w:val="center"/>
              <w:rPr>
                <w:szCs w:val="21"/>
                <w:highlight w:val="none"/>
                <w:lang w:val="en-US"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应配备2台真空泵自动切换运行，每台真空泵都能单独供应其支持的系统，可维持15个点位的真空流量。</w:t>
            </w:r>
          </w:p>
        </w:tc>
        <w:tc>
          <w:tcPr>
            <w:tcW w:w="2125" w:type="dxa"/>
            <w:vAlign w:val="center"/>
          </w:tcPr>
          <w:p>
            <w:pPr>
              <w:jc w:val="center"/>
              <w:rPr>
                <w:szCs w:val="21"/>
                <w:highlight w:val="none"/>
                <w:lang w:val="en-US"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真空管路的材质以及设计必须可以抵抗臭氧熏蒸、</w:t>
            </w:r>
            <w:r>
              <w:rPr>
                <w:rFonts w:cs="Arial" w:asciiTheme="minorEastAsia" w:hAnsiTheme="minorEastAsia" w:eastAsiaTheme="minorEastAsia"/>
                <w:szCs w:val="21"/>
                <w:highlight w:val="none"/>
                <w:lang w:eastAsia="zh-CN"/>
              </w:rPr>
              <w:t>VHP</w:t>
            </w:r>
            <w:r>
              <w:rPr>
                <w:rFonts w:hint="eastAsia" w:cs="Arial" w:asciiTheme="minorEastAsia" w:hAnsiTheme="minorEastAsia" w:eastAsiaTheme="minorEastAsia"/>
                <w:szCs w:val="21"/>
                <w:highlight w:val="none"/>
                <w:lang w:eastAsia="zh-CN"/>
              </w:rPr>
              <w:t>灭菌。</w:t>
            </w:r>
          </w:p>
        </w:tc>
        <w:tc>
          <w:tcPr>
            <w:tcW w:w="2125" w:type="dxa"/>
            <w:vAlign w:val="center"/>
          </w:tcPr>
          <w:p>
            <w:pPr>
              <w:jc w:val="center"/>
              <w:rPr>
                <w:szCs w:val="21"/>
                <w:highlight w:val="none"/>
                <w:lang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ascii="宋体" w:hAnsi="宋体" w:cs="Arial"/>
                <w:szCs w:val="21"/>
                <w:highlight w:val="none"/>
                <w:lang w:eastAsia="zh-CN"/>
              </w:rPr>
              <w:t>可在软件上远程启动</w:t>
            </w:r>
            <w:r>
              <w:rPr>
                <w:rFonts w:ascii="宋体" w:hAnsi="宋体" w:cs="Arial"/>
                <w:szCs w:val="21"/>
                <w:highlight w:val="none"/>
                <w:lang w:eastAsia="zh-CN"/>
              </w:rPr>
              <w:t>/</w:t>
            </w:r>
            <w:r>
              <w:rPr>
                <w:rFonts w:hint="eastAsia" w:ascii="宋体" w:hAnsi="宋体" w:cs="Arial"/>
                <w:szCs w:val="21"/>
                <w:highlight w:val="none"/>
                <w:lang w:eastAsia="zh-CN"/>
              </w:rPr>
              <w:t>停止真空泵工作</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宋体" w:hAnsi="宋体" w:cs="Arial"/>
                <w:szCs w:val="21"/>
                <w:highlight w:val="none"/>
                <w:lang w:eastAsia="zh-CN"/>
              </w:rPr>
            </w:pPr>
            <w:r>
              <w:rPr>
                <w:rFonts w:hint="eastAsia" w:ascii="宋体" w:hAnsi="宋体" w:cs="Arial"/>
                <w:szCs w:val="21"/>
                <w:highlight w:val="none"/>
                <w:lang w:eastAsia="zh-CN"/>
              </w:rPr>
              <w:t>应在不影响生产的位置安装粒子监测探头并排线布管，不会对洁净环境造成污染</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宋体" w:hAnsi="宋体" w:cs="Arial"/>
                <w:szCs w:val="21"/>
                <w:highlight w:val="none"/>
                <w:lang w:eastAsia="zh-CN"/>
              </w:rPr>
            </w:pPr>
            <w:r>
              <w:rPr>
                <w:rFonts w:hint="eastAsia" w:ascii="宋体" w:hAnsi="宋体" w:cs="Arial"/>
                <w:szCs w:val="21"/>
                <w:highlight w:val="none"/>
                <w:lang w:eastAsia="zh-CN"/>
              </w:rPr>
              <w:t>粒子采样管与采样口材质光滑，无缝隙，设计应易于清洁，不得吸附或脱落微粒</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宋体" w:hAnsi="宋体" w:cs="Arial"/>
                <w:szCs w:val="21"/>
                <w:highlight w:val="none"/>
                <w:lang w:eastAsia="zh-CN"/>
              </w:rPr>
            </w:pPr>
            <w:r>
              <w:rPr>
                <w:rFonts w:hint="eastAsia" w:ascii="宋体" w:hAnsi="宋体" w:cs="Arial"/>
                <w:szCs w:val="21"/>
                <w:highlight w:val="none"/>
                <w:lang w:eastAsia="zh-CN"/>
              </w:rPr>
              <w:t>连接等动力采样头和计数器的采样管长度不得超过</w:t>
            </w:r>
            <w:r>
              <w:rPr>
                <w:rFonts w:ascii="宋体" w:hAnsi="宋体" w:cs="Arial"/>
                <w:szCs w:val="21"/>
                <w:highlight w:val="none"/>
                <w:lang w:eastAsia="zh-CN"/>
              </w:rPr>
              <w:t>1.0m</w:t>
            </w:r>
            <w:r>
              <w:rPr>
                <w:rFonts w:hint="eastAsia" w:ascii="宋体" w:hAnsi="宋体" w:cs="Arial"/>
                <w:szCs w:val="21"/>
                <w:highlight w:val="none"/>
                <w:lang w:eastAsia="zh-CN"/>
              </w:rPr>
              <w:t>，符合</w:t>
            </w:r>
            <w:r>
              <w:rPr>
                <w:rFonts w:ascii="宋体" w:hAnsi="宋体" w:cs="Arial"/>
                <w:szCs w:val="21"/>
                <w:highlight w:val="none"/>
                <w:lang w:eastAsia="zh-CN"/>
              </w:rPr>
              <w:t>GMP</w:t>
            </w:r>
            <w:r>
              <w:rPr>
                <w:rFonts w:hint="eastAsia" w:ascii="宋体" w:hAnsi="宋体" w:cs="Arial"/>
                <w:szCs w:val="21"/>
                <w:highlight w:val="none"/>
                <w:lang w:eastAsia="zh-CN"/>
              </w:rPr>
              <w:t>规范要求</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宋体" w:hAnsi="宋体" w:cs="Arial"/>
                <w:color w:val="auto"/>
                <w:sz w:val="24"/>
                <w:highlight w:val="none"/>
                <w:lang w:eastAsia="zh-CN"/>
              </w:rPr>
            </w:pPr>
            <w:r>
              <w:rPr>
                <w:rFonts w:hint="eastAsia" w:ascii="宋体" w:hAnsi="宋体"/>
                <w:color w:val="auto"/>
                <w:highlight w:val="none"/>
                <w:lang w:eastAsia="zh-CN"/>
              </w:rPr>
              <w:t>使用原系统真空泵</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hint="eastAsia" w:ascii="宋体" w:hAnsi="宋体"/>
                <w:color w:val="auto"/>
                <w:highlight w:val="none"/>
                <w:lang w:eastAsia="zh-CN"/>
              </w:rPr>
            </w:pPr>
            <w:r>
              <w:rPr>
                <w:rFonts w:hint="eastAsia" w:ascii="宋体" w:hAnsi="宋体"/>
                <w:color w:val="auto"/>
                <w:szCs w:val="21"/>
                <w:highlight w:val="none"/>
                <w:lang w:val="en-US" w:eastAsia="zh-CN"/>
              </w:rPr>
              <w:t>系统能够按照一个指定时间阶段，如年度、月度、周度，或者是任意开始截至时间，系统可以自动按照生产批次有效时间提取对应时间阶段一个或者多个批次数据，该数据包含pdf报告，指定粒径立方英尺、立方米，批次最大值、最小值、平均值的图表趋势图。</w:t>
            </w:r>
          </w:p>
        </w:tc>
        <w:tc>
          <w:tcPr>
            <w:tcW w:w="2125" w:type="dxa"/>
            <w:vAlign w:val="center"/>
          </w:tcPr>
          <w:p>
            <w:pPr>
              <w:jc w:val="center"/>
              <w:rPr>
                <w:rFonts w:hint="eastAsia"/>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可以查询任意时段、类型的历史数据、</w:t>
            </w:r>
            <w:r>
              <w:rPr>
                <w:rFonts w:hint="eastAsia"/>
                <w:color w:val="auto"/>
                <w:highlight w:val="none"/>
                <w:lang w:val="en-US" w:eastAsia="zh-CN"/>
              </w:rPr>
              <w:t>报警记录、超趋势分析报表</w:t>
            </w:r>
            <w:r>
              <w:rPr>
                <w:rFonts w:hint="eastAsia"/>
                <w:color w:val="auto"/>
                <w:highlight w:val="none"/>
                <w:lang w:eastAsia="zh-CN"/>
              </w:rPr>
              <w:t>。</w:t>
            </w:r>
          </w:p>
        </w:tc>
        <w:tc>
          <w:tcPr>
            <w:tcW w:w="2125" w:type="dxa"/>
            <w:vAlign w:val="center"/>
          </w:tcPr>
          <w:p>
            <w:pPr>
              <w:jc w:val="center"/>
              <w:rPr>
                <w:rFonts w:hint="eastAsia"/>
                <w:color w:val="auto"/>
                <w:szCs w:val="21"/>
                <w:highlight w:val="none"/>
                <w:lang w:eastAsia="zh-CN"/>
              </w:rPr>
            </w:pPr>
            <w:r>
              <w:rPr>
                <w:rFonts w:hint="eastAsia"/>
                <w:color w:val="auto"/>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hint="eastAsia" w:ascii="宋体" w:hAnsi="宋体"/>
                <w:szCs w:val="21"/>
                <w:highlight w:val="none"/>
                <w:lang w:eastAsia="zh-CN"/>
              </w:rPr>
            </w:pPr>
            <w:r>
              <w:rPr>
                <w:rFonts w:hint="eastAsia" w:ascii="宋体" w:hAnsi="宋体" w:cs="Arial"/>
                <w:szCs w:val="21"/>
                <w:highlight w:val="none"/>
                <w:lang w:eastAsia="zh-CN"/>
              </w:rPr>
              <w:t>可按日</w:t>
            </w:r>
            <w:r>
              <w:rPr>
                <w:rFonts w:ascii="宋体" w:hAnsi="宋体" w:cs="Arial"/>
                <w:szCs w:val="21"/>
                <w:highlight w:val="none"/>
                <w:lang w:eastAsia="zh-CN"/>
              </w:rPr>
              <w:t>/</w:t>
            </w:r>
            <w:r>
              <w:rPr>
                <w:rFonts w:hint="eastAsia" w:ascii="宋体" w:hAnsi="宋体" w:cs="Arial"/>
                <w:szCs w:val="21"/>
                <w:highlight w:val="none"/>
                <w:lang w:eastAsia="zh-CN"/>
              </w:rPr>
              <w:t>月</w:t>
            </w:r>
            <w:r>
              <w:rPr>
                <w:rFonts w:ascii="宋体" w:hAnsi="宋体" w:cs="Arial"/>
                <w:szCs w:val="21"/>
                <w:highlight w:val="none"/>
                <w:lang w:eastAsia="zh-CN"/>
              </w:rPr>
              <w:t>/</w:t>
            </w:r>
            <w:r>
              <w:rPr>
                <w:rFonts w:hint="eastAsia" w:ascii="宋体" w:hAnsi="宋体" w:cs="Arial"/>
                <w:szCs w:val="21"/>
                <w:highlight w:val="none"/>
                <w:lang w:eastAsia="zh-CN"/>
              </w:rPr>
              <w:t>季度</w:t>
            </w:r>
            <w:r>
              <w:rPr>
                <w:rFonts w:ascii="宋体" w:hAnsi="宋体" w:cs="Arial"/>
                <w:szCs w:val="21"/>
                <w:highlight w:val="none"/>
                <w:lang w:eastAsia="zh-CN"/>
              </w:rPr>
              <w:t>/</w:t>
            </w:r>
            <w:r>
              <w:rPr>
                <w:rFonts w:hint="eastAsia" w:ascii="宋体" w:hAnsi="宋体" w:cs="Arial"/>
                <w:szCs w:val="21"/>
                <w:highlight w:val="none"/>
                <w:lang w:eastAsia="zh-CN"/>
              </w:rPr>
              <w:t>年自动生成各类监控图谱</w:t>
            </w:r>
          </w:p>
        </w:tc>
        <w:tc>
          <w:tcPr>
            <w:tcW w:w="2125" w:type="dxa"/>
            <w:vAlign w:val="center"/>
          </w:tcPr>
          <w:p>
            <w:pPr>
              <w:jc w:val="center"/>
              <w:rPr>
                <w:rFonts w:hint="eastAsia"/>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hint="eastAsia" w:ascii="宋体" w:hAnsi="宋体"/>
                <w:szCs w:val="21"/>
                <w:highlight w:val="none"/>
                <w:lang w:eastAsia="zh-CN"/>
              </w:rPr>
            </w:pPr>
            <w:r>
              <w:rPr>
                <w:rFonts w:hint="eastAsia" w:ascii="宋体" w:hAnsi="宋体"/>
                <w:szCs w:val="21"/>
                <w:highlight w:val="none"/>
                <w:lang w:eastAsia="zh-CN"/>
              </w:rPr>
              <w:t>各种数据报表应包括：监控点、时间、分装批次、粒子浓度、相关人员信息、必要的设置信息等相关信息，且可以查询任意时段、批次、类型的历史数据</w:t>
            </w:r>
          </w:p>
        </w:tc>
        <w:tc>
          <w:tcPr>
            <w:tcW w:w="2125" w:type="dxa"/>
            <w:vAlign w:val="center"/>
          </w:tcPr>
          <w:p>
            <w:pPr>
              <w:jc w:val="center"/>
              <w:rPr>
                <w:rFonts w:hint="eastAsia"/>
                <w:szCs w:val="21"/>
                <w:highlight w:val="none"/>
                <w:lang w:eastAsia="zh-CN"/>
              </w:rPr>
            </w:pPr>
            <w:r>
              <w:rPr>
                <w:rFonts w:hint="eastAsia"/>
                <w:szCs w:val="21"/>
                <w:highlight w:val="none"/>
                <w:lang w:eastAsia="zh-CN"/>
              </w:rPr>
              <w:t>关键</w:t>
            </w:r>
          </w:p>
        </w:tc>
      </w:tr>
      <w:permEnd w:id="28"/>
    </w:tbl>
    <w:p>
      <w:pPr>
        <w:pStyle w:val="44"/>
        <w:numPr>
          <w:ilvl w:val="0"/>
          <w:numId w:val="3"/>
        </w:numPr>
        <w:spacing w:after="158" w:afterLines="50"/>
        <w:ind w:left="426" w:hanging="426" w:hangingChars="202"/>
        <w:outlineLvl w:val="0"/>
        <w:rPr>
          <w:rFonts w:ascii="Times New Roman" w:hAnsi="Times New Roman"/>
          <w:b/>
          <w:highlight w:val="none"/>
        </w:rPr>
      </w:pPr>
      <w:bookmarkStart w:id="27" w:name="_Toc522716122"/>
      <w:bookmarkStart w:id="28" w:name="_Toc522107742"/>
      <w:bookmarkStart w:id="29" w:name="_Toc483400317"/>
      <w:bookmarkStart w:id="30" w:name="_Toc482625289"/>
      <w:bookmarkStart w:id="31" w:name="_Toc482370359"/>
      <w:bookmarkStart w:id="32" w:name="_Toc482359946"/>
      <w:bookmarkStart w:id="33" w:name="_Toc481702480"/>
      <w:bookmarkStart w:id="34" w:name="_Toc482370151"/>
      <w:bookmarkStart w:id="35" w:name="_Toc482370071"/>
      <w:bookmarkStart w:id="36" w:name="_Toc482360291"/>
      <w:bookmarkStart w:id="37" w:name="_Toc482369815"/>
      <w:bookmarkStart w:id="38" w:name="_Toc482370767"/>
      <w:bookmarkStart w:id="39" w:name="_Toc483227237"/>
      <w:bookmarkStart w:id="40" w:name="_Toc482717202"/>
      <w:r>
        <w:rPr>
          <w:rFonts w:hint="eastAsia" w:ascii="Times New Roman" w:hAnsi="Times New Roman"/>
          <w:b/>
          <w:highlight w:val="none"/>
        </w:rPr>
        <w:t>电气、自动控制要求</w:t>
      </w:r>
      <w:bookmarkEnd w:id="27"/>
    </w:p>
    <w:p>
      <w:pPr>
        <w:pStyle w:val="53"/>
        <w:spacing w:before="0" w:line="360" w:lineRule="auto"/>
        <w:ind w:left="425"/>
        <w:jc w:val="left"/>
        <w:rPr>
          <w:i/>
          <w:color w:val="4472C4"/>
          <w:szCs w:val="21"/>
          <w:highlight w:val="none"/>
          <w:lang w:eastAsia="zh-CN"/>
        </w:rPr>
      </w:pPr>
      <w:permStart w:id="29" w:edGrp="everyone"/>
    </w:p>
    <w:permEnd w:id="29"/>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highlight w:val="none"/>
              </w:rPr>
            </w:pPr>
            <w:r>
              <w:rPr>
                <w:rFonts w:hint="eastAsia"/>
                <w:b/>
                <w:szCs w:val="21"/>
                <w:highlight w:val="none"/>
              </w:rPr>
              <w:t>编号</w:t>
            </w:r>
          </w:p>
        </w:tc>
        <w:tc>
          <w:tcPr>
            <w:tcW w:w="7128" w:type="dxa"/>
            <w:shd w:val="clear" w:color="auto" w:fill="D9D9D9"/>
            <w:vAlign w:val="center"/>
          </w:tcPr>
          <w:p>
            <w:pPr>
              <w:jc w:val="center"/>
              <w:rPr>
                <w:b/>
                <w:szCs w:val="21"/>
                <w:highlight w:val="none"/>
                <w:lang w:eastAsia="zh-CN"/>
              </w:rPr>
            </w:pPr>
            <w:r>
              <w:rPr>
                <w:rFonts w:hint="eastAsia"/>
                <w:b/>
                <w:szCs w:val="21"/>
                <w:highlight w:val="none"/>
                <w:lang w:eastAsia="zh-CN"/>
              </w:rPr>
              <w:t>需求</w:t>
            </w:r>
          </w:p>
        </w:tc>
        <w:tc>
          <w:tcPr>
            <w:tcW w:w="2125" w:type="dxa"/>
            <w:shd w:val="clear" w:color="auto" w:fill="D9D9D9"/>
            <w:vAlign w:val="center"/>
          </w:tcPr>
          <w:p>
            <w:pPr>
              <w:jc w:val="center"/>
              <w:rPr>
                <w:b/>
                <w:szCs w:val="21"/>
                <w:highlight w:val="none"/>
                <w:lang w:eastAsia="zh-CN"/>
              </w:rPr>
            </w:pPr>
            <w:r>
              <w:rPr>
                <w:rFonts w:hint="eastAsia"/>
                <w:b/>
                <w:szCs w:val="21"/>
                <w:highlight w:val="none"/>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szCs w:val="21"/>
                <w:highlight w:val="none"/>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ermStart w:id="30" w:edGrp="everyone"/>
          </w:p>
        </w:tc>
        <w:tc>
          <w:tcPr>
            <w:tcW w:w="7128" w:type="dxa"/>
            <w:vAlign w:val="center"/>
          </w:tcPr>
          <w:p>
            <w:pPr>
              <w:spacing w:line="276" w:lineRule="auto"/>
              <w:jc w:val="both"/>
              <w:rPr>
                <w:rFonts w:hint="eastAsia"/>
                <w:szCs w:val="21"/>
                <w:highlight w:val="none"/>
                <w:lang w:val="en-US" w:eastAsia="zh-CN"/>
              </w:rPr>
            </w:pPr>
            <w:r>
              <w:rPr>
                <w:rFonts w:hint="eastAsia"/>
                <w:szCs w:val="21"/>
                <w:highlight w:val="none"/>
                <w:lang w:val="en-US" w:eastAsia="zh-CN"/>
              </w:rPr>
              <w:t>扩展的点位安装后应和原系统完全兼容，原系统所有功能都能在扩展模块中使用。</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hint="eastAsia" w:ascii="宋体" w:hAnsi="宋体" w:cs="Arial"/>
                <w:highlight w:val="none"/>
                <w:lang w:eastAsia="zh-CN"/>
              </w:rPr>
            </w:pPr>
            <w:r>
              <w:rPr>
                <w:rFonts w:hint="eastAsia" w:ascii="宋体" w:hAnsi="宋体" w:cs="Arial"/>
                <w:highlight w:val="none"/>
                <w:lang w:eastAsia="zh-CN"/>
              </w:rPr>
              <w:t>应在灌装间配1台平板电脑，安装相应的监控软件，可直观了解并处理具体点位的报警信息</w:t>
            </w:r>
            <w:r>
              <w:rPr>
                <w:szCs w:val="21"/>
                <w:highlight w:val="none"/>
                <w:lang w:val="en-US" w:eastAsia="zh-CN"/>
              </w:rPr>
              <w:t xml:space="preserve"> </w:t>
            </w:r>
          </w:p>
        </w:tc>
        <w:tc>
          <w:tcPr>
            <w:tcW w:w="2125" w:type="dxa"/>
            <w:vAlign w:val="center"/>
          </w:tcPr>
          <w:p>
            <w:pPr>
              <w:jc w:val="center"/>
              <w:rPr>
                <w:rFonts w:hint="eastAsia"/>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宋体" w:hAnsi="宋体" w:cs="Arial"/>
                <w:highlight w:val="none"/>
                <w:lang w:eastAsia="zh-CN"/>
              </w:rPr>
            </w:pPr>
            <w:r>
              <w:rPr>
                <w:rFonts w:hint="eastAsia" w:ascii="宋体" w:hAnsi="宋体" w:cs="Arial"/>
                <w:highlight w:val="none"/>
                <w:lang w:eastAsia="zh-CN"/>
              </w:rPr>
              <w:t>应能在现场和远程软件处理报警信息。</w:t>
            </w:r>
          </w:p>
          <w:p>
            <w:pPr>
              <w:spacing w:line="276" w:lineRule="auto"/>
              <w:jc w:val="both"/>
              <w:rPr>
                <w:rFonts w:ascii="宋体" w:hAnsi="宋体" w:cs="Arial"/>
                <w:color w:val="FF0000"/>
                <w:highlight w:val="none"/>
                <w:lang w:eastAsia="zh-CN"/>
              </w:rPr>
            </w:pPr>
            <w:r>
              <w:rPr>
                <w:rFonts w:hint="eastAsia" w:ascii="宋体" w:hAnsi="宋体" w:cs="Arial"/>
                <w:highlight w:val="none"/>
                <w:lang w:eastAsia="zh-CN"/>
              </w:rPr>
              <w:t>装在平板电脑和和PC机上的监控系统软件应该是一样：功能一样且互不干扰。</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宋体" w:hAnsi="宋体" w:cs="Arial"/>
                <w:color w:val="FF0000"/>
                <w:highlight w:val="none"/>
                <w:lang w:eastAsia="zh-CN"/>
              </w:rPr>
            </w:pPr>
            <w:r>
              <w:rPr>
                <w:rFonts w:hint="eastAsia" w:ascii="宋体" w:hAnsi="宋体" w:cs="Arial"/>
                <w:highlight w:val="none"/>
                <w:lang w:eastAsia="zh-CN"/>
              </w:rPr>
              <w:t>监控软件用于综合管理粒子、环境、生成的监测参数，能够采集、显示、分析、查询、存储和报告来自粒子监测和微生物采样的数据。</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宋体" w:hAnsi="宋体" w:cs="Arial"/>
                <w:color w:val="FF0000"/>
                <w:highlight w:val="none"/>
                <w:lang w:eastAsia="zh-CN"/>
              </w:rPr>
            </w:pPr>
            <w:r>
              <w:rPr>
                <w:rFonts w:hint="eastAsia" w:ascii="宋体" w:hAnsi="宋体" w:cs="Arial"/>
                <w:highlight w:val="none"/>
                <w:lang w:eastAsia="zh-CN"/>
              </w:rPr>
              <w:t>操作和显示界面应为中文</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宋体" w:hAnsi="宋体" w:cs="Arial"/>
                <w:highlight w:val="none"/>
                <w:lang w:eastAsia="zh-CN"/>
              </w:rPr>
            </w:pPr>
            <w:r>
              <w:rPr>
                <w:rFonts w:hint="eastAsia" w:ascii="宋体" w:hAnsi="宋体" w:cs="宋体"/>
                <w:szCs w:val="21"/>
                <w:highlight w:val="none"/>
                <w:lang w:eastAsia="zh-CN"/>
              </w:rPr>
              <w:t>软件能</w:t>
            </w:r>
            <w:r>
              <w:rPr>
                <w:rFonts w:hint="eastAsia" w:ascii="Arial" w:hAnsi="Arial" w:cs="Arial"/>
                <w:szCs w:val="21"/>
                <w:highlight w:val="none"/>
                <w:lang w:val="da-DK" w:eastAsia="zh-CN"/>
              </w:rPr>
              <w:t>实时显示</w:t>
            </w:r>
            <w:r>
              <w:rPr>
                <w:rFonts w:hint="eastAsia"/>
                <w:szCs w:val="21"/>
                <w:highlight w:val="none"/>
                <w:lang w:val="en-US" w:eastAsia="zh-CN"/>
              </w:rPr>
              <w:t>日期，时间，及当前的检测值。</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Arial" w:hAnsi="Arial" w:cs="Arial"/>
                <w:szCs w:val="21"/>
                <w:highlight w:val="none"/>
                <w:lang w:val="da-DK" w:eastAsia="zh-CN"/>
              </w:rPr>
            </w:pPr>
            <w:r>
              <w:rPr>
                <w:rFonts w:hint="eastAsia"/>
                <w:szCs w:val="21"/>
                <w:highlight w:val="none"/>
                <w:lang w:val="en-US" w:eastAsia="zh-CN"/>
              </w:rPr>
              <w:t>粒子监测数据的</w:t>
            </w:r>
            <w:r>
              <w:rPr>
                <w:rFonts w:hint="eastAsia" w:ascii="宋体" w:hAnsi="宋体"/>
                <w:highlight w:val="none"/>
                <w:lang w:eastAsia="zh-CN"/>
              </w:rPr>
              <w:t>时间应以粒子计数器时间为准，且系统时间可定时自动同步。</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宋体" w:hAnsi="宋体" w:cs="Arial"/>
                <w:highlight w:val="none"/>
                <w:lang w:eastAsia="zh-CN"/>
              </w:rPr>
            </w:pPr>
            <w:r>
              <w:rPr>
                <w:rFonts w:hint="eastAsia" w:ascii="宋体" w:hAnsi="宋体" w:cs="Arial"/>
                <w:highlight w:val="none"/>
                <w:lang w:eastAsia="zh-CN"/>
              </w:rPr>
              <w:t>监控的数据（包括原始数据和相关元数据）应不可修改，可进行备份恢复</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宋体" w:hAnsi="宋体" w:cs="Arial"/>
                <w:highlight w:val="none"/>
                <w:lang w:eastAsia="zh-CN"/>
              </w:rPr>
            </w:pPr>
            <w:r>
              <w:rPr>
                <w:rFonts w:hint="eastAsia" w:ascii="宋体" w:hAnsi="宋体" w:cs="Arial"/>
                <w:highlight w:val="none"/>
                <w:lang w:eastAsia="zh-CN"/>
              </w:rPr>
              <w:t>能够生成时间—粒子数曲线图</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宋体" w:hAnsi="宋体" w:cs="Arial"/>
                <w:highlight w:val="none"/>
                <w:lang w:eastAsia="zh-CN"/>
              </w:rPr>
            </w:pPr>
            <w:r>
              <w:rPr>
                <w:rFonts w:hint="eastAsia" w:ascii="宋体" w:hAnsi="宋体" w:cs="Arial"/>
                <w:highlight w:val="none"/>
                <w:lang w:eastAsia="zh-CN"/>
              </w:rPr>
              <w:t>可以按时间查询并生成报表，至少包括：设备识别号、设备位置信息；产品名称及批号；开始日期和时间；结束日期和时间；运行期间的监测数据、相关操作人员信息</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宋体" w:hAnsi="宋体" w:cs="Arial"/>
                <w:highlight w:val="none"/>
                <w:lang w:eastAsia="zh-CN"/>
              </w:rPr>
            </w:pPr>
            <w:r>
              <w:rPr>
                <w:rFonts w:hint="eastAsia" w:ascii="宋体" w:hAnsi="宋体" w:cs="Arial"/>
                <w:highlight w:val="none"/>
                <w:lang w:eastAsia="zh-CN"/>
              </w:rPr>
              <w:t>异常事件应可被显示和记录，</w:t>
            </w:r>
            <w:r>
              <w:rPr>
                <w:rFonts w:hint="eastAsia" w:ascii="宋体" w:hAnsi="宋体"/>
                <w:highlight w:val="none"/>
                <w:lang w:eastAsia="zh-CN"/>
              </w:rPr>
              <w:t>报警时应能够在监控界面上用不同颜色显示状态，如：正常时监控界面探头显示绿色、警告时显示黄色、报警时显示红色。</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jc w:val="center"/>
              <w:rPr>
                <w:rFonts w:ascii="Times New Roman" w:hAnsi="Times New Roman"/>
                <w:szCs w:val="21"/>
                <w:highlight w:val="none"/>
              </w:rPr>
            </w:pPr>
          </w:p>
        </w:tc>
        <w:tc>
          <w:tcPr>
            <w:tcW w:w="7128" w:type="dxa"/>
            <w:vAlign w:val="center"/>
          </w:tcPr>
          <w:p>
            <w:pPr>
              <w:spacing w:line="276" w:lineRule="auto"/>
              <w:jc w:val="both"/>
              <w:rPr>
                <w:rFonts w:ascii="宋体" w:hAnsi="宋体" w:cs="Arial"/>
                <w:highlight w:val="none"/>
                <w:lang w:eastAsia="zh-CN"/>
              </w:rPr>
            </w:pPr>
            <w:r>
              <w:rPr>
                <w:rFonts w:hint="eastAsia" w:ascii="宋体" w:hAnsi="宋体" w:cs="Arial"/>
                <w:highlight w:val="none"/>
                <w:lang w:eastAsia="zh-CN"/>
              </w:rPr>
              <w:t>应安装声光报警器，光报警为三色或以上，可分别显示正常运行、警戒报警、超标报警、流量报警等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310" w:type="dxa"/>
            <w:vAlign w:val="center"/>
          </w:tcPr>
          <w:p>
            <w:pPr>
              <w:pStyle w:val="44"/>
              <w:numPr>
                <w:ilvl w:val="0"/>
                <w:numId w:val="7"/>
              </w:numPr>
              <w:ind w:left="470" w:hanging="120" w:firstLineChars="0"/>
              <w:jc w:val="center"/>
              <w:rPr>
                <w:rFonts w:ascii="Times New Roman" w:hAnsi="Times New Roman"/>
                <w:color w:val="FF0000"/>
                <w:szCs w:val="21"/>
                <w:highlight w:val="none"/>
              </w:rPr>
            </w:pPr>
          </w:p>
        </w:tc>
        <w:tc>
          <w:tcPr>
            <w:tcW w:w="7128" w:type="dxa"/>
            <w:vAlign w:val="center"/>
          </w:tcPr>
          <w:p>
            <w:pPr>
              <w:spacing w:line="276" w:lineRule="auto"/>
              <w:jc w:val="both"/>
              <w:rPr>
                <w:color w:val="FF0000"/>
                <w:szCs w:val="21"/>
                <w:highlight w:val="none"/>
                <w:lang w:val="en-US" w:eastAsia="zh-CN"/>
              </w:rPr>
            </w:pPr>
            <w:r>
              <w:rPr>
                <w:rFonts w:hint="eastAsia" w:ascii="宋体" w:hAnsi="宋体" w:cs="Arial"/>
                <w:highlight w:val="none"/>
                <w:lang w:eastAsia="zh-CN"/>
              </w:rPr>
              <w:t>当系统元件出现故障时，监控系统、现场应有声光报警，并提示故障信息</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color w:val="FF0000"/>
                <w:szCs w:val="21"/>
                <w:highlight w:val="none"/>
                <w:lang w:val="en-US" w:eastAsia="zh-CN"/>
              </w:rPr>
            </w:pPr>
            <w:r>
              <w:rPr>
                <w:rFonts w:hint="eastAsia" w:ascii="宋体" w:hAnsi="宋体" w:cs="Arial"/>
                <w:highlight w:val="none"/>
                <w:lang w:eastAsia="zh-CN"/>
              </w:rPr>
              <w:t>当测试结果超过警戒限和行动限时，监控系统、现场有应声光报警，软件显示报警点位信息</w:t>
            </w:r>
          </w:p>
        </w:tc>
        <w:tc>
          <w:tcPr>
            <w:tcW w:w="2125" w:type="dxa"/>
            <w:vAlign w:val="center"/>
          </w:tcPr>
          <w:p>
            <w:pPr>
              <w:jc w:val="center"/>
              <w:rPr>
                <w:szCs w:val="21"/>
                <w:highlight w:val="none"/>
                <w:lang w:val="en-US"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rFonts w:ascii="宋体" w:hAnsi="宋体" w:cs="Arial"/>
                <w:highlight w:val="none"/>
                <w:lang w:eastAsia="zh-CN"/>
              </w:rPr>
            </w:pPr>
            <w:r>
              <w:rPr>
                <w:rFonts w:hint="eastAsia" w:ascii="宋体" w:hAnsi="宋体" w:cs="Arial"/>
                <w:highlight w:val="none"/>
                <w:lang w:eastAsia="zh-CN"/>
              </w:rPr>
              <w:t>当真空流量不足时监控系统、现场有应声光报警，软件显示报警点位信息</w:t>
            </w:r>
          </w:p>
        </w:tc>
        <w:tc>
          <w:tcPr>
            <w:tcW w:w="2125" w:type="dxa"/>
            <w:vAlign w:val="center"/>
          </w:tcPr>
          <w:p>
            <w:pPr>
              <w:jc w:val="center"/>
              <w:rPr>
                <w:szCs w:val="21"/>
                <w:highlight w:val="none"/>
                <w:lang w:val="en-US" w:eastAsia="zh-CN"/>
              </w:rPr>
            </w:pPr>
            <w:r>
              <w:rPr>
                <w:rFonts w:hint="eastAsia"/>
                <w:szCs w:val="21"/>
                <w:highlight w:val="none"/>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color w:val="FF0000"/>
                <w:szCs w:val="21"/>
                <w:highlight w:val="none"/>
                <w:lang w:val="en-US" w:eastAsia="zh-CN"/>
              </w:rPr>
            </w:pPr>
            <w:r>
              <w:rPr>
                <w:rFonts w:hint="eastAsia" w:ascii="宋体" w:hAnsi="宋体"/>
                <w:highlight w:val="none"/>
                <w:lang w:eastAsia="zh-CN"/>
              </w:rPr>
              <w:t>所有报警内容自动储存到相应的工控机硬盘或设备内存中，原始报警记录存储为不可修改</w:t>
            </w:r>
            <w:r>
              <w:rPr>
                <w:rFonts w:hint="eastAsia" w:ascii="宋体" w:hAnsi="宋体" w:cs="Arial"/>
                <w:highlight w:val="none"/>
                <w:lang w:eastAsia="zh-CN"/>
              </w:rPr>
              <w:t>格式</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rFonts w:ascii="宋体" w:hAnsi="宋体"/>
                <w:highlight w:val="none"/>
                <w:lang w:eastAsia="zh-CN"/>
              </w:rPr>
            </w:pPr>
            <w:r>
              <w:rPr>
                <w:rFonts w:hint="eastAsia" w:ascii="宋体" w:hAnsi="宋体"/>
                <w:highlight w:val="none"/>
                <w:lang w:eastAsia="zh-CN"/>
              </w:rPr>
              <w:t>报警内容</w:t>
            </w:r>
            <w:r>
              <w:rPr>
                <w:rFonts w:hint="eastAsia" w:ascii="宋体" w:hAnsi="宋体" w:cs="Arial"/>
                <w:highlight w:val="none"/>
                <w:lang w:eastAsia="zh-CN"/>
              </w:rPr>
              <w:t>可查询、输出、备份恢复、打印。</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rFonts w:ascii="宋体" w:hAnsi="宋体" w:cs="Arial"/>
                <w:highlight w:val="none"/>
                <w:lang w:eastAsia="zh-CN"/>
              </w:rPr>
            </w:pPr>
            <w:r>
              <w:rPr>
                <w:rFonts w:hint="eastAsia" w:ascii="宋体" w:hAnsi="宋体"/>
                <w:highlight w:val="none"/>
                <w:lang w:eastAsia="zh-CN"/>
              </w:rPr>
              <w:t>报警内容</w:t>
            </w:r>
            <w:r>
              <w:rPr>
                <w:rFonts w:hint="eastAsia" w:ascii="宋体" w:hAnsi="宋体" w:cs="Arial"/>
                <w:highlight w:val="none"/>
                <w:lang w:eastAsia="zh-CN"/>
              </w:rPr>
              <w:t>可通过多种方式（如时间段、名称）查询，可输出P</w:t>
            </w:r>
            <w:r>
              <w:rPr>
                <w:rFonts w:ascii="宋体" w:hAnsi="宋体" w:cs="Arial"/>
                <w:highlight w:val="none"/>
                <w:lang w:eastAsia="zh-CN"/>
              </w:rPr>
              <w:t>DF</w:t>
            </w:r>
            <w:r>
              <w:rPr>
                <w:rFonts w:hint="eastAsia" w:ascii="宋体" w:hAnsi="宋体" w:cs="Arial"/>
                <w:highlight w:val="none"/>
                <w:lang w:eastAsia="zh-CN"/>
              </w:rPr>
              <w:t xml:space="preserve">格式 </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color w:val="FF0000"/>
                <w:szCs w:val="21"/>
                <w:highlight w:val="none"/>
                <w:lang w:val="en-US" w:eastAsia="zh-CN"/>
              </w:rPr>
            </w:pPr>
            <w:r>
              <w:rPr>
                <w:rFonts w:hint="eastAsia" w:ascii="宋体" w:hAnsi="宋体"/>
                <w:highlight w:val="none"/>
                <w:lang w:eastAsia="zh-CN"/>
              </w:rPr>
              <w:t>报警记录内容至少包括序号、报警时间、报警原因</w:t>
            </w:r>
            <w:r>
              <w:rPr>
                <w:rFonts w:ascii="宋体" w:hAnsi="宋体"/>
                <w:highlight w:val="none"/>
                <w:lang w:eastAsia="zh-CN"/>
              </w:rPr>
              <w:t>/</w:t>
            </w:r>
            <w:r>
              <w:rPr>
                <w:rFonts w:hint="eastAsia" w:ascii="宋体" w:hAnsi="宋体"/>
                <w:highlight w:val="none"/>
                <w:lang w:eastAsia="zh-CN"/>
              </w:rPr>
              <w:t>事项、恢复时间、相关操作人员信息等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rFonts w:ascii="宋体" w:hAnsi="宋体"/>
                <w:highlight w:val="none"/>
                <w:lang w:eastAsia="zh-CN"/>
              </w:rPr>
            </w:pPr>
            <w:r>
              <w:rPr>
                <w:rFonts w:hint="eastAsia" w:ascii="宋体" w:hAnsi="宋体" w:cs="Arial"/>
                <w:highlight w:val="none"/>
                <w:lang w:eastAsia="zh-CN"/>
              </w:rPr>
              <w:t>应能在现场和远程软件处理报警信息</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pStyle w:val="7"/>
              <w:widowControl w:val="0"/>
              <w:overflowPunct/>
              <w:autoSpaceDE/>
              <w:autoSpaceDN/>
              <w:adjustRightInd/>
              <w:spacing w:after="0" w:line="360" w:lineRule="auto"/>
              <w:jc w:val="both"/>
              <w:textAlignment w:val="auto"/>
              <w:rPr>
                <w:rFonts w:ascii="宋体" w:hAnsi="宋体" w:cs="Arial"/>
                <w:sz w:val="21"/>
                <w:szCs w:val="20"/>
                <w:highlight w:val="none"/>
                <w:lang w:eastAsia="zh-CN"/>
              </w:rPr>
            </w:pPr>
            <w:r>
              <w:rPr>
                <w:rFonts w:hint="eastAsia" w:ascii="宋体" w:hAnsi="宋体" w:cs="Arial"/>
                <w:sz w:val="21"/>
                <w:szCs w:val="20"/>
                <w:highlight w:val="none"/>
                <w:lang w:eastAsia="zh-CN"/>
              </w:rPr>
              <w:t>可由管理员权限设置并锁定超标报警上下限</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pStyle w:val="7"/>
              <w:widowControl w:val="0"/>
              <w:overflowPunct/>
              <w:autoSpaceDE/>
              <w:autoSpaceDN/>
              <w:adjustRightInd/>
              <w:spacing w:after="0" w:line="360" w:lineRule="auto"/>
              <w:jc w:val="both"/>
              <w:textAlignment w:val="auto"/>
              <w:rPr>
                <w:rFonts w:ascii="宋体" w:hAnsi="宋体" w:cs="Arial"/>
                <w:sz w:val="21"/>
                <w:szCs w:val="21"/>
                <w:highlight w:val="none"/>
                <w:lang w:eastAsia="zh-CN"/>
              </w:rPr>
            </w:pPr>
            <w:r>
              <w:rPr>
                <w:rFonts w:hint="eastAsia" w:ascii="宋体" w:hAnsi="宋体"/>
                <w:sz w:val="21"/>
                <w:szCs w:val="21"/>
                <w:highlight w:val="none"/>
                <w:lang w:eastAsia="zh-CN"/>
              </w:rPr>
              <w:t>系统应有联机功能，可以输出干接点信号到灌装线</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pStyle w:val="7"/>
              <w:widowControl w:val="0"/>
              <w:overflowPunct/>
              <w:autoSpaceDE/>
              <w:autoSpaceDN/>
              <w:adjustRightInd/>
              <w:spacing w:after="0" w:line="360" w:lineRule="auto"/>
              <w:jc w:val="both"/>
              <w:textAlignment w:val="auto"/>
              <w:rPr>
                <w:rFonts w:ascii="宋体" w:hAnsi="宋体" w:cs="Arial"/>
                <w:sz w:val="21"/>
                <w:szCs w:val="21"/>
                <w:highlight w:val="none"/>
                <w:lang w:eastAsia="zh-CN"/>
              </w:rPr>
            </w:pPr>
            <w:r>
              <w:rPr>
                <w:rFonts w:hint="eastAsia" w:ascii="宋体" w:hAnsi="宋体"/>
                <w:sz w:val="21"/>
                <w:szCs w:val="21"/>
                <w:highlight w:val="none"/>
                <w:lang w:eastAsia="zh-CN"/>
              </w:rPr>
              <w:t>设备应提供接口，可对接M</w:t>
            </w:r>
            <w:r>
              <w:rPr>
                <w:rFonts w:ascii="宋体" w:hAnsi="宋体"/>
                <w:sz w:val="21"/>
                <w:szCs w:val="21"/>
                <w:highlight w:val="none"/>
                <w:lang w:eastAsia="zh-CN"/>
              </w:rPr>
              <w:t>ES</w:t>
            </w:r>
            <w:r>
              <w:rPr>
                <w:rFonts w:hint="eastAsia" w:ascii="宋体" w:hAnsi="宋体"/>
                <w:sz w:val="21"/>
                <w:szCs w:val="21"/>
                <w:highlight w:val="none"/>
                <w:lang w:eastAsia="zh-CN"/>
              </w:rPr>
              <w:t>系统，设备监测信息可被其他管理系统实时通讯、监控和记录</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44"/>
              <w:numPr>
                <w:ilvl w:val="2"/>
                <w:numId w:val="9"/>
              </w:numPr>
              <w:ind w:firstLineChars="0"/>
              <w:rPr>
                <w:rFonts w:ascii="Times New Roman" w:hAnsi="Times New Roman"/>
                <w:szCs w:val="21"/>
                <w:highlight w:val="none"/>
              </w:rPr>
            </w:pPr>
            <w:permStart w:id="31" w:edGrp="everyone"/>
            <w:permEnd w:id="31"/>
          </w:p>
        </w:tc>
        <w:tc>
          <w:tcPr>
            <w:tcW w:w="9253" w:type="dxa"/>
            <w:gridSpan w:val="2"/>
            <w:shd w:val="clear" w:color="auto" w:fill="D9D9D9"/>
            <w:vAlign w:val="center"/>
          </w:tcPr>
          <w:p>
            <w:pPr>
              <w:jc w:val="both"/>
              <w:rPr>
                <w:szCs w:val="21"/>
                <w:highlight w:val="none"/>
              </w:rPr>
            </w:pPr>
            <w:r>
              <w:rPr>
                <w:rFonts w:hint="eastAsia"/>
                <w:szCs w:val="21"/>
                <w:highlight w:val="none"/>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32" w:edGrp="everyone"/>
          </w:p>
        </w:tc>
        <w:tc>
          <w:tcPr>
            <w:tcW w:w="7128" w:type="dxa"/>
            <w:vAlign w:val="center"/>
          </w:tcPr>
          <w:p>
            <w:pPr>
              <w:spacing w:line="276" w:lineRule="auto"/>
              <w:jc w:val="both"/>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新增的触摸屏功能应和原系统功能一样。</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1310" w:type="dxa"/>
            <w:vAlign w:val="center"/>
          </w:tcPr>
          <w:p>
            <w:pPr>
              <w:pStyle w:val="44"/>
              <w:numPr>
                <w:ilvl w:val="0"/>
                <w:numId w:val="7"/>
              </w:numPr>
              <w:ind w:left="470" w:hanging="120" w:firstLineChars="0"/>
              <w:rPr>
                <w:rFonts w:ascii="Times New Roman" w:hAnsi="Times New Roman"/>
                <w:color w:val="FF0000"/>
                <w:szCs w:val="21"/>
                <w:highlight w:val="none"/>
              </w:rPr>
            </w:pPr>
          </w:p>
        </w:tc>
        <w:tc>
          <w:tcPr>
            <w:tcW w:w="7128" w:type="dxa"/>
            <w:vAlign w:val="center"/>
          </w:tcPr>
          <w:p>
            <w:pPr>
              <w:spacing w:line="276" w:lineRule="auto"/>
              <w:jc w:val="both"/>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监控系统软件应具备满足法规要求和我公司要求的至少</w:t>
            </w:r>
            <w:r>
              <w:rPr>
                <w:rFonts w:hint="eastAsia" w:cs="Arial"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lang w:eastAsia="zh-CN"/>
              </w:rPr>
              <w:t>级系统管理权限，各级应具备不同的管理权限。一级权限：adminstrator，IT级管理权限，具有系统的所有操作权限二级权限：manager,车间主任管理权限，支持报警确认、设备启停，数据查看、报告导出三级权限：operator,操作员权限，支持设备启停，数据查看、报告导出等权限四级权限： observer,观察员权限，支持报告导出、数据查看</w:t>
            </w:r>
          </w:p>
        </w:tc>
        <w:tc>
          <w:tcPr>
            <w:tcW w:w="2125" w:type="dxa"/>
            <w:vAlign w:val="center"/>
          </w:tcPr>
          <w:p>
            <w:pPr>
              <w:jc w:val="center"/>
              <w:rPr>
                <w:rFonts w:hint="eastAsia" w:eastAsia="宋体"/>
                <w:color w:val="auto"/>
                <w:szCs w:val="21"/>
                <w:highlight w:val="none"/>
                <w:lang w:eastAsia="zh-CN"/>
              </w:rPr>
            </w:pPr>
            <w:r>
              <w:rPr>
                <w:rFonts w:hint="eastAsia"/>
                <w:color w:val="auto"/>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每级权</w:t>
            </w:r>
            <w:r>
              <w:rPr>
                <w:rFonts w:hint="eastAsia" w:asciiTheme="minorEastAsia" w:hAnsiTheme="minorEastAsia" w:eastAsiaTheme="minorEastAsia"/>
                <w:szCs w:val="21"/>
                <w:highlight w:val="none"/>
                <w:lang w:eastAsia="zh-CN"/>
              </w:rPr>
              <w:t>限应可以设置多个用户，账户数量不设上限，每个用户可设置独立密码保护</w:t>
            </w:r>
            <w:r>
              <w:rPr>
                <w:rFonts w:asciiTheme="minorEastAsia" w:hAnsiTheme="minorEastAsia" w:eastAsiaTheme="minorEastAsia"/>
                <w:szCs w:val="21"/>
                <w:highlight w:val="none"/>
                <w:lang w:eastAsia="zh-CN"/>
              </w:rPr>
              <w:t xml:space="preserve"> </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color w:val="000000"/>
                <w:szCs w:val="21"/>
                <w:highlight w:val="none"/>
                <w:lang w:eastAsia="zh-CN"/>
              </w:rPr>
            </w:pPr>
            <w:r>
              <w:rPr>
                <w:rFonts w:hint="eastAsia" w:asciiTheme="minorEastAsia" w:hAnsiTheme="minorEastAsia" w:eastAsiaTheme="minorEastAsia"/>
                <w:color w:val="000000"/>
                <w:szCs w:val="21"/>
                <w:highlight w:val="none"/>
                <w:lang w:eastAsia="zh-CN"/>
              </w:rPr>
              <w:t>系统应可以为每个用户创建唯一的用户名和密码</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color w:val="000000"/>
                <w:szCs w:val="21"/>
                <w:highlight w:val="none"/>
                <w:lang w:eastAsia="zh-CN"/>
              </w:rPr>
            </w:pPr>
            <w:r>
              <w:rPr>
                <w:rFonts w:hint="eastAsia" w:asciiTheme="minorEastAsia" w:hAnsiTheme="minorEastAsia" w:eastAsiaTheme="minorEastAsia"/>
                <w:color w:val="000000"/>
                <w:szCs w:val="21"/>
                <w:highlight w:val="none"/>
                <w:lang w:eastAsia="zh-CN"/>
              </w:rPr>
              <w:t>系统应不允许两个或多个用户拥有相同的用户名</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color w:val="000000"/>
                <w:szCs w:val="21"/>
                <w:highlight w:val="none"/>
                <w:lang w:eastAsia="zh-CN"/>
              </w:rPr>
            </w:pPr>
            <w:r>
              <w:rPr>
                <w:rFonts w:hint="eastAsia" w:asciiTheme="minorEastAsia" w:hAnsiTheme="minorEastAsia" w:eastAsiaTheme="minorEastAsia"/>
                <w:color w:val="000000"/>
                <w:szCs w:val="21"/>
                <w:highlight w:val="none"/>
                <w:lang w:eastAsia="zh-CN"/>
              </w:rPr>
              <w:t>系统时间更改应在较高级别权限。</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屏幕显示的结果、存储的电子记录及打印纸质记录结果应是一致的。</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具备用户登录、登出及切换用户功能</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color w:val="000000"/>
                <w:szCs w:val="21"/>
                <w:highlight w:val="none"/>
                <w:lang w:eastAsia="zh-CN"/>
              </w:rPr>
            </w:pPr>
            <w:r>
              <w:rPr>
                <w:rFonts w:hint="eastAsia" w:asciiTheme="minorEastAsia" w:hAnsiTheme="minorEastAsia" w:eastAsiaTheme="minorEastAsia"/>
                <w:color w:val="000000"/>
                <w:szCs w:val="21"/>
                <w:highlight w:val="none"/>
                <w:lang w:eastAsia="zh-CN"/>
              </w:rPr>
              <w:t>用户在密码输入时，电脑显示器上应不显示实际密码（比如密码会以</w:t>
            </w:r>
            <w:r>
              <w:rPr>
                <w:rFonts w:asciiTheme="minorEastAsia" w:hAnsiTheme="minorEastAsia" w:eastAsiaTheme="minorEastAsia"/>
                <w:color w:val="000000"/>
                <w:szCs w:val="21"/>
                <w:highlight w:val="none"/>
                <w:lang w:eastAsia="zh-CN"/>
              </w:rPr>
              <w:t>*</w:t>
            </w:r>
            <w:r>
              <w:rPr>
                <w:rFonts w:hint="eastAsia" w:asciiTheme="minorEastAsia" w:hAnsiTheme="minorEastAsia" w:eastAsiaTheme="minorEastAsia"/>
                <w:color w:val="000000"/>
                <w:szCs w:val="21"/>
                <w:highlight w:val="none"/>
                <w:lang w:eastAsia="zh-CN"/>
              </w:rPr>
              <w:t>或其他符合显示）</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color w:val="000000"/>
                <w:szCs w:val="21"/>
                <w:highlight w:val="none"/>
                <w:lang w:eastAsia="zh-CN"/>
              </w:rPr>
            </w:pPr>
            <w:r>
              <w:rPr>
                <w:rFonts w:hint="eastAsia" w:asciiTheme="minorEastAsia" w:hAnsiTheme="minorEastAsia" w:eastAsiaTheme="minorEastAsia"/>
                <w:color w:val="000000"/>
                <w:szCs w:val="21"/>
                <w:highlight w:val="none"/>
                <w:lang w:eastAsia="zh-CN"/>
              </w:rPr>
              <w:t>系统管理员应可以重置密码</w:t>
            </w:r>
          </w:p>
        </w:tc>
        <w:tc>
          <w:tcPr>
            <w:tcW w:w="2125" w:type="dxa"/>
            <w:vAlign w:val="center"/>
          </w:tcPr>
          <w:p>
            <w:pPr>
              <w:jc w:val="center"/>
              <w:rPr>
                <w:szCs w:val="21"/>
                <w:highlight w:val="none"/>
                <w:lang w:eastAsia="zh-CN"/>
              </w:rPr>
            </w:pPr>
            <w:r>
              <w:rPr>
                <w:rFonts w:hint="eastAsia"/>
                <w:szCs w:val="21"/>
                <w:highlight w:val="none"/>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color w:val="000000"/>
                <w:szCs w:val="21"/>
                <w:highlight w:val="none"/>
                <w:lang w:eastAsia="zh-CN"/>
              </w:rPr>
            </w:pPr>
            <w:r>
              <w:rPr>
                <w:rFonts w:hint="eastAsia" w:asciiTheme="minorEastAsia" w:hAnsiTheme="minorEastAsia" w:eastAsiaTheme="minorEastAsia"/>
                <w:color w:val="000000"/>
                <w:szCs w:val="21"/>
                <w:highlight w:val="none"/>
                <w:lang w:eastAsia="zh-CN"/>
              </w:rPr>
              <w:t>设备应可以设置密码最小长度为</w:t>
            </w:r>
            <w:r>
              <w:rPr>
                <w:rFonts w:asciiTheme="minorEastAsia" w:hAnsiTheme="minorEastAsia" w:eastAsiaTheme="minorEastAsia"/>
                <w:color w:val="000000"/>
                <w:szCs w:val="21"/>
                <w:highlight w:val="none"/>
                <w:lang w:eastAsia="zh-CN"/>
              </w:rPr>
              <w:t>8</w:t>
            </w:r>
            <w:r>
              <w:rPr>
                <w:rFonts w:hint="eastAsia" w:asciiTheme="minorEastAsia" w:hAnsiTheme="minorEastAsia" w:eastAsiaTheme="minorEastAsia"/>
                <w:color w:val="000000"/>
                <w:szCs w:val="21"/>
                <w:highlight w:val="none"/>
                <w:lang w:eastAsia="zh-CN"/>
              </w:rPr>
              <w:t>位</w:t>
            </w:r>
          </w:p>
        </w:tc>
        <w:tc>
          <w:tcPr>
            <w:tcW w:w="2125" w:type="dxa"/>
            <w:vAlign w:val="center"/>
          </w:tcPr>
          <w:p>
            <w:pPr>
              <w:jc w:val="center"/>
              <w:rPr>
                <w:szCs w:val="21"/>
                <w:highlight w:val="none"/>
                <w:lang w:eastAsia="zh-CN"/>
              </w:rPr>
            </w:pPr>
            <w:r>
              <w:rPr>
                <w:rFonts w:hint="eastAsia"/>
                <w:szCs w:val="21"/>
                <w:highlight w:val="none"/>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color w:val="000000"/>
                <w:szCs w:val="21"/>
                <w:highlight w:val="none"/>
                <w:lang w:eastAsia="zh-CN"/>
              </w:rPr>
            </w:pPr>
            <w:r>
              <w:rPr>
                <w:rFonts w:hint="eastAsia" w:asciiTheme="minorEastAsia" w:hAnsiTheme="minorEastAsia" w:eastAsiaTheme="minorEastAsia"/>
                <w:color w:val="000000"/>
                <w:szCs w:val="21"/>
                <w:highlight w:val="none"/>
                <w:lang w:eastAsia="zh-CN"/>
              </w:rPr>
              <w:t>系统管理员应可以激活锁住的账户</w:t>
            </w:r>
          </w:p>
        </w:tc>
        <w:tc>
          <w:tcPr>
            <w:tcW w:w="2125" w:type="dxa"/>
            <w:vAlign w:val="center"/>
          </w:tcPr>
          <w:p>
            <w:pPr>
              <w:jc w:val="center"/>
              <w:rPr>
                <w:szCs w:val="21"/>
                <w:highlight w:val="none"/>
                <w:lang w:eastAsia="zh-CN"/>
              </w:rPr>
            </w:pPr>
            <w:r>
              <w:rPr>
                <w:rFonts w:hint="eastAsia"/>
                <w:szCs w:val="21"/>
                <w:highlight w:val="none"/>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napToGrid w:val="0"/>
              <w:spacing w:line="360" w:lineRule="auto"/>
              <w:rPr>
                <w:rFonts w:asciiTheme="minorEastAsia" w:hAnsiTheme="minorEastAsia" w:eastAsiaTheme="minorEastAsia"/>
                <w:color w:val="000000"/>
                <w:szCs w:val="21"/>
                <w:highlight w:val="none"/>
                <w:lang w:val="en-US" w:eastAsia="zh-CN"/>
              </w:rPr>
            </w:pPr>
            <w:r>
              <w:rPr>
                <w:rFonts w:hint="eastAsia" w:cs="Arial" w:asciiTheme="minorEastAsia" w:hAnsiTheme="minorEastAsia" w:eastAsiaTheme="minorEastAsia"/>
                <w:szCs w:val="21"/>
                <w:highlight w:val="none"/>
                <w:lang w:eastAsia="zh-CN"/>
              </w:rPr>
              <w:t>可由管理员设置系统登陆锁屏时间，锁屏后再次使用系统必须重新输入用户名密码</w:t>
            </w:r>
          </w:p>
        </w:tc>
        <w:tc>
          <w:tcPr>
            <w:tcW w:w="2125" w:type="dxa"/>
            <w:vAlign w:val="center"/>
          </w:tcPr>
          <w:p>
            <w:pPr>
              <w:jc w:val="center"/>
              <w:rPr>
                <w:szCs w:val="21"/>
                <w:highlight w:val="none"/>
                <w:lang w:eastAsia="zh-CN"/>
              </w:rPr>
            </w:pPr>
            <w:r>
              <w:rPr>
                <w:rFonts w:hint="eastAsia"/>
                <w:szCs w:val="21"/>
                <w:highlight w:val="none"/>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设备应可以允许用户和管理员更改自己的密码，管理员可以修改其他账户密码</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设备应可以通过管理员新增、修改和禁用账户</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系统应具备数据电子记录功能，记录应包括实际监控最小间隔</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asciiTheme="minorEastAsia" w:hAnsiTheme="minorEastAsia" w:eastAsiaTheme="minorEastAsia"/>
                <w:color w:val="000000"/>
                <w:szCs w:val="21"/>
                <w:highlight w:val="none"/>
                <w:lang w:eastAsia="zh-CN"/>
              </w:rPr>
              <w:t>数据记录实时存储</w:t>
            </w:r>
            <w:r>
              <w:rPr>
                <w:rFonts w:hint="eastAsia" w:asciiTheme="minorEastAsia" w:hAnsiTheme="minorEastAsia" w:eastAsiaTheme="minorEastAsia"/>
                <w:szCs w:val="21"/>
                <w:highlight w:val="none"/>
                <w:lang w:eastAsia="zh-CN"/>
              </w:rPr>
              <w:t>，检测结果</w:t>
            </w:r>
            <w:r>
              <w:rPr>
                <w:rFonts w:hint="eastAsia" w:asciiTheme="minorEastAsia" w:hAnsiTheme="minorEastAsia" w:eastAsiaTheme="minorEastAsia"/>
                <w:color w:val="000000"/>
                <w:szCs w:val="21"/>
                <w:highlight w:val="none"/>
                <w:lang w:eastAsia="zh-CN"/>
              </w:rPr>
              <w:t>不能修改</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color w:val="000000"/>
                <w:szCs w:val="21"/>
                <w:highlight w:val="none"/>
                <w:lang w:eastAsia="zh-CN"/>
              </w:rPr>
            </w:pPr>
            <w:r>
              <w:rPr>
                <w:rFonts w:hint="eastAsia" w:asciiTheme="minorEastAsia" w:hAnsiTheme="minorEastAsia" w:eastAsiaTheme="minorEastAsia"/>
                <w:szCs w:val="21"/>
                <w:highlight w:val="none"/>
                <w:lang w:eastAsia="zh-CN"/>
              </w:rPr>
              <w:t>各种数据报表应包括：监控点、时间、分装批次、粒子浓度、相关人员信息、必要的设置信息等。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软件具备所有电子记录自动备份功能</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软件可重新导入历史备份数据</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可按日</w:t>
            </w:r>
            <w:r>
              <w:rPr>
                <w:rFonts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lang w:eastAsia="zh-CN"/>
              </w:rPr>
              <w:t>月</w:t>
            </w:r>
            <w:r>
              <w:rPr>
                <w:rFonts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lang w:eastAsia="zh-CN"/>
              </w:rPr>
              <w:t>季度</w:t>
            </w:r>
            <w:r>
              <w:rPr>
                <w:rFonts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lang w:eastAsia="zh-CN"/>
              </w:rPr>
              <w:t>年自动生成各类监控图谱</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r>
              <w:rPr>
                <w:rFonts w:hint="eastAsia" w:ascii="Times New Roman" w:hAnsi="Times New Roman"/>
                <w:szCs w:val="21"/>
                <w:highlight w:val="none"/>
              </w:rPr>
              <w:t>2</w:t>
            </w: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可以打印所有屏幕显示内容，包括原始记录、动态趋势图表报告，</w:t>
            </w:r>
            <w:r>
              <w:rPr>
                <w:rFonts w:asciiTheme="minorEastAsia" w:hAnsiTheme="minorEastAsia" w:eastAsiaTheme="minorEastAsia"/>
                <w:szCs w:val="21"/>
                <w:highlight w:val="none"/>
                <w:lang w:eastAsia="zh-CN"/>
              </w:rPr>
              <w:t>PDF</w:t>
            </w:r>
            <w:r>
              <w:rPr>
                <w:rFonts w:hint="eastAsia" w:asciiTheme="minorEastAsia" w:hAnsiTheme="minorEastAsia" w:eastAsiaTheme="minorEastAsia"/>
                <w:szCs w:val="21"/>
                <w:highlight w:val="none"/>
                <w:lang w:eastAsia="zh-CN"/>
              </w:rPr>
              <w:t>报告，图表等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cs="Arial"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各种数据报表应包括：监控点、时间、分装批次、粒子浓度、相关人员信息、必要的设置信息等相关信息，且可以查询任意时段、批次、类型的历史数据</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在操作过程，输出报表和存储记录时，将在操作界面，报表和记录上同时签注当前登陆用户帐号</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可设置报警参数，报警记录可自动存储、查询、输出备份、打印，不可修改。</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系统应有审计追踪功能，可以记录关键操作、系统和安全的事件，比如登录登出、系统启停、确认报警、密码更改、方法参数更改、记录修改删除、权限配置、系统设置等，以及相应操作人员、操作日期时间、操作前状态、操作后结果、操作原因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highlight w:val="none"/>
                <w:lang w:eastAsia="zh-CN"/>
              </w:rPr>
              <w:t>审计追踪功能必须是自动的（即独立于用户）和由计算机生成的，并自动存储。</w:t>
            </w:r>
            <w:r>
              <w:rPr>
                <w:rFonts w:hint="eastAsia" w:asciiTheme="minorEastAsia" w:hAnsiTheme="minorEastAsia" w:eastAsiaTheme="minorEastAsia"/>
                <w:szCs w:val="21"/>
                <w:highlight w:val="none"/>
                <w:lang w:eastAsia="zh-CN"/>
              </w:rPr>
              <w:t>审计追踪记录应不可被删除或更改</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审计追踪内容可存储、查询、输出备份、打印</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highlight w:val="none"/>
                <w:lang w:eastAsia="zh-CN"/>
              </w:rPr>
              <w:t>测试和监控的所有电子记录（包括原始数据和相关元数据）应自动存储、不可修改，可进行查询、输出、备份恢复、打印等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cs="Arial" w:asciiTheme="minorEastAsia" w:hAnsiTheme="minorEastAsia" w:eastAsiaTheme="minorEastAsia"/>
                <w:szCs w:val="21"/>
                <w:highlight w:val="none"/>
                <w:lang w:val="da-DK" w:eastAsia="zh-CN"/>
              </w:rPr>
              <w:t>数据安全应符合21CFR11标准</w:t>
            </w:r>
            <w:r>
              <w:rPr>
                <w:rFonts w:hint="eastAsia" w:cs="Arial" w:asciiTheme="minorEastAsia" w:hAnsiTheme="minorEastAsia" w:eastAsiaTheme="minorEastAsia"/>
                <w:szCs w:val="21"/>
                <w:highlight w:val="none"/>
                <w:lang w:val="da-DK" w:eastAsia="zh-CN"/>
              </w:rPr>
              <w:t>，供应商应提供符合性证明</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val="en-US" w:eastAsia="zh-CN"/>
              </w:rPr>
              <w:t>系统应有足够的容量存储至少4年（2</w:t>
            </w:r>
            <w:r>
              <w:rPr>
                <w:rFonts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val="en-US" w:eastAsia="zh-CN"/>
              </w:rPr>
              <w:t>小时/天）的原始电子记录（包括：</w:t>
            </w:r>
            <w:r>
              <w:rPr>
                <w:rFonts w:hint="eastAsia" w:asciiTheme="minorEastAsia" w:hAnsiTheme="minorEastAsia" w:eastAsiaTheme="minorEastAsia"/>
                <w:szCs w:val="21"/>
                <w:highlight w:val="none"/>
                <w:lang w:eastAsia="zh-CN"/>
              </w:rPr>
              <w:t>数据</w:t>
            </w:r>
            <w:r>
              <w:rPr>
                <w:rFonts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eastAsia="zh-CN"/>
              </w:rPr>
              <w:t>曲线记录、报警记录、审计追踪记录</w:t>
            </w:r>
            <w:r>
              <w:rPr>
                <w:rFonts w:hint="eastAsia" w:asciiTheme="minorEastAsia" w:hAnsiTheme="minorEastAsia" w:eastAsiaTheme="minorEastAsia"/>
                <w:szCs w:val="21"/>
                <w:highlight w:val="none"/>
                <w:lang w:val="en-US" w:eastAsia="zh-CN"/>
              </w:rPr>
              <w:t>），且不影响系统运行。</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val="en-US" w:eastAsia="zh-CN"/>
              </w:rPr>
            </w:pPr>
            <w:r>
              <w:rPr>
                <w:rFonts w:hint="eastAsia"/>
                <w:highlight w:val="none"/>
                <w:lang w:eastAsia="zh-CN"/>
              </w:rPr>
              <w:t>系统时间准确同步，一个月误差≤2</w:t>
            </w:r>
            <w:r>
              <w:rPr>
                <w:highlight w:val="none"/>
                <w:lang w:eastAsia="zh-CN"/>
              </w:rPr>
              <w:t>.5min</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设备断电时可记录并存储停电时的运行状态信息；通电后可以继续在停电之前的状态下继续启动运行，并保持原有运行模式。</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断电恢复后应不影响数据完整性、参数设置和系统运行。</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i/>
                <w:szCs w:val="21"/>
                <w:highlight w:val="none"/>
                <w:lang w:eastAsia="zh-CN"/>
              </w:rPr>
            </w:pPr>
            <w:r>
              <w:rPr>
                <w:rFonts w:hint="eastAsia" w:asciiTheme="minorEastAsia" w:hAnsiTheme="minorEastAsia" w:eastAsiaTheme="minorEastAsia"/>
                <w:szCs w:val="21"/>
                <w:highlight w:val="none"/>
                <w:lang w:val="en-US" w:eastAsia="zh-CN"/>
              </w:rPr>
              <w:t>打印的记录格式应包含以下内容：日期，时间，参数，检测级别，检测数据等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系统和软件必须为正版。</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操作系统必须使用正版专业版系统，且系统安全配置完善，例如：操作系统时间日志功能完善，可记录对系统的时间修改、安全操作等；操作系统的防恶意代码的安全配置完善；操作系统权限功能完善等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提供程序备份盘，确保能够满足灾难恢复需求，能恢复系统、软件及相关配置，灾难恢复后可正常使用</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厂家需提供软件程序和数据的备份、恢复策略和方法。</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Theme="minorEastAsia" w:hAnsiTheme="minorEastAsia" w:eastAsiaTheme="minorEastAsia"/>
                <w:szCs w:val="21"/>
                <w:highlight w:val="none"/>
                <w:lang w:eastAsia="zh-CN"/>
              </w:rPr>
            </w:pPr>
            <w:r>
              <w:rPr>
                <w:rFonts w:hint="eastAsia"/>
                <w:szCs w:val="21"/>
                <w:highlight w:val="none"/>
                <w:lang w:eastAsia="zh-CN"/>
              </w:rPr>
              <w:t>厂家应提供备份电子记录读取策略及说明，以及电子记录备份与原始电子记录一致性对比策略</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32"/>
    </w:tbl>
    <w:p>
      <w:pPr>
        <w:spacing w:after="158" w:afterLines="50"/>
        <w:rPr>
          <w:b/>
          <w:highlight w:val="none"/>
          <w:lang w:eastAsia="zh-CN"/>
        </w:rPr>
      </w:pPr>
    </w:p>
    <w:p>
      <w:pPr>
        <w:pStyle w:val="44"/>
        <w:numPr>
          <w:ilvl w:val="0"/>
          <w:numId w:val="3"/>
        </w:numPr>
        <w:spacing w:after="158" w:afterLines="50"/>
        <w:ind w:left="426" w:hanging="426" w:hangingChars="202"/>
        <w:outlineLvl w:val="0"/>
        <w:rPr>
          <w:rFonts w:ascii="Times New Roman" w:hAnsi="Times New Roman"/>
          <w:b/>
          <w:highlight w:val="none"/>
        </w:rPr>
      </w:pPr>
      <w:bookmarkStart w:id="41" w:name="_Toc522716123"/>
      <w:r>
        <w:rPr>
          <w:rFonts w:hint="eastAsia" w:ascii="Times New Roman" w:hAnsi="Times New Roman"/>
          <w:b/>
          <w:highlight w:val="none"/>
        </w:rPr>
        <w:t>安全要求</w:t>
      </w:r>
      <w:bookmarkEnd w:id="28"/>
      <w:bookmarkEnd w:id="41"/>
    </w:p>
    <w:p>
      <w:pPr>
        <w:pStyle w:val="53"/>
        <w:spacing w:before="0" w:line="360" w:lineRule="auto"/>
        <w:ind w:left="357"/>
        <w:jc w:val="left"/>
        <w:rPr>
          <w:i/>
          <w:color w:val="4472C4"/>
          <w:szCs w:val="21"/>
          <w:highlight w:val="none"/>
          <w:lang w:eastAsia="zh-CN"/>
        </w:rPr>
      </w:pPr>
      <w:permStart w:id="33" w:edGrp="everyone"/>
    </w:p>
    <w:permEnd w:id="33"/>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highlight w:val="none"/>
              </w:rPr>
            </w:pPr>
            <w:r>
              <w:rPr>
                <w:rFonts w:hint="eastAsia"/>
                <w:b/>
                <w:szCs w:val="21"/>
                <w:highlight w:val="none"/>
              </w:rPr>
              <w:t>编号</w:t>
            </w:r>
          </w:p>
        </w:tc>
        <w:tc>
          <w:tcPr>
            <w:tcW w:w="7128" w:type="dxa"/>
            <w:shd w:val="clear" w:color="auto" w:fill="D9D9D9"/>
            <w:vAlign w:val="center"/>
          </w:tcPr>
          <w:p>
            <w:pPr>
              <w:jc w:val="center"/>
              <w:rPr>
                <w:b/>
                <w:szCs w:val="21"/>
                <w:highlight w:val="none"/>
                <w:lang w:eastAsia="zh-CN"/>
              </w:rPr>
            </w:pPr>
            <w:r>
              <w:rPr>
                <w:rFonts w:hint="eastAsia"/>
                <w:b/>
                <w:szCs w:val="21"/>
                <w:highlight w:val="none"/>
                <w:lang w:eastAsia="zh-CN"/>
              </w:rPr>
              <w:t>需求</w:t>
            </w:r>
          </w:p>
        </w:tc>
        <w:tc>
          <w:tcPr>
            <w:tcW w:w="2125" w:type="dxa"/>
            <w:shd w:val="clear" w:color="auto" w:fill="D9D9D9"/>
            <w:vAlign w:val="center"/>
          </w:tcPr>
          <w:p>
            <w:pPr>
              <w:jc w:val="center"/>
              <w:rPr>
                <w:b/>
                <w:szCs w:val="21"/>
                <w:highlight w:val="none"/>
                <w:lang w:eastAsia="zh-CN"/>
              </w:rPr>
            </w:pPr>
            <w:r>
              <w:rPr>
                <w:rFonts w:hint="eastAsia"/>
                <w:b/>
                <w:szCs w:val="21"/>
                <w:highlight w:val="none"/>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szCs w:val="21"/>
                <w:highlight w:val="none"/>
                <w:lang w:eastAsia="zh-CN"/>
              </w:rPr>
              <w:t xml:space="preserve"> </w:t>
            </w:r>
            <w:r>
              <w:rPr>
                <w:rFonts w:hint="eastAsia"/>
                <w:szCs w:val="21"/>
                <w:highlight w:val="none"/>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ind w:left="426" w:firstLine="0" w:firstLineChars="0"/>
              <w:rPr>
                <w:rFonts w:ascii="Times New Roman" w:hAnsi="Times New Roman"/>
                <w:szCs w:val="21"/>
                <w:highlight w:val="none"/>
              </w:rPr>
            </w:pPr>
            <w:permStart w:id="34" w:edGrp="everyone"/>
          </w:p>
        </w:tc>
        <w:tc>
          <w:tcPr>
            <w:tcW w:w="9253" w:type="dxa"/>
            <w:gridSpan w:val="2"/>
            <w:vAlign w:val="center"/>
          </w:tcPr>
          <w:p>
            <w:pPr>
              <w:jc w:val="both"/>
              <w:rPr>
                <w:szCs w:val="21"/>
                <w:highlight w:val="none"/>
                <w:lang w:eastAsia="zh-CN"/>
              </w:rPr>
            </w:pPr>
            <w:r>
              <w:rPr>
                <w:szCs w:val="21"/>
                <w:highlight w:val="none"/>
                <w:lang w:val="en-US" w:eastAsia="zh-CN"/>
              </w:rP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0"/>
              </w:numPr>
              <w:ind w:firstLineChars="0"/>
              <w:rPr>
                <w:rFonts w:ascii="Times New Roman" w:hAnsi="Times New Roman"/>
                <w:szCs w:val="21"/>
                <w:highlight w:val="none"/>
              </w:rPr>
            </w:pPr>
            <w:permStart w:id="35" w:edGrp="everyone"/>
            <w:permEnd w:id="35"/>
          </w:p>
        </w:tc>
        <w:tc>
          <w:tcPr>
            <w:tcW w:w="7128" w:type="dxa"/>
            <w:shd w:val="clear" w:color="auto" w:fill="D9D9D9"/>
            <w:vAlign w:val="center"/>
          </w:tcPr>
          <w:p>
            <w:pPr>
              <w:jc w:val="both"/>
              <w:rPr>
                <w:szCs w:val="21"/>
                <w:highlight w:val="none"/>
                <w:lang w:eastAsia="zh-CN"/>
              </w:rPr>
            </w:pPr>
            <w:r>
              <w:rPr>
                <w:rFonts w:hint="eastAsia"/>
                <w:szCs w:val="21"/>
                <w:highlight w:val="none"/>
                <w:lang w:eastAsia="zh-CN"/>
              </w:rPr>
              <w:t>电气保护</w:t>
            </w:r>
          </w:p>
        </w:tc>
        <w:tc>
          <w:tcPr>
            <w:tcW w:w="2125" w:type="dxa"/>
            <w:shd w:val="clear" w:color="auto" w:fill="D9D9D9"/>
            <w:vAlign w:val="center"/>
          </w:tcPr>
          <w:p>
            <w:pPr>
              <w:jc w:val="both"/>
              <w:rPr>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36" w:edGrp="everyone"/>
          </w:p>
        </w:tc>
        <w:tc>
          <w:tcPr>
            <w:tcW w:w="7128" w:type="dxa"/>
            <w:vAlign w:val="center"/>
          </w:tcPr>
          <w:p>
            <w:pPr>
              <w:jc w:val="both"/>
              <w:rPr>
                <w:szCs w:val="21"/>
                <w:highlight w:val="none"/>
                <w:lang w:eastAsia="zh-CN"/>
              </w:rPr>
            </w:pPr>
            <w:r>
              <w:rPr>
                <w:rFonts w:hint="eastAsia"/>
                <w:szCs w:val="21"/>
                <w:highlight w:val="none"/>
                <w:lang w:eastAsia="zh-CN"/>
              </w:rPr>
              <w:t>电气安全应符合</w:t>
            </w:r>
            <w:r>
              <w:rPr>
                <w:szCs w:val="21"/>
                <w:highlight w:val="none"/>
                <w:lang w:eastAsia="zh-CN"/>
              </w:rPr>
              <w:t>GB 4793.1-2007</w:t>
            </w:r>
            <w:r>
              <w:rPr>
                <w:rFonts w:hint="eastAsia"/>
                <w:szCs w:val="21"/>
                <w:highlight w:val="none"/>
                <w:lang w:eastAsia="zh-CN"/>
              </w:rPr>
              <w:t>测量、控制和实验室用电气设备的安全要求。</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37" w:edGrp="everyone"/>
          </w:p>
        </w:tc>
        <w:tc>
          <w:tcPr>
            <w:tcW w:w="7128" w:type="dxa"/>
            <w:vAlign w:val="center"/>
          </w:tcPr>
          <w:p>
            <w:pPr>
              <w:jc w:val="both"/>
              <w:rPr>
                <w:szCs w:val="21"/>
                <w:highlight w:val="none"/>
                <w:lang w:eastAsia="zh-CN"/>
              </w:rPr>
            </w:pPr>
            <w:r>
              <w:rPr>
                <w:rFonts w:hint="eastAsia"/>
                <w:szCs w:val="21"/>
                <w:highlight w:val="none"/>
                <w:lang w:eastAsia="zh-CN"/>
              </w:rPr>
              <w:t>电磁兼容性应符合</w:t>
            </w:r>
            <w:r>
              <w:rPr>
                <w:szCs w:val="21"/>
                <w:highlight w:val="none"/>
                <w:lang w:eastAsia="zh-CN"/>
              </w:rPr>
              <w:t>GB/T18268—2000</w:t>
            </w:r>
            <w:r>
              <w:rPr>
                <w:rFonts w:hint="eastAsia"/>
                <w:szCs w:val="21"/>
                <w:highlight w:val="none"/>
                <w:lang w:eastAsia="zh-CN"/>
              </w:rPr>
              <w:t>的要求。</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电池和电源适配器必须通过CE认证。</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r>
              <w:rPr>
                <w:rFonts w:hint="eastAsia" w:ascii="Times New Roman" w:hAnsi="Times New Roman"/>
                <w:szCs w:val="21"/>
                <w:highlight w:val="none"/>
              </w:rPr>
              <w:t>一</w:t>
            </w:r>
          </w:p>
        </w:tc>
        <w:tc>
          <w:tcPr>
            <w:tcW w:w="7128" w:type="dxa"/>
            <w:vAlign w:val="center"/>
          </w:tcPr>
          <w:p>
            <w:pPr>
              <w:jc w:val="both"/>
              <w:rPr>
                <w:szCs w:val="21"/>
                <w:highlight w:val="none"/>
                <w:lang w:eastAsia="zh-CN"/>
              </w:rPr>
            </w:pPr>
            <w:r>
              <w:rPr>
                <w:rFonts w:hint="eastAsia"/>
                <w:szCs w:val="21"/>
                <w:highlight w:val="none"/>
                <w:lang w:eastAsia="zh-CN"/>
              </w:rPr>
              <w:t>仪器外壳、电线槽等所有金属部分都必须良好接地。</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37"/>
    </w:tbl>
    <w:p>
      <w:pPr>
        <w:rPr>
          <w:szCs w:val="21"/>
          <w:highlight w:val="none"/>
          <w:lang w:eastAsia="zh-CN"/>
        </w:rPr>
      </w:pPr>
    </w:p>
    <w:p>
      <w:pPr>
        <w:pStyle w:val="44"/>
        <w:numPr>
          <w:ilvl w:val="0"/>
          <w:numId w:val="3"/>
        </w:numPr>
        <w:spacing w:after="158" w:afterLines="50"/>
        <w:ind w:left="426" w:hanging="426" w:hangingChars="202"/>
        <w:outlineLvl w:val="0"/>
        <w:rPr>
          <w:rFonts w:ascii="Times New Roman" w:hAnsi="Times New Roman"/>
          <w:b/>
          <w:highlight w:val="none"/>
        </w:rPr>
      </w:pPr>
      <w:bookmarkStart w:id="42" w:name="_Toc522716124"/>
      <w:bookmarkStart w:id="43" w:name="_Toc522107743"/>
      <w:r>
        <w:rPr>
          <w:rFonts w:hint="eastAsia" w:ascii="Times New Roman" w:hAnsi="Times New Roman"/>
          <w:b/>
          <w:highlight w:val="none"/>
        </w:rPr>
        <w:t>文件要求</w:t>
      </w:r>
      <w:bookmarkEnd w:id="42"/>
      <w:bookmarkEnd w:id="43"/>
    </w:p>
    <w:p>
      <w:pPr>
        <w:pStyle w:val="53"/>
        <w:spacing w:before="0" w:line="360" w:lineRule="auto"/>
        <w:ind w:left="357"/>
        <w:jc w:val="left"/>
        <w:rPr>
          <w:i/>
          <w:szCs w:val="21"/>
          <w:highlight w:val="none"/>
          <w:lang w:eastAsia="zh-CN"/>
        </w:rPr>
      </w:pPr>
      <w:permStart w:id="38" w:edGrp="everyone"/>
    </w:p>
    <w:permEnd w:id="38"/>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highlight w:val="none"/>
              </w:rPr>
            </w:pPr>
            <w:r>
              <w:rPr>
                <w:rFonts w:hint="eastAsia"/>
                <w:b/>
                <w:szCs w:val="21"/>
                <w:highlight w:val="none"/>
              </w:rPr>
              <w:t>编号</w:t>
            </w:r>
          </w:p>
        </w:tc>
        <w:tc>
          <w:tcPr>
            <w:tcW w:w="7128" w:type="dxa"/>
            <w:shd w:val="clear" w:color="auto" w:fill="D9D9D9"/>
            <w:vAlign w:val="center"/>
          </w:tcPr>
          <w:p>
            <w:pPr>
              <w:jc w:val="center"/>
              <w:rPr>
                <w:b/>
                <w:szCs w:val="21"/>
                <w:highlight w:val="none"/>
                <w:lang w:eastAsia="zh-CN"/>
              </w:rPr>
            </w:pPr>
            <w:r>
              <w:rPr>
                <w:rFonts w:hint="eastAsia"/>
                <w:b/>
                <w:szCs w:val="21"/>
                <w:highlight w:val="none"/>
                <w:lang w:eastAsia="zh-CN"/>
              </w:rPr>
              <w:t>需求</w:t>
            </w:r>
          </w:p>
        </w:tc>
        <w:tc>
          <w:tcPr>
            <w:tcW w:w="2125" w:type="dxa"/>
            <w:shd w:val="clear" w:color="auto" w:fill="D9D9D9"/>
            <w:vAlign w:val="center"/>
          </w:tcPr>
          <w:p>
            <w:pPr>
              <w:jc w:val="center"/>
              <w:rPr>
                <w:b/>
                <w:szCs w:val="21"/>
                <w:highlight w:val="none"/>
                <w:lang w:eastAsia="zh-CN"/>
              </w:rPr>
            </w:pPr>
            <w:r>
              <w:rPr>
                <w:rFonts w:hint="eastAsia"/>
                <w:b/>
                <w:szCs w:val="21"/>
                <w:highlight w:val="none"/>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39" w:edGrp="everyone"/>
          </w:p>
        </w:tc>
        <w:tc>
          <w:tcPr>
            <w:tcW w:w="7128" w:type="dxa"/>
            <w:vAlign w:val="center"/>
          </w:tcPr>
          <w:p>
            <w:pPr>
              <w:jc w:val="both"/>
              <w:rPr>
                <w:szCs w:val="21"/>
                <w:highlight w:val="none"/>
                <w:lang w:eastAsia="zh-CN"/>
              </w:rPr>
            </w:pPr>
            <w:r>
              <w:rPr>
                <w:szCs w:val="21"/>
                <w:highlight w:val="none"/>
                <w:lang w:eastAsia="zh-CN"/>
              </w:rPr>
              <w:t xml:space="preserve"> </w:t>
            </w:r>
            <w:r>
              <w:rPr>
                <w:rFonts w:hint="eastAsia"/>
                <w:szCs w:val="21"/>
                <w:highlight w:val="none"/>
                <w:lang w:eastAsia="zh-CN"/>
              </w:rPr>
              <w:t>投标文件、合同及订单。</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40" w:edGrp="everyone"/>
          </w:p>
        </w:tc>
        <w:tc>
          <w:tcPr>
            <w:tcW w:w="7128" w:type="dxa"/>
            <w:vAlign w:val="center"/>
          </w:tcPr>
          <w:p>
            <w:pPr>
              <w:jc w:val="both"/>
              <w:rPr>
                <w:szCs w:val="21"/>
                <w:highlight w:val="none"/>
                <w:lang w:eastAsia="zh-CN"/>
              </w:rPr>
            </w:pPr>
            <w:r>
              <w:rPr>
                <w:rFonts w:hint="eastAsia"/>
                <w:szCs w:val="21"/>
                <w:highlight w:val="none"/>
                <w:lang w:eastAsia="zh-CN"/>
              </w:rPr>
              <w:t>卖方发运清单及相关检验报告。</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配置清单及说明，包含各组件名称、编号、型号、规格、品牌、材质等。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软件和硬件设计说明、功能说明、配置清单及说明</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零部件清单、易损件清单、备件、消耗品清单：包括名称、编号、对应厂家名称、生产地、规格及必要说明。</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设备厂家文件：出厂测试合格证、相关检测报告、各种标示。</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设备操作手册（</w:t>
            </w:r>
            <w:r>
              <w:rPr>
                <w:szCs w:val="21"/>
                <w:highlight w:val="none"/>
                <w:lang w:eastAsia="zh-CN"/>
              </w:rPr>
              <w:t>SOP</w:t>
            </w:r>
            <w:r>
              <w:rPr>
                <w:rFonts w:hint="eastAsia"/>
                <w:szCs w:val="21"/>
                <w:highlight w:val="none"/>
                <w:lang w:eastAsia="zh-CN"/>
              </w:rPr>
              <w:t>）：语言为中文，应说明校准周期，并能提供校准服务。</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必须提供校验报告及计量证书，</w:t>
            </w:r>
            <w:r>
              <w:rPr>
                <w:rFonts w:ascii="Arial" w:hAnsi="Arial" w:cs="Arial"/>
                <w:szCs w:val="21"/>
                <w:highlight w:val="none"/>
                <w:lang w:val="da-DK" w:eastAsia="zh-CN"/>
              </w:rPr>
              <w:t>校准后必须能够提供可追踪的校准材料，该材料要符合NIST（美国国家标准和技术研究所）</w:t>
            </w:r>
            <w:r>
              <w:rPr>
                <w:rFonts w:hint="eastAsia" w:ascii="Arial" w:hAnsi="Arial" w:cs="Arial"/>
                <w:szCs w:val="21"/>
                <w:highlight w:val="none"/>
                <w:lang w:val="da-DK" w:eastAsia="zh-CN"/>
              </w:rPr>
              <w:t>或</w:t>
            </w:r>
            <w:r>
              <w:rPr>
                <w:rFonts w:ascii="Arial" w:hAnsi="Arial" w:cs="Arial"/>
                <w:szCs w:val="21"/>
                <w:highlight w:val="none"/>
                <w:lang w:val="da-DK" w:eastAsia="zh-CN"/>
              </w:rPr>
              <w:t>JIS（日本技术研究所）标准。</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ascii="宋体" w:hAnsi="宋体"/>
                <w:highlight w:val="none"/>
                <w:lang w:eastAsia="zh-CN"/>
              </w:rPr>
              <w:t>系统供应商应具有自己的独立校准实验室</w:t>
            </w:r>
            <w:r>
              <w:rPr>
                <w:rFonts w:ascii="宋体" w:hAnsi="宋体"/>
                <w:highlight w:val="none"/>
                <w:lang w:eastAsia="zh-CN"/>
              </w:rPr>
              <w:t xml:space="preserve">, </w:t>
            </w:r>
            <w:r>
              <w:rPr>
                <w:rFonts w:hint="eastAsia" w:ascii="宋体" w:hAnsi="宋体"/>
                <w:highlight w:val="none"/>
                <w:lang w:eastAsia="zh-CN"/>
              </w:rPr>
              <w:t>实验室必须正常运营</w:t>
            </w:r>
            <w:r>
              <w:rPr>
                <w:rFonts w:ascii="宋体" w:hAnsi="宋体"/>
                <w:highlight w:val="none"/>
                <w:lang w:eastAsia="zh-CN"/>
              </w:rPr>
              <w:t>3</w:t>
            </w:r>
            <w:r>
              <w:rPr>
                <w:rFonts w:hint="eastAsia" w:ascii="宋体" w:hAnsi="宋体"/>
                <w:highlight w:val="none"/>
                <w:lang w:eastAsia="zh-CN"/>
              </w:rPr>
              <w:t>年或以上，可以提供符合</w:t>
            </w:r>
            <w:r>
              <w:rPr>
                <w:rFonts w:ascii="宋体" w:hAnsi="宋体"/>
                <w:highlight w:val="none"/>
                <w:lang w:eastAsia="zh-CN"/>
              </w:rPr>
              <w:t>ISO 21501-4</w:t>
            </w:r>
            <w:r>
              <w:rPr>
                <w:rFonts w:hint="eastAsia" w:ascii="宋体" w:hAnsi="宋体"/>
                <w:highlight w:val="none"/>
                <w:lang w:eastAsia="zh-CN"/>
              </w:rPr>
              <w:t>标准的校准服务</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安全</w:t>
            </w:r>
            <w:r>
              <w:rPr>
                <w:rFonts w:hint="eastAsia" w:ascii="宋体" w:hAnsi="宋体"/>
                <w:highlight w:val="none"/>
              </w:rPr>
              <w:t>测试</w:t>
            </w:r>
            <w:r>
              <w:rPr>
                <w:rFonts w:hint="eastAsia"/>
                <w:szCs w:val="21"/>
                <w:highlight w:val="none"/>
                <w:lang w:eastAsia="zh-CN"/>
              </w:rPr>
              <w:t>报告。</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auto"/>
                <w:szCs w:val="21"/>
                <w:highlight w:val="none"/>
              </w:rPr>
            </w:pPr>
          </w:p>
        </w:tc>
        <w:tc>
          <w:tcPr>
            <w:tcW w:w="7128" w:type="dxa"/>
            <w:vAlign w:val="center"/>
          </w:tcPr>
          <w:p>
            <w:pPr>
              <w:jc w:val="both"/>
              <w:rPr>
                <w:color w:val="auto"/>
                <w:szCs w:val="21"/>
                <w:highlight w:val="none"/>
                <w:lang w:eastAsia="zh-CN"/>
              </w:rPr>
            </w:pPr>
            <w:r>
              <w:rPr>
                <w:rFonts w:hint="eastAsia"/>
                <w:color w:val="auto"/>
                <w:szCs w:val="21"/>
                <w:highlight w:val="none"/>
                <w:lang w:eastAsia="zh-CN"/>
              </w:rPr>
              <w:t>调试文件：调试计划、调试方案、设备测试记录，检测清单，测试报告，调试总结报告、现场验收报告等。</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color w:val="auto"/>
                <w:szCs w:val="21"/>
                <w:highlight w:val="none"/>
              </w:rPr>
            </w:pPr>
          </w:p>
        </w:tc>
        <w:tc>
          <w:tcPr>
            <w:tcW w:w="7128" w:type="dxa"/>
            <w:vAlign w:val="center"/>
          </w:tcPr>
          <w:p>
            <w:pPr>
              <w:jc w:val="both"/>
              <w:rPr>
                <w:color w:val="auto"/>
                <w:szCs w:val="21"/>
                <w:highlight w:val="none"/>
                <w:lang w:eastAsia="zh-CN"/>
              </w:rPr>
            </w:pPr>
            <w:r>
              <w:rPr>
                <w:rFonts w:hint="eastAsia"/>
                <w:color w:val="auto"/>
                <w:szCs w:val="21"/>
                <w:highlight w:val="none"/>
                <w:lang w:eastAsia="zh-CN"/>
              </w:rPr>
              <w:t>验证文件：</w:t>
            </w:r>
          </w:p>
          <w:p>
            <w:pPr>
              <w:numPr>
                <w:ilvl w:val="0"/>
                <w:numId w:val="11"/>
              </w:numPr>
              <w:jc w:val="both"/>
              <w:rPr>
                <w:color w:val="auto"/>
                <w:szCs w:val="21"/>
                <w:highlight w:val="none"/>
                <w:lang w:eastAsia="zh-CN"/>
              </w:rPr>
            </w:pPr>
            <w:r>
              <w:rPr>
                <w:rFonts w:hint="eastAsia"/>
                <w:color w:val="auto"/>
                <w:szCs w:val="21"/>
                <w:highlight w:val="none"/>
                <w:lang w:eastAsia="zh-CN"/>
              </w:rPr>
              <w:t>满足</w:t>
            </w:r>
            <w:r>
              <w:rPr>
                <w:color w:val="auto"/>
                <w:szCs w:val="21"/>
                <w:highlight w:val="none"/>
                <w:lang w:eastAsia="zh-CN"/>
              </w:rPr>
              <w:t>GMP</w:t>
            </w:r>
            <w:r>
              <w:rPr>
                <w:rFonts w:hint="eastAsia"/>
                <w:color w:val="auto"/>
                <w:szCs w:val="21"/>
                <w:highlight w:val="none"/>
                <w:lang w:eastAsia="zh-CN"/>
              </w:rPr>
              <w:t>和</w:t>
            </w:r>
            <w:r>
              <w:rPr>
                <w:color w:val="auto"/>
                <w:szCs w:val="21"/>
                <w:highlight w:val="none"/>
                <w:lang w:eastAsia="zh-CN"/>
              </w:rPr>
              <w:t>GAMP5</w:t>
            </w:r>
            <w:r>
              <w:rPr>
                <w:rFonts w:hint="eastAsia"/>
                <w:color w:val="auto"/>
                <w:szCs w:val="21"/>
                <w:highlight w:val="none"/>
                <w:lang w:eastAsia="zh-CN"/>
              </w:rPr>
              <w:t>等相关法规的评估文件；</w:t>
            </w:r>
          </w:p>
          <w:p>
            <w:pPr>
              <w:numPr>
                <w:ilvl w:val="0"/>
                <w:numId w:val="11"/>
              </w:numPr>
              <w:jc w:val="both"/>
              <w:rPr>
                <w:color w:val="auto"/>
                <w:szCs w:val="21"/>
                <w:highlight w:val="none"/>
                <w:lang w:eastAsia="zh-CN"/>
              </w:rPr>
            </w:pPr>
            <w:r>
              <w:rPr>
                <w:rFonts w:hint="eastAsia"/>
                <w:color w:val="auto"/>
                <w:szCs w:val="21"/>
                <w:highlight w:val="none"/>
                <w:lang w:eastAsia="zh-CN"/>
              </w:rPr>
              <w:t>提供21CFR PART11的符合性文件；</w:t>
            </w:r>
          </w:p>
          <w:p>
            <w:pPr>
              <w:numPr>
                <w:ilvl w:val="0"/>
                <w:numId w:val="11"/>
              </w:numPr>
              <w:jc w:val="both"/>
              <w:rPr>
                <w:color w:val="auto"/>
                <w:szCs w:val="21"/>
                <w:highlight w:val="none"/>
                <w:lang w:eastAsia="zh-CN"/>
              </w:rPr>
            </w:pPr>
            <w:r>
              <w:rPr>
                <w:rFonts w:hint="eastAsia"/>
                <w:color w:val="auto"/>
                <w:szCs w:val="21"/>
                <w:highlight w:val="none"/>
                <w:lang w:eastAsia="zh-CN"/>
              </w:rPr>
              <w:t>设备供应商负责制定设备验证计划、</w:t>
            </w:r>
            <w:r>
              <w:rPr>
                <w:color w:val="auto"/>
                <w:szCs w:val="21"/>
                <w:highlight w:val="none"/>
                <w:lang w:eastAsia="zh-CN"/>
              </w:rPr>
              <w:t>DQ/IQ/OQ</w:t>
            </w:r>
            <w:r>
              <w:rPr>
                <w:rFonts w:hint="eastAsia"/>
                <w:color w:val="auto"/>
                <w:szCs w:val="21"/>
                <w:highlight w:val="none"/>
                <w:lang w:eastAsia="zh-CN"/>
              </w:rPr>
              <w:t>验证文件、并负责验证工作的实施，该验证文件作为设备必备文件。</w:t>
            </w:r>
          </w:p>
        </w:tc>
        <w:tc>
          <w:tcPr>
            <w:tcW w:w="2125" w:type="dxa"/>
            <w:vAlign w:val="center"/>
          </w:tcPr>
          <w:p>
            <w:pPr>
              <w:jc w:val="center"/>
              <w:rPr>
                <w:color w:val="FF0000"/>
                <w:szCs w:val="21"/>
                <w:highlight w:val="none"/>
                <w:lang w:eastAsia="zh-CN"/>
              </w:rPr>
            </w:pPr>
            <w:r>
              <w:rPr>
                <w:rFonts w:hint="eastAsia"/>
                <w:color w:val="auto"/>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bCs/>
                <w:color w:val="000000" w:themeColor="text1"/>
                <w:szCs w:val="21"/>
                <w:highlight w:val="none"/>
                <w:lang w:eastAsia="zh-CN"/>
                <w14:textFill>
                  <w14:solidFill>
                    <w14:schemeClr w14:val="tx1"/>
                  </w14:solidFill>
                </w14:textFill>
              </w:rPr>
              <w:t>供应商应完成：追溯矩阵（</w:t>
            </w:r>
            <w:r>
              <w:rPr>
                <w:bCs/>
                <w:color w:val="000000" w:themeColor="text1"/>
                <w:szCs w:val="21"/>
                <w:highlight w:val="none"/>
                <w:lang w:eastAsia="zh-CN"/>
                <w14:textFill>
                  <w14:solidFill>
                    <w14:schemeClr w14:val="tx1"/>
                  </w14:solidFill>
                </w14:textFill>
              </w:rPr>
              <w:t>RTM</w:t>
            </w:r>
            <w:r>
              <w:rPr>
                <w:rFonts w:hint="eastAsia"/>
                <w:bCs/>
                <w:color w:val="000000" w:themeColor="text1"/>
                <w:szCs w:val="21"/>
                <w:highlight w:val="none"/>
                <w:lang w:eastAsia="zh-CN"/>
                <w14:textFill>
                  <w14:solidFill>
                    <w14:schemeClr w14:val="tx1"/>
                  </w14:solidFill>
                </w14:textFill>
              </w:rPr>
              <w:t>）</w:t>
            </w:r>
          </w:p>
        </w:tc>
        <w:tc>
          <w:tcPr>
            <w:tcW w:w="2125" w:type="dxa"/>
            <w:vAlign w:val="center"/>
          </w:tcPr>
          <w:p>
            <w:pPr>
              <w:jc w:val="center"/>
              <w:rPr>
                <w:szCs w:val="21"/>
                <w:highlight w:val="none"/>
                <w:lang w:eastAsia="zh-CN"/>
              </w:rPr>
            </w:pPr>
            <w:r>
              <w:rPr>
                <w:rFonts w:hint="eastAsia"/>
                <w:szCs w:val="21"/>
                <w:highlight w:val="none"/>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bCs/>
                <w:color w:val="000000" w:themeColor="text1"/>
                <w:szCs w:val="21"/>
                <w:highlight w:val="none"/>
                <w:lang w:eastAsia="zh-CN"/>
                <w14:textFill>
                  <w14:solidFill>
                    <w14:schemeClr w14:val="tx1"/>
                  </w14:solidFill>
                </w14:textFill>
              </w:rPr>
              <w:t>供应商应完成：验证总结报告（</w:t>
            </w:r>
            <w:r>
              <w:rPr>
                <w:bCs/>
                <w:color w:val="000000" w:themeColor="text1"/>
                <w:szCs w:val="21"/>
                <w:highlight w:val="none"/>
                <w:lang w:eastAsia="zh-CN"/>
                <w14:textFill>
                  <w14:solidFill>
                    <w14:schemeClr w14:val="tx1"/>
                  </w14:solidFill>
                </w14:textFill>
              </w:rPr>
              <w:t>VSR</w:t>
            </w:r>
            <w:r>
              <w:rPr>
                <w:rFonts w:hint="eastAsia"/>
                <w:bCs/>
                <w:color w:val="000000" w:themeColor="text1"/>
                <w:szCs w:val="21"/>
                <w:highlight w:val="none"/>
                <w:lang w:eastAsia="zh-CN"/>
                <w14:textFill>
                  <w14:solidFill>
                    <w14:schemeClr w14:val="tx1"/>
                  </w14:solidFill>
                </w14:textFill>
              </w:rPr>
              <w:t>）</w:t>
            </w:r>
          </w:p>
        </w:tc>
        <w:tc>
          <w:tcPr>
            <w:tcW w:w="2125" w:type="dxa"/>
            <w:vAlign w:val="center"/>
          </w:tcPr>
          <w:p>
            <w:pPr>
              <w:jc w:val="center"/>
              <w:rPr>
                <w:szCs w:val="21"/>
                <w:highlight w:val="none"/>
                <w:lang w:eastAsia="zh-CN"/>
              </w:rPr>
            </w:pPr>
            <w:r>
              <w:rPr>
                <w:rFonts w:hint="eastAsia"/>
                <w:szCs w:val="21"/>
                <w:highlight w:val="none"/>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使用操作说明书及维护保养说明（即运行及维护手册）</w:t>
            </w:r>
            <w:r>
              <w:rPr>
                <w:szCs w:val="21"/>
                <w:highlight w:val="none"/>
                <w:lang w:eastAsia="zh-CN"/>
              </w:rPr>
              <w:t>3</w:t>
            </w:r>
            <w:r>
              <w:rPr>
                <w:rFonts w:hint="eastAsia"/>
                <w:szCs w:val="21"/>
                <w:highlight w:val="none"/>
                <w:lang w:eastAsia="zh-CN"/>
              </w:rPr>
              <w:t>份。</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提供设备及其零部件使用寿命清单。</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系统相关方案中，应明确本系统的配置、规格，并且通过分析阐述每一个系统环节的必要性</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szCs w:val="21"/>
                <w:highlight w:val="none"/>
                <w:lang w:eastAsia="zh-CN"/>
              </w:rPr>
              <w:t>标书中应明确系统关键组件的品牌、材质、型号，并且注明保修期</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color w:val="111111"/>
                <w:szCs w:val="21"/>
                <w:highlight w:val="none"/>
                <w:lang w:eastAsia="zh-CN"/>
              </w:rPr>
              <w:t>供应商应提供</w:t>
            </w:r>
            <w:r>
              <w:rPr>
                <w:color w:val="111111"/>
                <w:szCs w:val="21"/>
                <w:highlight w:val="none"/>
                <w:lang w:eastAsia="zh-CN"/>
              </w:rPr>
              <w:t>上述条款规定的文件</w:t>
            </w:r>
            <w:r>
              <w:rPr>
                <w:rFonts w:hint="eastAsia"/>
                <w:color w:val="111111"/>
                <w:szCs w:val="21"/>
                <w:highlight w:val="none"/>
                <w:lang w:eastAsia="zh-CN"/>
              </w:rPr>
              <w:t>的</w:t>
            </w:r>
            <w:r>
              <w:rPr>
                <w:color w:val="111111"/>
                <w:szCs w:val="21"/>
                <w:highlight w:val="none"/>
                <w:lang w:eastAsia="zh-CN"/>
              </w:rPr>
              <w:t>电子版</w:t>
            </w:r>
            <w:r>
              <w:rPr>
                <w:rFonts w:hint="eastAsia"/>
                <w:color w:val="111111"/>
                <w:szCs w:val="21"/>
                <w:highlight w:val="none"/>
                <w:lang w:eastAsia="zh-CN"/>
              </w:rPr>
              <w:t>；</w:t>
            </w:r>
            <w:r>
              <w:rPr>
                <w:color w:val="111111"/>
                <w:szCs w:val="21"/>
                <w:highlight w:val="none"/>
                <w:lang w:eastAsia="zh-CN"/>
              </w:rPr>
              <w:t>并</w:t>
            </w:r>
            <w:r>
              <w:rPr>
                <w:rFonts w:hint="eastAsia"/>
                <w:color w:val="111111"/>
                <w:szCs w:val="21"/>
                <w:highlight w:val="none"/>
                <w:lang w:eastAsia="zh-CN"/>
              </w:rPr>
              <w:t>将</w:t>
            </w:r>
            <w:r>
              <w:rPr>
                <w:color w:val="111111"/>
                <w:szCs w:val="21"/>
                <w:highlight w:val="none"/>
                <w:lang w:eastAsia="zh-CN"/>
              </w:rPr>
              <w:t>最终批准的电子版及纸质版全套资料交工程技术部存档</w:t>
            </w:r>
            <w:r>
              <w:rPr>
                <w:rFonts w:hint="eastAsia"/>
                <w:color w:val="111111"/>
                <w:szCs w:val="21"/>
                <w:highlight w:val="none"/>
                <w:lang w:eastAsia="zh-CN"/>
              </w:rPr>
              <w:t>。</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40"/>
    </w:tbl>
    <w:p>
      <w:pPr>
        <w:rPr>
          <w:szCs w:val="21"/>
          <w:highlight w:val="none"/>
          <w:lang w:eastAsia="zh-CN"/>
        </w:rPr>
      </w:pPr>
    </w:p>
    <w:p>
      <w:pPr>
        <w:pStyle w:val="44"/>
        <w:numPr>
          <w:ilvl w:val="0"/>
          <w:numId w:val="3"/>
        </w:numPr>
        <w:spacing w:after="158" w:afterLines="50"/>
        <w:ind w:left="426" w:hanging="426" w:hangingChars="202"/>
        <w:outlineLvl w:val="0"/>
        <w:rPr>
          <w:rFonts w:ascii="Times New Roman" w:hAnsi="Times New Roman"/>
          <w:b/>
          <w:highlight w:val="none"/>
        </w:rPr>
      </w:pPr>
      <w:bookmarkStart w:id="44" w:name="_Toc522716125"/>
      <w:r>
        <w:rPr>
          <w:rFonts w:hint="eastAsia" w:ascii="Times New Roman" w:hAnsi="Times New Roman"/>
          <w:b/>
          <w:szCs w:val="21"/>
          <w:highlight w:val="none"/>
        </w:rPr>
        <w:t>服务要求</w:t>
      </w:r>
      <w:bookmarkEnd w:id="44"/>
    </w:p>
    <w:p>
      <w:pPr>
        <w:pStyle w:val="53"/>
        <w:spacing w:before="0" w:line="360" w:lineRule="auto"/>
        <w:ind w:left="357"/>
        <w:jc w:val="left"/>
        <w:rPr>
          <w:i/>
          <w:color w:val="4472C4"/>
          <w:szCs w:val="21"/>
          <w:highlight w:val="none"/>
          <w:lang w:eastAsia="zh-CN"/>
        </w:rPr>
      </w:pPr>
      <w:permStart w:id="41" w:edGrp="everyone"/>
    </w:p>
    <w:permEnd w:id="41"/>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highlight w:val="none"/>
              </w:rPr>
            </w:pPr>
            <w:r>
              <w:rPr>
                <w:rFonts w:hint="eastAsia"/>
                <w:b/>
                <w:szCs w:val="21"/>
                <w:highlight w:val="none"/>
              </w:rPr>
              <w:t>编号</w:t>
            </w:r>
          </w:p>
        </w:tc>
        <w:tc>
          <w:tcPr>
            <w:tcW w:w="7128" w:type="dxa"/>
            <w:shd w:val="clear" w:color="auto" w:fill="D9D9D9"/>
            <w:vAlign w:val="center"/>
          </w:tcPr>
          <w:p>
            <w:pPr>
              <w:jc w:val="center"/>
              <w:rPr>
                <w:b/>
                <w:szCs w:val="21"/>
                <w:highlight w:val="none"/>
                <w:lang w:eastAsia="zh-CN"/>
              </w:rPr>
            </w:pPr>
            <w:r>
              <w:rPr>
                <w:rFonts w:hint="eastAsia"/>
                <w:b/>
                <w:szCs w:val="21"/>
                <w:highlight w:val="none"/>
                <w:lang w:eastAsia="zh-CN"/>
              </w:rPr>
              <w:t>需求</w:t>
            </w:r>
          </w:p>
        </w:tc>
        <w:tc>
          <w:tcPr>
            <w:tcW w:w="2125" w:type="dxa"/>
            <w:shd w:val="clear" w:color="auto" w:fill="D9D9D9"/>
            <w:vAlign w:val="center"/>
          </w:tcPr>
          <w:p>
            <w:pPr>
              <w:jc w:val="center"/>
              <w:rPr>
                <w:b/>
                <w:szCs w:val="21"/>
                <w:highlight w:val="none"/>
                <w:lang w:eastAsia="zh-CN"/>
              </w:rPr>
            </w:pPr>
            <w:r>
              <w:rPr>
                <w:rFonts w:hint="eastAsia"/>
                <w:b/>
                <w:szCs w:val="21"/>
                <w:highlight w:val="none"/>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szCs w:val="21"/>
                <w:highlight w:val="none"/>
                <w:lang w:eastAsia="zh-CN"/>
              </w:rPr>
              <w:t xml:space="preserve"> </w:t>
            </w:r>
            <w:r>
              <w:rPr>
                <w:rFonts w:hint="eastAsia"/>
                <w:szCs w:val="21"/>
                <w:highlight w:val="none"/>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42" w:edGrp="everyone"/>
          </w:p>
        </w:tc>
        <w:tc>
          <w:tcPr>
            <w:tcW w:w="7128" w:type="dxa"/>
            <w:vAlign w:val="center"/>
          </w:tcPr>
          <w:p>
            <w:pPr>
              <w:spacing w:line="276" w:lineRule="auto"/>
              <w:jc w:val="both"/>
              <w:rPr>
                <w:color w:val="0070C0"/>
                <w:szCs w:val="21"/>
                <w:highlight w:val="none"/>
                <w:lang w:eastAsia="zh-CN"/>
              </w:rPr>
            </w:pPr>
            <w:r>
              <w:rPr>
                <w:rFonts w:hint="eastAsia"/>
                <w:color w:val="000000"/>
                <w:highlight w:val="none"/>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43" w:edGrp="everyone"/>
          </w:p>
        </w:tc>
        <w:tc>
          <w:tcPr>
            <w:tcW w:w="7128" w:type="dxa"/>
            <w:vAlign w:val="center"/>
          </w:tcPr>
          <w:p>
            <w:pPr>
              <w:spacing w:line="276" w:lineRule="auto"/>
              <w:jc w:val="both"/>
              <w:rPr>
                <w:color w:val="0070C0"/>
                <w:szCs w:val="21"/>
                <w:highlight w:val="none"/>
                <w:lang w:eastAsia="zh-CN"/>
              </w:rPr>
            </w:pPr>
            <w:r>
              <w:rPr>
                <w:rFonts w:hint="eastAsia"/>
                <w:color w:val="000000"/>
                <w:highlight w:val="none"/>
                <w:lang w:eastAsia="zh-CN"/>
              </w:rPr>
              <w:t>生产操作人员培训包括设备结构原理、性能、操作、清洗消毒、故障排除等基本</w:t>
            </w:r>
            <w:r>
              <w:rPr>
                <w:rFonts w:hint="eastAsia"/>
                <w:color w:val="000000"/>
                <w:szCs w:val="21"/>
                <w:highlight w:val="none"/>
                <w:lang w:eastAsia="zh-CN"/>
              </w:rPr>
              <w:t>知识</w:t>
            </w:r>
            <w:r>
              <w:rPr>
                <w:rFonts w:hint="eastAsia"/>
                <w:color w:val="000000"/>
                <w:highlight w:val="none"/>
                <w:lang w:eastAsia="zh-CN"/>
              </w:rPr>
              <w:t>。合格标准为用户参加培训人员能够独立正确操作设备，会排除常见故障。</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44" w:edGrp="everyone"/>
          </w:p>
        </w:tc>
        <w:tc>
          <w:tcPr>
            <w:tcW w:w="7128" w:type="dxa"/>
            <w:vAlign w:val="center"/>
          </w:tcPr>
          <w:p>
            <w:pPr>
              <w:spacing w:line="276" w:lineRule="auto"/>
              <w:jc w:val="both"/>
              <w:rPr>
                <w:color w:val="0070C0"/>
                <w:highlight w:val="none"/>
                <w:lang w:eastAsia="zh-CN"/>
              </w:rPr>
            </w:pPr>
            <w:r>
              <w:rPr>
                <w:rFonts w:hint="eastAsia"/>
                <w:color w:val="000000"/>
                <w:highlight w:val="none"/>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szCs w:val="21"/>
                <w:highlight w:val="none"/>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45" w:edGrp="everyone"/>
          </w:p>
        </w:tc>
        <w:tc>
          <w:tcPr>
            <w:tcW w:w="7128" w:type="dxa"/>
            <w:vAlign w:val="center"/>
          </w:tcPr>
          <w:p>
            <w:pPr>
              <w:spacing w:line="276" w:lineRule="auto"/>
              <w:jc w:val="both"/>
              <w:rPr>
                <w:szCs w:val="21"/>
                <w:highlight w:val="none"/>
                <w:lang w:eastAsia="zh-CN"/>
              </w:rPr>
            </w:pPr>
            <w:r>
              <w:rPr>
                <w:rFonts w:hint="eastAsia"/>
                <w:color w:val="000000"/>
                <w:highlight w:val="none"/>
                <w:lang w:eastAsia="zh-CN"/>
              </w:rPr>
              <w:t>设备运输在运输途中需做好防护措施，不得有任何损伤。</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szCs w:val="21"/>
                <w:highlight w:val="none"/>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46" w:edGrp="everyone"/>
          </w:p>
        </w:tc>
        <w:tc>
          <w:tcPr>
            <w:tcW w:w="7128" w:type="dxa"/>
            <w:vAlign w:val="center"/>
          </w:tcPr>
          <w:p>
            <w:pPr>
              <w:jc w:val="both"/>
              <w:rPr>
                <w:i/>
                <w:szCs w:val="21"/>
                <w:highlight w:val="none"/>
                <w:lang w:eastAsia="zh-CN"/>
              </w:rPr>
            </w:pPr>
            <w:r>
              <w:rPr>
                <w:rFonts w:hint="eastAsia"/>
                <w:szCs w:val="21"/>
                <w:highlight w:val="none"/>
                <w:lang w:eastAsia="zh-CN"/>
              </w:rPr>
              <w:t>验证包括：</w:t>
            </w:r>
            <w:r>
              <w:rPr>
                <w:rFonts w:hint="eastAsia" w:ascii="宋体" w:hAnsi="宋体"/>
                <w:szCs w:val="21"/>
                <w:highlight w:val="none"/>
                <w:lang w:eastAsia="zh-CN"/>
              </w:rPr>
              <w:t>验证计划、系统评估、计算机化系统评估、风险评估、</w:t>
            </w:r>
            <w:r>
              <w:rPr>
                <w:rFonts w:ascii="宋体" w:hAnsi="宋体"/>
                <w:szCs w:val="21"/>
                <w:highlight w:val="none"/>
                <w:lang w:eastAsia="zh-CN"/>
              </w:rPr>
              <w:t>DQ</w:t>
            </w:r>
            <w:r>
              <w:rPr>
                <w:rFonts w:hint="eastAsia" w:ascii="宋体" w:hAnsi="宋体"/>
                <w:szCs w:val="21"/>
                <w:highlight w:val="none"/>
                <w:lang w:eastAsia="zh-CN"/>
              </w:rPr>
              <w:t>、</w:t>
            </w:r>
            <w:r>
              <w:rPr>
                <w:rFonts w:ascii="宋体" w:hAnsi="宋体"/>
                <w:szCs w:val="21"/>
                <w:highlight w:val="none"/>
                <w:lang w:eastAsia="zh-CN"/>
              </w:rPr>
              <w:t>IQ</w:t>
            </w:r>
            <w:r>
              <w:rPr>
                <w:rFonts w:hint="eastAsia" w:ascii="宋体" w:hAnsi="宋体"/>
                <w:szCs w:val="21"/>
                <w:highlight w:val="none"/>
                <w:lang w:eastAsia="zh-CN"/>
              </w:rPr>
              <w:t>、</w:t>
            </w:r>
            <w:r>
              <w:rPr>
                <w:rFonts w:ascii="宋体" w:hAnsi="宋体"/>
                <w:szCs w:val="21"/>
                <w:highlight w:val="none"/>
                <w:lang w:eastAsia="zh-CN"/>
              </w:rPr>
              <w:t>OQ</w:t>
            </w:r>
            <w:r>
              <w:rPr>
                <w:rFonts w:hint="eastAsia" w:ascii="宋体" w:hAnsi="宋体"/>
                <w:szCs w:val="21"/>
                <w:highlight w:val="none"/>
                <w:lang w:eastAsia="zh-CN"/>
              </w:rPr>
              <w:t>，</w:t>
            </w:r>
            <w:r>
              <w:rPr>
                <w:rFonts w:hint="eastAsia" w:ascii="宋体" w:hAnsi="宋体"/>
                <w:szCs w:val="21"/>
                <w:highlight w:val="none"/>
                <w:lang w:val="en-US" w:eastAsia="zh-CN"/>
              </w:rPr>
              <w:t>PQ</w:t>
            </w:r>
            <w:r>
              <w:rPr>
                <w:rFonts w:hint="eastAsia" w:ascii="宋体" w:hAnsi="宋体"/>
                <w:szCs w:val="21"/>
                <w:highlight w:val="none"/>
                <w:lang w:eastAsia="zh-CN"/>
              </w:rPr>
              <w:t>文件与服务，供应商必须派出具备该类系统验证经验，且熟悉验证相关文件编写及验证工作实施的验证工程师开展验证工作。</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bCs/>
                <w:color w:val="000000" w:themeColor="text1"/>
                <w:szCs w:val="21"/>
                <w:highlight w:val="none"/>
                <w:lang w:eastAsia="zh-CN"/>
                <w14:textFill>
                  <w14:solidFill>
                    <w14:schemeClr w14:val="tx1"/>
                  </w14:solidFill>
                </w14:textFill>
              </w:rPr>
              <w:t>供应商应完成：追溯矩阵（</w:t>
            </w:r>
            <w:r>
              <w:rPr>
                <w:bCs/>
                <w:color w:val="000000" w:themeColor="text1"/>
                <w:szCs w:val="21"/>
                <w:highlight w:val="none"/>
                <w:lang w:eastAsia="zh-CN"/>
                <w14:textFill>
                  <w14:solidFill>
                    <w14:schemeClr w14:val="tx1"/>
                  </w14:solidFill>
                </w14:textFill>
              </w:rPr>
              <w:t>RTM</w:t>
            </w:r>
            <w:r>
              <w:rPr>
                <w:rFonts w:hint="eastAsia"/>
                <w:bCs/>
                <w:color w:val="000000" w:themeColor="text1"/>
                <w:szCs w:val="21"/>
                <w:highlight w:val="none"/>
                <w:lang w:eastAsia="zh-CN"/>
                <w14:textFill>
                  <w14:solidFill>
                    <w14:schemeClr w14:val="tx1"/>
                  </w14:solidFill>
                </w14:textFill>
              </w:rPr>
              <w:t>）</w:t>
            </w:r>
          </w:p>
        </w:tc>
        <w:tc>
          <w:tcPr>
            <w:tcW w:w="2125" w:type="dxa"/>
            <w:vAlign w:val="center"/>
          </w:tcPr>
          <w:p>
            <w:pPr>
              <w:jc w:val="center"/>
              <w:rPr>
                <w:szCs w:val="21"/>
                <w:highlight w:val="none"/>
                <w:lang w:eastAsia="zh-CN"/>
              </w:rPr>
            </w:pPr>
            <w:r>
              <w:rPr>
                <w:rFonts w:hint="eastAsia"/>
                <w:szCs w:val="21"/>
                <w:highlight w:val="none"/>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jc w:val="both"/>
              <w:rPr>
                <w:szCs w:val="21"/>
                <w:highlight w:val="none"/>
                <w:lang w:eastAsia="zh-CN"/>
              </w:rPr>
            </w:pPr>
            <w:r>
              <w:rPr>
                <w:rFonts w:hint="eastAsia"/>
                <w:bCs/>
                <w:color w:val="000000" w:themeColor="text1"/>
                <w:szCs w:val="21"/>
                <w:highlight w:val="none"/>
                <w:lang w:eastAsia="zh-CN"/>
                <w14:textFill>
                  <w14:solidFill>
                    <w14:schemeClr w14:val="tx1"/>
                  </w14:solidFill>
                </w14:textFill>
              </w:rPr>
              <w:t>供应商应完成：验证总结报告（</w:t>
            </w:r>
            <w:r>
              <w:rPr>
                <w:bCs/>
                <w:color w:val="000000" w:themeColor="text1"/>
                <w:szCs w:val="21"/>
                <w:highlight w:val="none"/>
                <w:lang w:eastAsia="zh-CN"/>
                <w14:textFill>
                  <w14:solidFill>
                    <w14:schemeClr w14:val="tx1"/>
                  </w14:solidFill>
                </w14:textFill>
              </w:rPr>
              <w:t>VSR</w:t>
            </w:r>
            <w:r>
              <w:rPr>
                <w:rFonts w:hint="eastAsia"/>
                <w:bCs/>
                <w:color w:val="000000" w:themeColor="text1"/>
                <w:szCs w:val="21"/>
                <w:highlight w:val="none"/>
                <w:lang w:eastAsia="zh-CN"/>
                <w14:textFill>
                  <w14:solidFill>
                    <w14:schemeClr w14:val="tx1"/>
                  </w14:solidFill>
                </w14:textFill>
              </w:rPr>
              <w:t>）</w:t>
            </w:r>
          </w:p>
        </w:tc>
        <w:tc>
          <w:tcPr>
            <w:tcW w:w="2125" w:type="dxa"/>
            <w:vAlign w:val="center"/>
          </w:tcPr>
          <w:p>
            <w:pPr>
              <w:jc w:val="center"/>
              <w:rPr>
                <w:szCs w:val="21"/>
                <w:highlight w:val="none"/>
                <w:lang w:eastAsia="zh-CN"/>
              </w:rPr>
            </w:pPr>
            <w:r>
              <w:rPr>
                <w:rFonts w:hint="eastAsia"/>
                <w:szCs w:val="21"/>
                <w:highlight w:val="none"/>
                <w:lang w:eastAsia="zh-CN"/>
              </w:rPr>
              <w:t>期望</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47" w:edGrp="everyone"/>
          </w:p>
        </w:tc>
        <w:tc>
          <w:tcPr>
            <w:tcW w:w="7128" w:type="dxa"/>
            <w:vAlign w:val="center"/>
          </w:tcPr>
          <w:p>
            <w:pPr>
              <w:spacing w:line="276" w:lineRule="auto"/>
              <w:jc w:val="both"/>
              <w:rPr>
                <w:szCs w:val="21"/>
                <w:highlight w:val="none"/>
                <w:lang w:eastAsia="zh-CN"/>
              </w:rPr>
            </w:pPr>
            <w:r>
              <w:rPr>
                <w:rFonts w:hint="eastAsia"/>
                <w:szCs w:val="21"/>
                <w:highlight w:val="none"/>
                <w:lang w:eastAsia="zh-CN"/>
              </w:rPr>
              <w:t>投标方按</w:t>
            </w:r>
            <w:r>
              <w:rPr>
                <w:szCs w:val="21"/>
                <w:highlight w:val="none"/>
                <w:lang w:eastAsia="zh-CN"/>
              </w:rPr>
              <w:t>GMP</w:t>
            </w:r>
            <w:r>
              <w:rPr>
                <w:rFonts w:hint="eastAsia"/>
                <w:szCs w:val="21"/>
                <w:highlight w:val="none"/>
                <w:lang w:eastAsia="zh-CN"/>
              </w:rPr>
              <w:t>规范及</w:t>
            </w:r>
            <w:r>
              <w:rPr>
                <w:szCs w:val="21"/>
                <w:highlight w:val="none"/>
                <w:lang w:eastAsia="zh-CN"/>
              </w:rPr>
              <w:t>GAMP5</w:t>
            </w:r>
            <w:r>
              <w:rPr>
                <w:rFonts w:hint="eastAsia"/>
                <w:szCs w:val="21"/>
                <w:highlight w:val="none"/>
                <w:lang w:eastAsia="zh-CN"/>
              </w:rPr>
              <w:t>要求完成上述所有验证工作（包括设备及其计算机化系统验证），并提供相应文件（文件必须无条件符合我所</w:t>
            </w:r>
            <w:r>
              <w:rPr>
                <w:szCs w:val="21"/>
                <w:highlight w:val="none"/>
                <w:lang w:eastAsia="zh-CN"/>
              </w:rPr>
              <w:t>QA</w:t>
            </w:r>
            <w:r>
              <w:rPr>
                <w:rFonts w:hint="eastAsia"/>
                <w:szCs w:val="21"/>
                <w:highlight w:val="none"/>
                <w:lang w:eastAsia="zh-CN"/>
              </w:rPr>
              <w:t>要求）。各验证工作开始前验证方案需经过本公司相关部门审核，并经质量保证部批准。</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48" w:edGrp="everyone"/>
          </w:p>
        </w:tc>
        <w:tc>
          <w:tcPr>
            <w:tcW w:w="7128" w:type="dxa"/>
            <w:vAlign w:val="center"/>
          </w:tcPr>
          <w:p>
            <w:pPr>
              <w:spacing w:line="276" w:lineRule="auto"/>
              <w:jc w:val="both"/>
              <w:rPr>
                <w:szCs w:val="21"/>
                <w:highlight w:val="none"/>
                <w:lang w:eastAsia="zh-CN"/>
              </w:rPr>
            </w:pPr>
            <w:r>
              <w:rPr>
                <w:rFonts w:hint="eastAsia"/>
                <w:szCs w:val="21"/>
                <w:highlight w:val="none"/>
                <w:lang w:eastAsia="zh-CN"/>
              </w:rPr>
              <w:t>验证工作应按时保质完成，供应商需提供验证工作计划表。</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49" w:edGrp="everyone"/>
          </w:p>
        </w:tc>
        <w:tc>
          <w:tcPr>
            <w:tcW w:w="7128" w:type="dxa"/>
            <w:vAlign w:val="center"/>
          </w:tcPr>
          <w:p>
            <w:pPr>
              <w:spacing w:line="276" w:lineRule="auto"/>
              <w:jc w:val="both"/>
              <w:rPr>
                <w:szCs w:val="21"/>
                <w:highlight w:val="none"/>
                <w:lang w:eastAsia="zh-CN"/>
              </w:rPr>
            </w:pPr>
            <w:r>
              <w:rPr>
                <w:rFonts w:hint="eastAsia"/>
                <w:szCs w:val="21"/>
                <w:highlight w:val="none"/>
                <w:lang w:eastAsia="zh-CN"/>
              </w:rPr>
              <w:t>验证项目应包含法规要求的测试项目，以及本公司提出的测试项目。</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50" w:edGrp="everyone"/>
          </w:p>
        </w:tc>
        <w:tc>
          <w:tcPr>
            <w:tcW w:w="7128" w:type="dxa"/>
            <w:vAlign w:val="center"/>
          </w:tcPr>
          <w:p>
            <w:pPr>
              <w:spacing w:line="276" w:lineRule="auto"/>
              <w:jc w:val="both"/>
              <w:rPr>
                <w:szCs w:val="21"/>
                <w:highlight w:val="none"/>
                <w:lang w:eastAsia="zh-CN"/>
              </w:rPr>
            </w:pPr>
            <w:r>
              <w:rPr>
                <w:rFonts w:hint="eastAsia"/>
                <w:szCs w:val="21"/>
                <w:highlight w:val="none"/>
                <w:lang w:eastAsia="zh-CN"/>
              </w:rPr>
              <w:t>验证方案和记录需经本公司相关部门审核，并经质量保证部批准。</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color w:val="000000"/>
                <w:szCs w:val="21"/>
                <w:highlight w:val="none"/>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51" w:edGrp="everyone"/>
          </w:p>
        </w:tc>
        <w:tc>
          <w:tcPr>
            <w:tcW w:w="7128" w:type="dxa"/>
            <w:vAlign w:val="center"/>
          </w:tcPr>
          <w:p>
            <w:pPr>
              <w:spacing w:line="276" w:lineRule="auto"/>
              <w:jc w:val="both"/>
              <w:rPr>
                <w:szCs w:val="21"/>
                <w:highlight w:val="none"/>
                <w:lang w:eastAsia="zh-CN"/>
              </w:rPr>
            </w:pPr>
            <w:r>
              <w:rPr>
                <w:rFonts w:hint="eastAsia"/>
                <w:szCs w:val="21"/>
                <w:highlight w:val="none"/>
                <w:lang w:eastAsia="zh-CN"/>
              </w:rPr>
              <w:t>设备保质期从确认验收的阶段就开始计算。</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52" w:edGrp="everyone"/>
          </w:p>
        </w:tc>
        <w:tc>
          <w:tcPr>
            <w:tcW w:w="7128" w:type="dxa"/>
            <w:vAlign w:val="center"/>
          </w:tcPr>
          <w:p>
            <w:pPr>
              <w:spacing w:line="276" w:lineRule="auto"/>
              <w:jc w:val="both"/>
              <w:rPr>
                <w:szCs w:val="21"/>
                <w:highlight w:val="none"/>
                <w:lang w:eastAsia="zh-CN"/>
              </w:rPr>
            </w:pPr>
            <w:r>
              <w:rPr>
                <w:rFonts w:hint="eastAsia"/>
                <w:szCs w:val="21"/>
                <w:highlight w:val="none"/>
                <w:lang w:eastAsia="zh-CN"/>
              </w:rPr>
              <w:t>设备质保期为一年，一年内免费保修，一年后应提供良好的售后服务。</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53" w:edGrp="everyone"/>
          </w:p>
        </w:tc>
        <w:tc>
          <w:tcPr>
            <w:tcW w:w="7128" w:type="dxa"/>
            <w:vAlign w:val="center"/>
          </w:tcPr>
          <w:p>
            <w:pPr>
              <w:spacing w:line="276" w:lineRule="auto"/>
              <w:jc w:val="both"/>
              <w:rPr>
                <w:szCs w:val="21"/>
                <w:highlight w:val="none"/>
                <w:lang w:eastAsia="zh-CN"/>
              </w:rPr>
            </w:pPr>
            <w:r>
              <w:rPr>
                <w:rFonts w:hint="eastAsia"/>
                <w:szCs w:val="21"/>
                <w:highlight w:val="none"/>
                <w:lang w:eastAsia="zh-CN"/>
              </w:rPr>
              <w:t>售后服务必须响应及时，要求设备出现须厂家维修的故障后，应在</w:t>
            </w:r>
            <w:r>
              <w:rPr>
                <w:szCs w:val="21"/>
                <w:highlight w:val="none"/>
                <w:lang w:eastAsia="zh-CN"/>
              </w:rPr>
              <w:t>4</w:t>
            </w:r>
            <w:r>
              <w:rPr>
                <w:rFonts w:hint="eastAsia"/>
                <w:szCs w:val="21"/>
                <w:highlight w:val="none"/>
                <w:lang w:eastAsia="zh-CN"/>
              </w:rPr>
              <w:t>小时内明确答复，当电话沟通无法解决时，须</w:t>
            </w:r>
            <w:r>
              <w:rPr>
                <w:szCs w:val="21"/>
                <w:highlight w:val="none"/>
                <w:lang w:eastAsia="zh-CN"/>
              </w:rPr>
              <w:t>24</w:t>
            </w:r>
            <w:r>
              <w:rPr>
                <w:rFonts w:hint="eastAsia"/>
                <w:szCs w:val="21"/>
                <w:highlight w:val="none"/>
                <w:lang w:eastAsia="zh-CN"/>
              </w:rPr>
              <w:t>小时内派人至现场解决。</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54" w:edGrp="everyone"/>
          </w:p>
        </w:tc>
        <w:tc>
          <w:tcPr>
            <w:tcW w:w="7128" w:type="dxa"/>
            <w:vAlign w:val="center"/>
          </w:tcPr>
          <w:p>
            <w:pPr>
              <w:spacing w:line="276" w:lineRule="auto"/>
              <w:jc w:val="both"/>
              <w:rPr>
                <w:szCs w:val="21"/>
                <w:highlight w:val="none"/>
                <w:lang w:eastAsia="zh-CN"/>
              </w:rPr>
            </w:pPr>
            <w:r>
              <w:rPr>
                <w:rFonts w:hint="eastAsia"/>
                <w:szCs w:val="21"/>
                <w:highlight w:val="none"/>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55" w:edGrp="everyone"/>
          </w:p>
        </w:tc>
        <w:tc>
          <w:tcPr>
            <w:tcW w:w="7128" w:type="dxa"/>
            <w:vAlign w:val="center"/>
          </w:tcPr>
          <w:p>
            <w:pPr>
              <w:spacing w:line="276" w:lineRule="auto"/>
              <w:jc w:val="both"/>
              <w:rPr>
                <w:szCs w:val="21"/>
                <w:highlight w:val="none"/>
                <w:lang w:eastAsia="zh-CN"/>
              </w:rPr>
            </w:pPr>
            <w:r>
              <w:rPr>
                <w:rFonts w:hint="eastAsia" w:ascii="宋体" w:hAnsi="宋体"/>
                <w:highlight w:val="none"/>
                <w:lang w:eastAsia="zh-CN"/>
              </w:rPr>
              <w:t>供应商应额外提供</w:t>
            </w:r>
            <w:r>
              <w:rPr>
                <w:rFonts w:ascii="宋体" w:hAnsi="宋体"/>
                <w:highlight w:val="none"/>
                <w:lang w:eastAsia="zh-CN"/>
              </w:rPr>
              <w:t>2</w:t>
            </w:r>
            <w:r>
              <w:rPr>
                <w:rFonts w:hint="eastAsia" w:ascii="宋体" w:hAnsi="宋体"/>
                <w:highlight w:val="none"/>
                <w:lang w:eastAsia="zh-CN"/>
              </w:rPr>
              <w:t>年的设备易损件和维修工具作为设备使用方的备件，清单应列在合同内</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宋体" w:hAnsi="宋体"/>
                <w:highlight w:val="none"/>
                <w:lang w:eastAsia="zh-CN"/>
              </w:rPr>
            </w:pPr>
            <w:r>
              <w:rPr>
                <w:rFonts w:hint="eastAsia" w:ascii="宋体" w:hAnsi="宋体"/>
                <w:highlight w:val="none"/>
                <w:lang w:eastAsia="zh-CN"/>
              </w:rPr>
              <w:t>供应商可做到基本配件随时可发货，特殊配件</w:t>
            </w:r>
            <w:r>
              <w:rPr>
                <w:rFonts w:ascii="宋体" w:hAnsi="宋体"/>
                <w:highlight w:val="none"/>
                <w:lang w:eastAsia="zh-CN"/>
              </w:rPr>
              <w:t>2</w:t>
            </w:r>
            <w:r>
              <w:rPr>
                <w:rFonts w:hint="eastAsia" w:ascii="宋体" w:hAnsi="宋体"/>
                <w:highlight w:val="none"/>
                <w:lang w:eastAsia="zh-CN"/>
              </w:rPr>
              <w:t>周内到货</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4"/>
              <w:numPr>
                <w:ilvl w:val="0"/>
                <w:numId w:val="12"/>
              </w:numPr>
              <w:ind w:firstLineChars="0"/>
              <w:rPr>
                <w:rFonts w:ascii="Times New Roman" w:hAnsi="Times New Roman"/>
                <w:szCs w:val="21"/>
                <w:highlight w:val="none"/>
              </w:rPr>
            </w:pPr>
          </w:p>
        </w:tc>
        <w:tc>
          <w:tcPr>
            <w:tcW w:w="9253" w:type="dxa"/>
            <w:gridSpan w:val="2"/>
            <w:shd w:val="clear" w:color="auto" w:fill="D9D9D9"/>
            <w:vAlign w:val="center"/>
          </w:tcPr>
          <w:p>
            <w:pPr>
              <w:jc w:val="both"/>
              <w:rPr>
                <w:szCs w:val="21"/>
                <w:highlight w:val="none"/>
                <w:lang w:eastAsia="zh-CN"/>
              </w:rPr>
            </w:pPr>
            <w:r>
              <w:rPr>
                <w:rFonts w:hint="eastAsia"/>
                <w:color w:val="000000"/>
                <w:szCs w:val="21"/>
                <w:highlight w:val="none"/>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56" w:edGrp="everyone"/>
          </w:p>
        </w:tc>
        <w:tc>
          <w:tcPr>
            <w:tcW w:w="7128" w:type="dxa"/>
            <w:vAlign w:val="center"/>
          </w:tcPr>
          <w:p>
            <w:pPr>
              <w:spacing w:line="276" w:lineRule="auto"/>
              <w:jc w:val="both"/>
              <w:rPr>
                <w:szCs w:val="21"/>
                <w:highlight w:val="none"/>
                <w:lang w:eastAsia="zh-CN"/>
              </w:rPr>
            </w:pPr>
            <w:r>
              <w:rPr>
                <w:rFonts w:hint="eastAsia"/>
                <w:szCs w:val="21"/>
                <w:highlight w:val="none"/>
                <w:lang w:eastAsia="zh-CN"/>
              </w:rPr>
              <w:t>验收前，调试和验证工作已成功完成，验证最终报告已经本公司相关部门审核，并经质量保证部批准。</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szCs w:val="21"/>
                <w:highlight w:val="none"/>
                <w:lang w:eastAsia="zh-CN"/>
              </w:rPr>
            </w:pPr>
            <w:r>
              <w:rPr>
                <w:rFonts w:hint="eastAsia" w:ascii="宋体" w:hAnsi="宋体"/>
                <w:highlight w:val="none"/>
                <w:lang w:eastAsia="zh-CN"/>
              </w:rPr>
              <w:t>验收时，必须完成调试文件，相应的调试和测试项目必须首先完成</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ermStart w:id="57" w:edGrp="everyone"/>
          </w:p>
        </w:tc>
        <w:tc>
          <w:tcPr>
            <w:tcW w:w="7128" w:type="dxa"/>
            <w:vAlign w:val="center"/>
          </w:tcPr>
          <w:p>
            <w:pPr>
              <w:spacing w:line="276" w:lineRule="auto"/>
              <w:jc w:val="both"/>
              <w:rPr>
                <w:szCs w:val="21"/>
                <w:highlight w:val="none"/>
                <w:lang w:eastAsia="zh-CN"/>
              </w:rPr>
            </w:pPr>
            <w:r>
              <w:rPr>
                <w:rFonts w:hint="eastAsia" w:ascii="宋体" w:hAnsi="宋体"/>
                <w:highlight w:val="none"/>
                <w:lang w:eastAsia="zh-CN"/>
              </w:rPr>
              <w:t>验收时，</w:t>
            </w:r>
            <w:r>
              <w:rPr>
                <w:rFonts w:hint="eastAsia" w:ascii="宋体" w:hAnsi="宋体"/>
                <w:szCs w:val="21"/>
                <w:highlight w:val="none"/>
                <w:lang w:eastAsia="zh-CN"/>
              </w:rPr>
              <w:t>所有设备安装、调试、验证、试用已完成，并经过用户使用部门及工程部等确认。</w:t>
            </w:r>
          </w:p>
        </w:tc>
        <w:tc>
          <w:tcPr>
            <w:tcW w:w="2125" w:type="dxa"/>
            <w:vAlign w:val="center"/>
          </w:tcPr>
          <w:p>
            <w:pPr>
              <w:jc w:val="center"/>
              <w:rPr>
                <w:szCs w:val="21"/>
                <w:highlight w:val="none"/>
                <w:lang w:eastAsia="zh-CN"/>
              </w:rPr>
            </w:pPr>
            <w:r>
              <w:rPr>
                <w:rFonts w:hint="eastAsia"/>
                <w:szCs w:val="21"/>
                <w:highlight w:val="none"/>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4"/>
              <w:numPr>
                <w:ilvl w:val="0"/>
                <w:numId w:val="7"/>
              </w:numPr>
              <w:ind w:left="470" w:hanging="120" w:firstLineChars="0"/>
              <w:rPr>
                <w:rFonts w:ascii="Times New Roman" w:hAnsi="Times New Roman"/>
                <w:szCs w:val="21"/>
                <w:highlight w:val="none"/>
              </w:rPr>
            </w:pPr>
          </w:p>
        </w:tc>
        <w:tc>
          <w:tcPr>
            <w:tcW w:w="7128" w:type="dxa"/>
            <w:vAlign w:val="center"/>
          </w:tcPr>
          <w:p>
            <w:pPr>
              <w:spacing w:line="276" w:lineRule="auto"/>
              <w:jc w:val="both"/>
              <w:rPr>
                <w:rFonts w:ascii="宋体" w:hAnsi="宋体"/>
                <w:highlight w:val="none"/>
                <w:lang w:eastAsia="zh-CN"/>
              </w:rPr>
            </w:pPr>
            <w:r>
              <w:rPr>
                <w:rFonts w:hint="eastAsia" w:ascii="宋体" w:hAnsi="宋体"/>
                <w:highlight w:val="none"/>
                <w:lang w:eastAsia="zh-CN"/>
              </w:rPr>
              <w:t>设备验收时如发现供应商对</w:t>
            </w:r>
            <w:r>
              <w:rPr>
                <w:rFonts w:ascii="宋体" w:hAnsi="宋体"/>
                <w:highlight w:val="none"/>
                <w:lang w:eastAsia="zh-CN"/>
              </w:rPr>
              <w:t>URS</w:t>
            </w:r>
            <w:r>
              <w:rPr>
                <w:rFonts w:hint="eastAsia" w:ascii="宋体" w:hAnsi="宋体"/>
                <w:highlight w:val="none"/>
                <w:lang w:eastAsia="zh-CN"/>
              </w:rPr>
              <w:t>的响应不完全，甲方有权索赔并拒绝验收</w:t>
            </w:r>
          </w:p>
        </w:tc>
        <w:tc>
          <w:tcPr>
            <w:tcW w:w="2125" w:type="dxa"/>
            <w:vAlign w:val="center"/>
          </w:tcPr>
          <w:p>
            <w:pPr>
              <w:jc w:val="center"/>
              <w:rPr>
                <w:szCs w:val="21"/>
                <w:highlight w:val="none"/>
                <w:lang w:eastAsia="zh-CN"/>
              </w:rPr>
            </w:pPr>
            <w:r>
              <w:rPr>
                <w:rFonts w:hint="eastAsia"/>
                <w:szCs w:val="21"/>
                <w:highlight w:val="none"/>
                <w:lang w:eastAsia="zh-CN"/>
              </w:rPr>
              <w:t>关键</w:t>
            </w:r>
          </w:p>
        </w:tc>
      </w:tr>
      <w:permEnd w:id="57"/>
    </w:tbl>
    <w:p>
      <w:pPr>
        <w:pStyle w:val="44"/>
        <w:numPr>
          <w:ilvl w:val="0"/>
          <w:numId w:val="3"/>
        </w:numPr>
        <w:spacing w:after="158" w:afterLines="50"/>
        <w:ind w:left="426" w:hanging="426" w:hangingChars="202"/>
        <w:outlineLvl w:val="0"/>
        <w:rPr>
          <w:rFonts w:ascii="Times New Roman" w:hAnsi="Times New Roman"/>
          <w:b/>
          <w:highlight w:val="none"/>
        </w:rPr>
      </w:pPr>
      <w:bookmarkStart w:id="45" w:name="_Toc522107746"/>
      <w:bookmarkStart w:id="46" w:name="_Toc522716126"/>
      <w:r>
        <w:rPr>
          <w:rFonts w:hint="eastAsia" w:ascii="Times New Roman" w:hAnsi="Times New Roman"/>
          <w:b/>
          <w:highlight w:val="none"/>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
    <w:tbl>
      <w:tblPr>
        <w:tblStyle w:val="19"/>
        <w:tblW w:w="10505" w:type="dxa"/>
        <w:tblInd w:w="93" w:type="dxa"/>
        <w:tblLayout w:type="autofit"/>
        <w:tblCellMar>
          <w:top w:w="0" w:type="dxa"/>
          <w:left w:w="108" w:type="dxa"/>
          <w:bottom w:w="0" w:type="dxa"/>
          <w:right w:w="108" w:type="dxa"/>
        </w:tblCellMar>
      </w:tblPr>
      <w:tblGrid>
        <w:gridCol w:w="920"/>
        <w:gridCol w:w="6892"/>
        <w:gridCol w:w="2693"/>
      </w:tblGrid>
      <w:tr>
        <w:tblPrEx>
          <w:tblCellMar>
            <w:top w:w="0" w:type="dxa"/>
            <w:left w:w="108" w:type="dxa"/>
            <w:bottom w:w="0" w:type="dxa"/>
            <w:right w:w="108" w:type="dxa"/>
          </w:tblCellMar>
        </w:tblPrEx>
        <w:trPr>
          <w:trHeight w:val="600" w:hRule="atLeast"/>
        </w:trPr>
        <w:tc>
          <w:tcPr>
            <w:tcW w:w="920" w:type="dxa"/>
            <w:tcBorders>
              <w:top w:val="single" w:color="auto" w:sz="4" w:space="0"/>
              <w:left w:val="single" w:color="auto" w:sz="4" w:space="0"/>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宋体" w:hAnsi="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序号</w:t>
            </w:r>
          </w:p>
        </w:tc>
        <w:tc>
          <w:tcPr>
            <w:tcW w:w="6892" w:type="dxa"/>
            <w:tcBorders>
              <w:top w:val="single" w:color="auto" w:sz="4" w:space="0"/>
              <w:left w:val="nil"/>
              <w:bottom w:val="single" w:color="auto" w:sz="4" w:space="0"/>
              <w:right w:val="single" w:color="auto" w:sz="4" w:space="0"/>
            </w:tcBorders>
            <w:shd w:val="clear" w:color="000000" w:fill="D9D9D9"/>
            <w:vAlign w:val="center"/>
          </w:tcPr>
          <w:p>
            <w:pPr>
              <w:overflowPunct/>
              <w:autoSpaceDE/>
              <w:autoSpaceDN/>
              <w:adjustRightInd/>
              <w:jc w:val="center"/>
              <w:textAlignment w:val="auto"/>
              <w:rPr>
                <w:rFonts w:ascii="宋体" w:hAnsi="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文件项目</w:t>
            </w:r>
          </w:p>
        </w:tc>
        <w:tc>
          <w:tcPr>
            <w:tcW w:w="2693" w:type="dxa"/>
            <w:tcBorders>
              <w:top w:val="single" w:color="auto" w:sz="4" w:space="0"/>
              <w:left w:val="nil"/>
              <w:bottom w:val="single" w:color="auto" w:sz="4" w:space="0"/>
              <w:right w:val="single" w:color="auto" w:sz="4" w:space="0"/>
            </w:tcBorders>
            <w:shd w:val="clear" w:color="000000" w:fill="D9D9D9"/>
            <w:noWrap/>
            <w:vAlign w:val="center"/>
          </w:tcPr>
          <w:p>
            <w:pPr>
              <w:overflowPunct/>
              <w:autoSpaceDE/>
              <w:autoSpaceDN/>
              <w:adjustRightInd/>
              <w:jc w:val="center"/>
              <w:textAlignment w:val="auto"/>
              <w:rPr>
                <w:rFonts w:ascii="宋体" w:hAnsi="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提交阶段及时限要求</w:t>
            </w:r>
          </w:p>
        </w:tc>
      </w:tr>
      <w:tr>
        <w:tblPrEx>
          <w:tblCellMar>
            <w:top w:w="0" w:type="dxa"/>
            <w:left w:w="108" w:type="dxa"/>
            <w:bottom w:w="0" w:type="dxa"/>
            <w:right w:w="108" w:type="dxa"/>
          </w:tblCellMar>
        </w:tblPrEx>
        <w:trPr>
          <w:trHeight w:val="600" w:hRule="atLeast"/>
        </w:trPr>
        <w:tc>
          <w:tcPr>
            <w:tcW w:w="1050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overflowPunct/>
              <w:autoSpaceDE/>
              <w:autoSpaceDN/>
              <w:adjustRightInd/>
              <w:textAlignment w:val="auto"/>
              <w:rPr>
                <w:rFonts w:ascii="宋体" w:hAnsi="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一、工程文件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设备交付计划表。</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DQ开始前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权限清单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OQ开始前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报警清单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OQ开始前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投标文件、合同及订单。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卖方发运清单及相关检验报告</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系统功能配置清单及说明，包含各组件名称、编号、型号、规格、品牌、材质等。</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系统选型文件，包括设备标准技术文件、功能说明、设计说明、软硬件配置清单与说明。</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DQ开始前完成审批</w:t>
            </w:r>
          </w:p>
        </w:tc>
      </w:tr>
      <w:tr>
        <w:tblPrEx>
          <w:tblCellMar>
            <w:top w:w="0" w:type="dxa"/>
            <w:left w:w="108" w:type="dxa"/>
            <w:bottom w:w="0" w:type="dxa"/>
            <w:right w:w="108" w:type="dxa"/>
          </w:tblCellMar>
        </w:tblPrEx>
        <w:trPr>
          <w:trHeight w:val="1644"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8</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图纸：实物图；各种确认、维修等活动所需的电子版及打印版图纸（P&amp;ID图、尺寸图、安装图、必要的细节图、控制原理图、设备装配图、设备工作原理图、气动原理图、电气原理图、控制盘面仪表、开关配置图等线图、PLC相关图纸、计算机化系统相关图纸等）；注释参考等；图纸清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不晚于IQ开始前</w:t>
            </w:r>
          </w:p>
        </w:tc>
      </w:tr>
      <w:tr>
        <w:tblPrEx>
          <w:tblCellMar>
            <w:top w:w="0" w:type="dxa"/>
            <w:left w:w="108" w:type="dxa"/>
            <w:bottom w:w="0" w:type="dxa"/>
            <w:right w:w="108" w:type="dxa"/>
          </w:tblCellMar>
        </w:tblPrEx>
        <w:trPr>
          <w:trHeight w:val="69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9</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配件清单、易损件清单、备件、消耗品、仪表清单：包括名称、编号、对应厂家名称、生产地、规格及必要说明。</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不晚于IQ开始前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设备厂家文件：出厂测试合格证、各关键组件说明书、相关检测报告、各种标示。</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不晚于IQ开始前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11</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设备安装文件：焊接证书、各种安装处理记录及报告</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不晚于IQ开始前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设备操作手册（SOP）：语言为中文，应说明校准周期，并能提供校准服务（此项服务可付费）。</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13</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校验报告及计量证书。</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不晚于IQ开始前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14</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安全报告。</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15</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各种必要的合格证，包括部件合格证、环路校验合格报告、材质证书等。</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16</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调试文件：调试计划、调试方案、设备测试记录，检测清单，测试报告，调试总结报告、现场验收报告等。</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不晚于IQ开始前</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17</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使用操作说明书及维护保养说明（即运行及维护手册）3份。</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18</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提供设备及其零部件使用寿命清单。</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19</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应有针对每一部件所作序号的简明图册，以便于维修人员查找和辩识。</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81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上述条款规定的文件需提供电子版，并在设备开箱验收时将最终批准的电子版及纸质版全套资料交工程技术部存档；开箱时无法提供的文件可在设备验收前提交给工程部。</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设备开箱验收</w:t>
            </w:r>
          </w:p>
        </w:tc>
      </w:tr>
      <w:tr>
        <w:tblPrEx>
          <w:tblCellMar>
            <w:top w:w="0" w:type="dxa"/>
            <w:left w:w="108" w:type="dxa"/>
            <w:bottom w:w="0" w:type="dxa"/>
            <w:right w:w="108" w:type="dxa"/>
          </w:tblCellMar>
        </w:tblPrEx>
        <w:trPr>
          <w:trHeight w:val="600" w:hRule="atLeast"/>
        </w:trPr>
        <w:tc>
          <w:tcPr>
            <w:tcW w:w="1050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overflowPunct/>
              <w:autoSpaceDE/>
              <w:autoSpaceDN/>
              <w:adjustRightInd/>
              <w:textAlignment w:val="auto"/>
              <w:rPr>
                <w:rFonts w:ascii="宋体" w:hAnsi="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二、验证文件</w:t>
            </w:r>
          </w:p>
        </w:tc>
      </w:tr>
      <w:tr>
        <w:tblPrEx>
          <w:tblCellMar>
            <w:top w:w="0" w:type="dxa"/>
            <w:left w:w="108" w:type="dxa"/>
            <w:bottom w:w="0" w:type="dxa"/>
            <w:right w:w="108" w:type="dxa"/>
          </w:tblCellMar>
        </w:tblPrEx>
        <w:trPr>
          <w:trHeight w:val="1155"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工厂验收测试（FAT）和现场验收测试（SAT）报告。</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FAT应在设备制造完成后出厂发货前完成审批并提交；SAT在设备安装调试后IQ开始前完成审批并提交</w:t>
            </w:r>
          </w:p>
        </w:tc>
      </w:tr>
      <w:tr>
        <w:tblPrEx>
          <w:tblCellMar>
            <w:top w:w="0" w:type="dxa"/>
            <w:left w:w="108" w:type="dxa"/>
            <w:bottom w:w="0"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满足GEP要求的项目文件交付包</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不晚于IQ开始前</w:t>
            </w:r>
          </w:p>
        </w:tc>
      </w:tr>
      <w:tr>
        <w:tblPrEx>
          <w:tblCellMar>
            <w:top w:w="0" w:type="dxa"/>
            <w:left w:w="108" w:type="dxa"/>
            <w:bottom w:w="0" w:type="dxa"/>
            <w:right w:w="108" w:type="dxa"/>
          </w:tblCellMar>
        </w:tblPrEx>
        <w:trPr>
          <w:trHeight w:val="690" w:hRule="atLeast"/>
        </w:trPr>
        <w:tc>
          <w:tcPr>
            <w:tcW w:w="920" w:type="dxa"/>
            <w:tcBorders>
              <w:top w:val="nil"/>
              <w:left w:val="single" w:color="auto" w:sz="4" w:space="0"/>
              <w:bottom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调试文件：调试计划、调试方案、设备测试记录，检测清单，测试报告，调试总结报告、现场验收报告等。</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不晚于IQ开始前</w:t>
            </w:r>
          </w:p>
        </w:tc>
      </w:tr>
      <w:tr>
        <w:tblPrEx>
          <w:tblCellMar>
            <w:top w:w="0" w:type="dxa"/>
            <w:left w:w="108" w:type="dxa"/>
            <w:bottom w:w="0" w:type="dxa"/>
            <w:right w:w="108" w:type="dxa"/>
          </w:tblCellMar>
        </w:tblPrEx>
        <w:trPr>
          <w:trHeight w:val="600" w:hRule="atLeast"/>
        </w:trPr>
        <w:tc>
          <w:tcPr>
            <w:tcW w:w="920" w:type="dxa"/>
            <w:vMerge w:val="restart"/>
            <w:tcBorders>
              <w:top w:val="nil"/>
              <w:left w:val="single" w:color="auto" w:sz="4" w:space="0"/>
              <w:right w:val="single" w:color="auto" w:sz="4" w:space="0"/>
            </w:tcBorders>
            <w:shd w:val="clear" w:color="auto" w:fill="auto"/>
            <w:vAlign w:val="center"/>
          </w:tcPr>
          <w:p>
            <w:pPr>
              <w:overflowPunct/>
              <w:autoSpaceDE/>
              <w:autoSpaceDN/>
              <w:adjustRightInd/>
              <w:jc w:val="center"/>
              <w:textAlignment w:val="auto"/>
              <w:rPr>
                <w:rFonts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验证文件：</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　</w:t>
            </w:r>
          </w:p>
        </w:tc>
      </w:tr>
      <w:tr>
        <w:tblPrEx>
          <w:tblCellMar>
            <w:top w:w="0" w:type="dxa"/>
            <w:left w:w="108" w:type="dxa"/>
            <w:bottom w:w="0" w:type="dxa"/>
            <w:right w:w="108" w:type="dxa"/>
          </w:tblCellMar>
        </w:tblPrEx>
        <w:trPr>
          <w:trHeight w:val="600" w:hRule="atLeast"/>
        </w:trPr>
        <w:tc>
          <w:tcPr>
            <w:tcW w:w="920" w:type="dxa"/>
            <w:vMerge w:val="continue"/>
            <w:tcBorders>
              <w:left w:val="single" w:color="auto" w:sz="4" w:space="0"/>
              <w:right w:val="single" w:color="auto" w:sz="4" w:space="0"/>
            </w:tcBorders>
            <w:vAlign w:val="center"/>
          </w:tcPr>
          <w:p>
            <w:pPr>
              <w:overflowPunct/>
              <w:autoSpaceDE/>
              <w:autoSpaceDN/>
              <w:adjustRightInd/>
              <w:textAlignment w:val="auto"/>
              <w:rPr>
                <w:rFonts w:ascii="宋体" w:hAnsi="宋体" w:cs="宋体"/>
                <w:color w:val="auto"/>
                <w:sz w:val="22"/>
                <w:szCs w:val="22"/>
                <w:highlight w:val="none"/>
                <w:lang w:val="en-US" w:eastAsia="zh-CN"/>
              </w:rPr>
            </w:pP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（1）验证计划</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设计阶段，设计确认开始前</w:t>
            </w:r>
          </w:p>
        </w:tc>
      </w:tr>
      <w:tr>
        <w:tblPrEx>
          <w:tblCellMar>
            <w:top w:w="0" w:type="dxa"/>
            <w:left w:w="108" w:type="dxa"/>
            <w:bottom w:w="0" w:type="dxa"/>
            <w:right w:w="108" w:type="dxa"/>
          </w:tblCellMar>
        </w:tblPrEx>
        <w:trPr>
          <w:trHeight w:val="600" w:hRule="atLeast"/>
        </w:trPr>
        <w:tc>
          <w:tcPr>
            <w:tcW w:w="920" w:type="dxa"/>
            <w:vMerge w:val="continue"/>
            <w:tcBorders>
              <w:left w:val="single" w:color="auto" w:sz="4" w:space="0"/>
              <w:right w:val="single" w:color="auto" w:sz="4" w:space="0"/>
            </w:tcBorders>
            <w:vAlign w:val="center"/>
          </w:tcPr>
          <w:p>
            <w:pPr>
              <w:overflowPunct/>
              <w:autoSpaceDE/>
              <w:autoSpaceDN/>
              <w:adjustRightInd/>
              <w:textAlignment w:val="auto"/>
              <w:rPr>
                <w:rFonts w:ascii="宋体" w:hAnsi="宋体" w:cs="宋体"/>
                <w:color w:val="auto"/>
                <w:sz w:val="22"/>
                <w:szCs w:val="22"/>
                <w:highlight w:val="none"/>
                <w:lang w:val="en-US" w:eastAsia="zh-CN"/>
              </w:rPr>
            </w:pP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（2）满足GMP和GAMP5等相关法规的评估文件</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系统影响性评估、计算机化系统影响性评估在DQ开始前</w:t>
            </w:r>
          </w:p>
        </w:tc>
      </w:tr>
      <w:tr>
        <w:tblPrEx>
          <w:tblCellMar>
            <w:top w:w="0" w:type="dxa"/>
            <w:left w:w="108" w:type="dxa"/>
            <w:bottom w:w="0" w:type="dxa"/>
            <w:right w:w="108" w:type="dxa"/>
          </w:tblCellMar>
        </w:tblPrEx>
        <w:trPr>
          <w:trHeight w:val="600" w:hRule="atLeast"/>
        </w:trPr>
        <w:tc>
          <w:tcPr>
            <w:tcW w:w="920" w:type="dxa"/>
            <w:vMerge w:val="continue"/>
            <w:tcBorders>
              <w:left w:val="single" w:color="auto" w:sz="4" w:space="0"/>
              <w:right w:val="single" w:color="auto" w:sz="4" w:space="0"/>
            </w:tcBorders>
            <w:vAlign w:val="center"/>
          </w:tcPr>
          <w:p>
            <w:pPr>
              <w:overflowPunct/>
              <w:autoSpaceDE/>
              <w:autoSpaceDN/>
              <w:adjustRightInd/>
              <w:textAlignment w:val="auto"/>
              <w:rPr>
                <w:rFonts w:ascii="宋体" w:hAnsi="宋体" w:cs="宋体"/>
                <w:color w:val="auto"/>
                <w:sz w:val="22"/>
                <w:szCs w:val="22"/>
                <w:highlight w:val="none"/>
                <w:lang w:val="en-US" w:eastAsia="zh-CN"/>
              </w:rPr>
            </w:pP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（3）设计确认及文件（DQ）</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设计完成后，制造及安装开始前完成审批并提交</w:t>
            </w:r>
          </w:p>
        </w:tc>
      </w:tr>
      <w:tr>
        <w:tblPrEx>
          <w:tblCellMar>
            <w:top w:w="0" w:type="dxa"/>
            <w:left w:w="108" w:type="dxa"/>
            <w:bottom w:w="0" w:type="dxa"/>
            <w:right w:w="108" w:type="dxa"/>
          </w:tblCellMar>
        </w:tblPrEx>
        <w:trPr>
          <w:trHeight w:val="600" w:hRule="atLeast"/>
        </w:trPr>
        <w:tc>
          <w:tcPr>
            <w:tcW w:w="920" w:type="dxa"/>
            <w:vMerge w:val="continue"/>
            <w:tcBorders>
              <w:left w:val="single" w:color="auto" w:sz="4" w:space="0"/>
              <w:right w:val="single" w:color="auto" w:sz="4" w:space="0"/>
            </w:tcBorders>
            <w:vAlign w:val="center"/>
          </w:tcPr>
          <w:p>
            <w:pPr>
              <w:overflowPunct/>
              <w:autoSpaceDE/>
              <w:autoSpaceDN/>
              <w:adjustRightInd/>
              <w:textAlignment w:val="auto"/>
              <w:rPr>
                <w:rFonts w:ascii="宋体" w:hAnsi="宋体" w:cs="宋体"/>
                <w:color w:val="auto"/>
                <w:sz w:val="22"/>
                <w:szCs w:val="22"/>
                <w:highlight w:val="none"/>
                <w:lang w:val="en-US" w:eastAsia="zh-CN"/>
              </w:rPr>
            </w:pP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（4）安装确认及文件（IQ）</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SAT批准后开始执行，OQ开始前完成审批并提交</w:t>
            </w:r>
          </w:p>
        </w:tc>
      </w:tr>
      <w:tr>
        <w:tblPrEx>
          <w:tblCellMar>
            <w:top w:w="0" w:type="dxa"/>
            <w:left w:w="108" w:type="dxa"/>
            <w:bottom w:w="0" w:type="dxa"/>
            <w:right w:w="108" w:type="dxa"/>
          </w:tblCellMar>
        </w:tblPrEx>
        <w:trPr>
          <w:trHeight w:val="600" w:hRule="atLeast"/>
        </w:trPr>
        <w:tc>
          <w:tcPr>
            <w:tcW w:w="920" w:type="dxa"/>
            <w:vMerge w:val="continue"/>
            <w:tcBorders>
              <w:left w:val="single" w:color="auto" w:sz="4" w:space="0"/>
              <w:right w:val="single" w:color="auto" w:sz="4" w:space="0"/>
            </w:tcBorders>
            <w:vAlign w:val="center"/>
          </w:tcPr>
          <w:p>
            <w:pPr>
              <w:overflowPunct/>
              <w:autoSpaceDE/>
              <w:autoSpaceDN/>
              <w:adjustRightInd/>
              <w:textAlignment w:val="auto"/>
              <w:rPr>
                <w:rFonts w:ascii="宋体" w:hAnsi="宋体" w:cs="宋体"/>
                <w:color w:val="auto"/>
                <w:sz w:val="22"/>
                <w:szCs w:val="22"/>
                <w:highlight w:val="none"/>
                <w:lang w:val="en-US" w:eastAsia="zh-CN"/>
              </w:rPr>
            </w:pP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（5）运行确认及文件（OQ）</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IQ批准后开始执行，PQ开始前完成审批并提交</w:t>
            </w:r>
          </w:p>
        </w:tc>
      </w:tr>
      <w:tr>
        <w:tblPrEx>
          <w:tblCellMar>
            <w:top w:w="0" w:type="dxa"/>
            <w:left w:w="108" w:type="dxa"/>
            <w:bottom w:w="0" w:type="dxa"/>
            <w:right w:w="108" w:type="dxa"/>
          </w:tblCellMar>
        </w:tblPrEx>
        <w:trPr>
          <w:trHeight w:val="600" w:hRule="atLeast"/>
        </w:trPr>
        <w:tc>
          <w:tcPr>
            <w:tcW w:w="920" w:type="dxa"/>
            <w:vMerge w:val="continue"/>
            <w:tcBorders>
              <w:left w:val="single" w:color="auto" w:sz="4" w:space="0"/>
              <w:right w:val="single" w:color="auto" w:sz="4" w:space="0"/>
            </w:tcBorders>
            <w:vAlign w:val="center"/>
          </w:tcPr>
          <w:p>
            <w:pPr>
              <w:overflowPunct/>
              <w:autoSpaceDE/>
              <w:autoSpaceDN/>
              <w:adjustRightInd/>
              <w:textAlignment w:val="auto"/>
              <w:rPr>
                <w:rFonts w:ascii="宋体" w:hAnsi="宋体" w:cs="宋体"/>
                <w:color w:val="000000"/>
                <w:sz w:val="22"/>
                <w:szCs w:val="22"/>
                <w:highlight w:val="none"/>
                <w:lang w:val="en-US" w:eastAsia="zh-CN"/>
              </w:rPr>
            </w:pPr>
          </w:p>
        </w:tc>
        <w:tc>
          <w:tcPr>
            <w:tcW w:w="6892" w:type="dxa"/>
            <w:tcBorders>
              <w:top w:val="nil"/>
              <w:left w:val="nil"/>
              <w:bottom w:val="single" w:color="auto" w:sz="4" w:space="0"/>
              <w:right w:val="single" w:color="auto" w:sz="4" w:space="0"/>
            </w:tcBorders>
            <w:shd w:val="clear" w:color="auto" w:fill="auto"/>
            <w:vAlign w:val="center"/>
          </w:tcPr>
          <w:p>
            <w:pPr>
              <w:overflowPunct/>
              <w:autoSpaceDE/>
              <w:autoSpaceDN/>
              <w:adjustRightInd/>
              <w:jc w:val="both"/>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（6）性能确认及文件（PQ）</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hint="eastAsia"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OQ批准后开始执行</w:t>
            </w:r>
          </w:p>
        </w:tc>
      </w:tr>
      <w:tr>
        <w:tblPrEx>
          <w:tblCellMar>
            <w:top w:w="0" w:type="dxa"/>
            <w:left w:w="108" w:type="dxa"/>
            <w:bottom w:w="0" w:type="dxa"/>
            <w:right w:w="108" w:type="dxa"/>
          </w:tblCellMar>
        </w:tblPrEx>
        <w:trPr>
          <w:trHeight w:val="930" w:hRule="atLeast"/>
        </w:trPr>
        <w:tc>
          <w:tcPr>
            <w:tcW w:w="920" w:type="dxa"/>
            <w:vMerge w:val="continue"/>
            <w:tcBorders>
              <w:left w:val="single" w:color="auto" w:sz="4" w:space="0"/>
              <w:right w:val="single" w:color="auto" w:sz="4" w:space="0"/>
            </w:tcBorders>
            <w:vAlign w:val="center"/>
          </w:tcPr>
          <w:p>
            <w:pPr>
              <w:overflowPunct/>
              <w:autoSpaceDE/>
              <w:autoSpaceDN/>
              <w:adjustRightInd/>
              <w:textAlignment w:val="auto"/>
              <w:rPr>
                <w:rFonts w:ascii="宋体" w:hAnsi="宋体" w:cs="宋体"/>
                <w:color w:val="000000"/>
                <w:sz w:val="22"/>
                <w:szCs w:val="22"/>
                <w:highlight w:val="none"/>
                <w:lang w:val="en-US" w:eastAsia="zh-CN"/>
              </w:rPr>
            </w:pPr>
          </w:p>
        </w:tc>
        <w:tc>
          <w:tcPr>
            <w:tcW w:w="68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both"/>
              <w:textAlignment w:val="auto"/>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（7）追溯矩阵（RTM）</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PQ完成后开始起草，最终验收前提交</w:t>
            </w:r>
          </w:p>
        </w:tc>
      </w:tr>
      <w:tr>
        <w:tblPrEx>
          <w:tblCellMar>
            <w:top w:w="0" w:type="dxa"/>
            <w:left w:w="108" w:type="dxa"/>
            <w:bottom w:w="0" w:type="dxa"/>
            <w:right w:w="108" w:type="dxa"/>
          </w:tblCellMar>
        </w:tblPrEx>
        <w:trPr>
          <w:trHeight w:val="600" w:hRule="atLeast"/>
        </w:trPr>
        <w:tc>
          <w:tcPr>
            <w:tcW w:w="920" w:type="dxa"/>
            <w:vMerge w:val="continue"/>
            <w:tcBorders>
              <w:left w:val="single" w:color="auto" w:sz="4" w:space="0"/>
              <w:bottom w:val="single" w:color="000000" w:sz="4" w:space="0"/>
              <w:right w:val="single" w:color="auto" w:sz="4" w:space="0"/>
            </w:tcBorders>
            <w:vAlign w:val="center"/>
          </w:tcPr>
          <w:p>
            <w:pPr>
              <w:overflowPunct/>
              <w:autoSpaceDE/>
              <w:autoSpaceDN/>
              <w:adjustRightInd/>
              <w:textAlignment w:val="auto"/>
              <w:rPr>
                <w:rFonts w:ascii="宋体" w:hAnsi="宋体" w:cs="宋体"/>
                <w:color w:val="000000"/>
                <w:sz w:val="22"/>
                <w:szCs w:val="22"/>
                <w:highlight w:val="none"/>
                <w:lang w:val="en-US" w:eastAsia="zh-CN"/>
              </w:rPr>
            </w:pPr>
          </w:p>
        </w:tc>
        <w:tc>
          <w:tcPr>
            <w:tcW w:w="68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textAlignment w:val="auto"/>
              <w:rPr>
                <w:rFonts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（8）验证总结报告（VSR）</w:t>
            </w:r>
          </w:p>
        </w:tc>
        <w:tc>
          <w:tcPr>
            <w:tcW w:w="2693" w:type="dxa"/>
            <w:tcBorders>
              <w:top w:val="nil"/>
              <w:left w:val="nil"/>
              <w:bottom w:val="single" w:color="auto" w:sz="4" w:space="0"/>
              <w:right w:val="single" w:color="auto" w:sz="4" w:space="0"/>
            </w:tcBorders>
            <w:shd w:val="clear" w:color="auto" w:fill="auto"/>
            <w:vAlign w:val="center"/>
          </w:tcPr>
          <w:p>
            <w:pPr>
              <w:overflowPunct/>
              <w:autoSpaceDE/>
              <w:autoSpaceDN/>
              <w:adjustRightInd/>
              <w:textAlignment w:val="auto"/>
              <w:rPr>
                <w:rFonts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PQ完成后开始起草，最终验收前提交</w:t>
            </w:r>
          </w:p>
        </w:tc>
      </w:tr>
    </w:tbl>
    <w:p>
      <w:pPr>
        <w:pStyle w:val="44"/>
        <w:spacing w:after="158" w:afterLines="50"/>
        <w:ind w:left="426" w:firstLine="0" w:firstLineChars="0"/>
        <w:outlineLvl w:val="0"/>
        <w:rPr>
          <w:rFonts w:ascii="Times New Roman" w:hAnsi="Times New Roman"/>
          <w:highlight w:val="none"/>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846" w:hanging="420"/>
      </w:pPr>
      <w:rPr>
        <w:rFonts w:hint="eastAsia" w:cs="Times New Roman"/>
        <w:color w:val="auto"/>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338533DB"/>
    <w:multiLevelType w:val="multilevel"/>
    <w:tmpl w:val="338533D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686546ED"/>
    <w:multiLevelType w:val="multilevel"/>
    <w:tmpl w:val="686546ED"/>
    <w:lvl w:ilvl="0" w:tentative="0">
      <w:start w:val="1"/>
      <w:numFmt w:val="decimal"/>
      <w:pStyle w:val="49"/>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noLineBreaksAfter w:lang="zh-CN" w:val="$([{£¥·‘“〈《「『【〔〖〝﹙﹛﹝＄（．［｛￡￥"/>
  <w:noLineBreaksBefore w:lang="zh-CN" w:val="!%),.:;&gt;?]}¢¨°·ˇˉ―‖’”…‰′″›℃∶、。〃〉》」』】〕〗〞︶︺︾﹀﹄﹚﹜﹞！＂％＇），．：；？］｀｜｝～￠"/>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0311"/>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35"/>
    <w:rsid w:val="000355F3"/>
    <w:rsid w:val="00037987"/>
    <w:rsid w:val="00037F15"/>
    <w:rsid w:val="00037F55"/>
    <w:rsid w:val="000404F1"/>
    <w:rsid w:val="00041104"/>
    <w:rsid w:val="00041318"/>
    <w:rsid w:val="000419D7"/>
    <w:rsid w:val="00041A2A"/>
    <w:rsid w:val="00041D89"/>
    <w:rsid w:val="00044DFD"/>
    <w:rsid w:val="000467C2"/>
    <w:rsid w:val="00046B5E"/>
    <w:rsid w:val="00047038"/>
    <w:rsid w:val="00047BA8"/>
    <w:rsid w:val="00047CAF"/>
    <w:rsid w:val="0005299A"/>
    <w:rsid w:val="00053A4C"/>
    <w:rsid w:val="00054BB1"/>
    <w:rsid w:val="00055324"/>
    <w:rsid w:val="00055ED6"/>
    <w:rsid w:val="00056478"/>
    <w:rsid w:val="00056AE2"/>
    <w:rsid w:val="00056E9E"/>
    <w:rsid w:val="00057046"/>
    <w:rsid w:val="000576C2"/>
    <w:rsid w:val="00063572"/>
    <w:rsid w:val="00063B90"/>
    <w:rsid w:val="00064A43"/>
    <w:rsid w:val="000662D2"/>
    <w:rsid w:val="00071DD4"/>
    <w:rsid w:val="000721E9"/>
    <w:rsid w:val="00072340"/>
    <w:rsid w:val="00072945"/>
    <w:rsid w:val="00073B81"/>
    <w:rsid w:val="0007673E"/>
    <w:rsid w:val="00077AE1"/>
    <w:rsid w:val="000818AC"/>
    <w:rsid w:val="00082C13"/>
    <w:rsid w:val="00083D58"/>
    <w:rsid w:val="000844A8"/>
    <w:rsid w:val="00084F90"/>
    <w:rsid w:val="00086CA0"/>
    <w:rsid w:val="00087002"/>
    <w:rsid w:val="000872FD"/>
    <w:rsid w:val="00091715"/>
    <w:rsid w:val="00092C03"/>
    <w:rsid w:val="00096510"/>
    <w:rsid w:val="00097A7D"/>
    <w:rsid w:val="00097CA2"/>
    <w:rsid w:val="000A0E93"/>
    <w:rsid w:val="000A1D9E"/>
    <w:rsid w:val="000A2664"/>
    <w:rsid w:val="000A2C3C"/>
    <w:rsid w:val="000A41DA"/>
    <w:rsid w:val="000A55CC"/>
    <w:rsid w:val="000A5CEE"/>
    <w:rsid w:val="000A6423"/>
    <w:rsid w:val="000A6661"/>
    <w:rsid w:val="000B02ED"/>
    <w:rsid w:val="000B02FD"/>
    <w:rsid w:val="000B068C"/>
    <w:rsid w:val="000B116E"/>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531"/>
    <w:rsid w:val="000F706D"/>
    <w:rsid w:val="000F7CA7"/>
    <w:rsid w:val="001003A8"/>
    <w:rsid w:val="00100F65"/>
    <w:rsid w:val="0010110F"/>
    <w:rsid w:val="00102DC9"/>
    <w:rsid w:val="001031DF"/>
    <w:rsid w:val="00103F05"/>
    <w:rsid w:val="00104160"/>
    <w:rsid w:val="0010503D"/>
    <w:rsid w:val="00106124"/>
    <w:rsid w:val="00106571"/>
    <w:rsid w:val="00106B5D"/>
    <w:rsid w:val="00110CF0"/>
    <w:rsid w:val="001120B7"/>
    <w:rsid w:val="0011231F"/>
    <w:rsid w:val="00112670"/>
    <w:rsid w:val="00112DD4"/>
    <w:rsid w:val="00112F30"/>
    <w:rsid w:val="00113186"/>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074"/>
    <w:rsid w:val="00182A27"/>
    <w:rsid w:val="00184DDD"/>
    <w:rsid w:val="00184FFD"/>
    <w:rsid w:val="00185449"/>
    <w:rsid w:val="00186314"/>
    <w:rsid w:val="00187B04"/>
    <w:rsid w:val="00190000"/>
    <w:rsid w:val="001929C2"/>
    <w:rsid w:val="00192B8F"/>
    <w:rsid w:val="00193D66"/>
    <w:rsid w:val="00194BB7"/>
    <w:rsid w:val="001A1DE7"/>
    <w:rsid w:val="001A3BB0"/>
    <w:rsid w:val="001A4151"/>
    <w:rsid w:val="001A4947"/>
    <w:rsid w:val="001A64C0"/>
    <w:rsid w:val="001A685F"/>
    <w:rsid w:val="001A7EB6"/>
    <w:rsid w:val="001A7FE4"/>
    <w:rsid w:val="001B0278"/>
    <w:rsid w:val="001B1659"/>
    <w:rsid w:val="001B28C8"/>
    <w:rsid w:val="001B4654"/>
    <w:rsid w:val="001C017B"/>
    <w:rsid w:val="001C239E"/>
    <w:rsid w:val="001C2D7E"/>
    <w:rsid w:val="001C7475"/>
    <w:rsid w:val="001D1FA0"/>
    <w:rsid w:val="001D32D4"/>
    <w:rsid w:val="001D3C96"/>
    <w:rsid w:val="001D4383"/>
    <w:rsid w:val="001D4742"/>
    <w:rsid w:val="001D474B"/>
    <w:rsid w:val="001D48B0"/>
    <w:rsid w:val="001D4DFC"/>
    <w:rsid w:val="001D5549"/>
    <w:rsid w:val="001D55FB"/>
    <w:rsid w:val="001E0376"/>
    <w:rsid w:val="001E13E0"/>
    <w:rsid w:val="001E2B2B"/>
    <w:rsid w:val="001E353E"/>
    <w:rsid w:val="001E3CBE"/>
    <w:rsid w:val="001E5657"/>
    <w:rsid w:val="001E5F94"/>
    <w:rsid w:val="001E6BFB"/>
    <w:rsid w:val="001E744F"/>
    <w:rsid w:val="001F065A"/>
    <w:rsid w:val="001F1FE7"/>
    <w:rsid w:val="001F25DD"/>
    <w:rsid w:val="001F3552"/>
    <w:rsid w:val="001F473D"/>
    <w:rsid w:val="001F4BFD"/>
    <w:rsid w:val="001F7405"/>
    <w:rsid w:val="001F7E95"/>
    <w:rsid w:val="0020063E"/>
    <w:rsid w:val="0020132B"/>
    <w:rsid w:val="00201487"/>
    <w:rsid w:val="002035EB"/>
    <w:rsid w:val="00203D68"/>
    <w:rsid w:val="0020539A"/>
    <w:rsid w:val="00205E00"/>
    <w:rsid w:val="00206107"/>
    <w:rsid w:val="002070B2"/>
    <w:rsid w:val="0020756B"/>
    <w:rsid w:val="00210177"/>
    <w:rsid w:val="00212297"/>
    <w:rsid w:val="002129BC"/>
    <w:rsid w:val="00212BD9"/>
    <w:rsid w:val="00213AA9"/>
    <w:rsid w:val="002168FE"/>
    <w:rsid w:val="00216D00"/>
    <w:rsid w:val="00217048"/>
    <w:rsid w:val="002174E3"/>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5FB"/>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4DFC"/>
    <w:rsid w:val="0027577D"/>
    <w:rsid w:val="00275F43"/>
    <w:rsid w:val="002810E3"/>
    <w:rsid w:val="00282EAA"/>
    <w:rsid w:val="0028384D"/>
    <w:rsid w:val="002845E4"/>
    <w:rsid w:val="0028525D"/>
    <w:rsid w:val="002860DB"/>
    <w:rsid w:val="002862E8"/>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2C95"/>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2798"/>
    <w:rsid w:val="002E3B36"/>
    <w:rsid w:val="002E4F75"/>
    <w:rsid w:val="002E59BF"/>
    <w:rsid w:val="002E63F6"/>
    <w:rsid w:val="002E69A1"/>
    <w:rsid w:val="002F1C5E"/>
    <w:rsid w:val="002F1D63"/>
    <w:rsid w:val="002F2B48"/>
    <w:rsid w:val="002F340E"/>
    <w:rsid w:val="002F4392"/>
    <w:rsid w:val="002F4641"/>
    <w:rsid w:val="002F4B22"/>
    <w:rsid w:val="002F5F64"/>
    <w:rsid w:val="002F61D2"/>
    <w:rsid w:val="00302176"/>
    <w:rsid w:val="00302AF8"/>
    <w:rsid w:val="003030A1"/>
    <w:rsid w:val="00303D24"/>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532"/>
    <w:rsid w:val="00330D16"/>
    <w:rsid w:val="00330FFF"/>
    <w:rsid w:val="00333A6B"/>
    <w:rsid w:val="00333C91"/>
    <w:rsid w:val="0033695C"/>
    <w:rsid w:val="00341B2F"/>
    <w:rsid w:val="00342915"/>
    <w:rsid w:val="00344B04"/>
    <w:rsid w:val="00345847"/>
    <w:rsid w:val="00347576"/>
    <w:rsid w:val="00347772"/>
    <w:rsid w:val="00347A51"/>
    <w:rsid w:val="00347B19"/>
    <w:rsid w:val="003531FA"/>
    <w:rsid w:val="0035416F"/>
    <w:rsid w:val="003549FE"/>
    <w:rsid w:val="00354F65"/>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2C5A"/>
    <w:rsid w:val="00393529"/>
    <w:rsid w:val="00393B6A"/>
    <w:rsid w:val="003946C3"/>
    <w:rsid w:val="00395CE1"/>
    <w:rsid w:val="00395D47"/>
    <w:rsid w:val="00396425"/>
    <w:rsid w:val="003970BE"/>
    <w:rsid w:val="00397C18"/>
    <w:rsid w:val="003A04A8"/>
    <w:rsid w:val="003A1311"/>
    <w:rsid w:val="003A2EC5"/>
    <w:rsid w:val="003A38BC"/>
    <w:rsid w:val="003A3AAC"/>
    <w:rsid w:val="003A4CAE"/>
    <w:rsid w:val="003A6DFE"/>
    <w:rsid w:val="003A6FCD"/>
    <w:rsid w:val="003B096A"/>
    <w:rsid w:val="003B0B6A"/>
    <w:rsid w:val="003B1FF2"/>
    <w:rsid w:val="003B2104"/>
    <w:rsid w:val="003B2160"/>
    <w:rsid w:val="003B354C"/>
    <w:rsid w:val="003B355B"/>
    <w:rsid w:val="003B4A5D"/>
    <w:rsid w:val="003B5047"/>
    <w:rsid w:val="003B6A6F"/>
    <w:rsid w:val="003B6E29"/>
    <w:rsid w:val="003B73AB"/>
    <w:rsid w:val="003C02C6"/>
    <w:rsid w:val="003C03D7"/>
    <w:rsid w:val="003C0712"/>
    <w:rsid w:val="003C5198"/>
    <w:rsid w:val="003C558E"/>
    <w:rsid w:val="003C6ECF"/>
    <w:rsid w:val="003C73BC"/>
    <w:rsid w:val="003D2243"/>
    <w:rsid w:val="003D3C09"/>
    <w:rsid w:val="003D464A"/>
    <w:rsid w:val="003D4EFF"/>
    <w:rsid w:val="003D5F4A"/>
    <w:rsid w:val="003D662C"/>
    <w:rsid w:val="003D77E5"/>
    <w:rsid w:val="003E205E"/>
    <w:rsid w:val="003E49F8"/>
    <w:rsid w:val="003E5109"/>
    <w:rsid w:val="003E60EE"/>
    <w:rsid w:val="003E6B48"/>
    <w:rsid w:val="003E748F"/>
    <w:rsid w:val="003F3F47"/>
    <w:rsid w:val="003F6E0C"/>
    <w:rsid w:val="004003A8"/>
    <w:rsid w:val="00400A96"/>
    <w:rsid w:val="0040240E"/>
    <w:rsid w:val="00402756"/>
    <w:rsid w:val="004058B0"/>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9A2"/>
    <w:rsid w:val="00436C7C"/>
    <w:rsid w:val="00437440"/>
    <w:rsid w:val="00440378"/>
    <w:rsid w:val="00442B53"/>
    <w:rsid w:val="00443256"/>
    <w:rsid w:val="00444D2D"/>
    <w:rsid w:val="00445767"/>
    <w:rsid w:val="004510B1"/>
    <w:rsid w:val="00451C5D"/>
    <w:rsid w:val="00451D74"/>
    <w:rsid w:val="00452E73"/>
    <w:rsid w:val="004541F3"/>
    <w:rsid w:val="004565EF"/>
    <w:rsid w:val="00457A6D"/>
    <w:rsid w:val="00457FA3"/>
    <w:rsid w:val="00457FF9"/>
    <w:rsid w:val="004601ED"/>
    <w:rsid w:val="00460711"/>
    <w:rsid w:val="0046108B"/>
    <w:rsid w:val="00467AE6"/>
    <w:rsid w:val="00467EC9"/>
    <w:rsid w:val="00476DA7"/>
    <w:rsid w:val="00477791"/>
    <w:rsid w:val="00480286"/>
    <w:rsid w:val="00480C3B"/>
    <w:rsid w:val="00480FE3"/>
    <w:rsid w:val="00481C94"/>
    <w:rsid w:val="00484A8D"/>
    <w:rsid w:val="00486A4E"/>
    <w:rsid w:val="00486B09"/>
    <w:rsid w:val="00491225"/>
    <w:rsid w:val="0049139F"/>
    <w:rsid w:val="00493743"/>
    <w:rsid w:val="004937C7"/>
    <w:rsid w:val="00494F07"/>
    <w:rsid w:val="00496116"/>
    <w:rsid w:val="004965A0"/>
    <w:rsid w:val="00497335"/>
    <w:rsid w:val="004A05A7"/>
    <w:rsid w:val="004A3F98"/>
    <w:rsid w:val="004A5532"/>
    <w:rsid w:val="004A5958"/>
    <w:rsid w:val="004A76DF"/>
    <w:rsid w:val="004B067C"/>
    <w:rsid w:val="004B0A75"/>
    <w:rsid w:val="004B2190"/>
    <w:rsid w:val="004B696A"/>
    <w:rsid w:val="004B69B2"/>
    <w:rsid w:val="004B7507"/>
    <w:rsid w:val="004B7DC4"/>
    <w:rsid w:val="004B7F85"/>
    <w:rsid w:val="004C0219"/>
    <w:rsid w:val="004C099B"/>
    <w:rsid w:val="004C0CFC"/>
    <w:rsid w:val="004C42AE"/>
    <w:rsid w:val="004C49B0"/>
    <w:rsid w:val="004C4F53"/>
    <w:rsid w:val="004C4F7F"/>
    <w:rsid w:val="004C592E"/>
    <w:rsid w:val="004D050F"/>
    <w:rsid w:val="004D0E3A"/>
    <w:rsid w:val="004D1A73"/>
    <w:rsid w:val="004D360D"/>
    <w:rsid w:val="004D48C2"/>
    <w:rsid w:val="004D67B1"/>
    <w:rsid w:val="004D7128"/>
    <w:rsid w:val="004D751D"/>
    <w:rsid w:val="004E05C2"/>
    <w:rsid w:val="004E0B02"/>
    <w:rsid w:val="004E0C0D"/>
    <w:rsid w:val="004E1C74"/>
    <w:rsid w:val="004E255F"/>
    <w:rsid w:val="004E4C2D"/>
    <w:rsid w:val="004F0539"/>
    <w:rsid w:val="004F10A4"/>
    <w:rsid w:val="004F342E"/>
    <w:rsid w:val="004F469C"/>
    <w:rsid w:val="004F4C63"/>
    <w:rsid w:val="004F5AE6"/>
    <w:rsid w:val="004F5C19"/>
    <w:rsid w:val="004F7167"/>
    <w:rsid w:val="004F7B6A"/>
    <w:rsid w:val="004F7ECC"/>
    <w:rsid w:val="0050090F"/>
    <w:rsid w:val="0050208D"/>
    <w:rsid w:val="0050284B"/>
    <w:rsid w:val="00502F99"/>
    <w:rsid w:val="00504B71"/>
    <w:rsid w:val="005072E8"/>
    <w:rsid w:val="00507991"/>
    <w:rsid w:val="00507C94"/>
    <w:rsid w:val="00507EB2"/>
    <w:rsid w:val="00510111"/>
    <w:rsid w:val="00511AB4"/>
    <w:rsid w:val="00512690"/>
    <w:rsid w:val="00512A4E"/>
    <w:rsid w:val="00514EA4"/>
    <w:rsid w:val="00514FD3"/>
    <w:rsid w:val="00516BB4"/>
    <w:rsid w:val="00517A5D"/>
    <w:rsid w:val="00517E1E"/>
    <w:rsid w:val="005217E8"/>
    <w:rsid w:val="005220FE"/>
    <w:rsid w:val="005247DE"/>
    <w:rsid w:val="00525C58"/>
    <w:rsid w:val="00527A49"/>
    <w:rsid w:val="00530B8F"/>
    <w:rsid w:val="00531434"/>
    <w:rsid w:val="00531754"/>
    <w:rsid w:val="00534840"/>
    <w:rsid w:val="00534D08"/>
    <w:rsid w:val="00535984"/>
    <w:rsid w:val="00536973"/>
    <w:rsid w:val="00536C6B"/>
    <w:rsid w:val="005424BC"/>
    <w:rsid w:val="00544652"/>
    <w:rsid w:val="0054625B"/>
    <w:rsid w:val="00551539"/>
    <w:rsid w:val="00551A74"/>
    <w:rsid w:val="00552EFE"/>
    <w:rsid w:val="00554ABB"/>
    <w:rsid w:val="0055552D"/>
    <w:rsid w:val="00555668"/>
    <w:rsid w:val="0055679E"/>
    <w:rsid w:val="0056090D"/>
    <w:rsid w:val="00561E9C"/>
    <w:rsid w:val="00565C7A"/>
    <w:rsid w:val="00567E14"/>
    <w:rsid w:val="005705A7"/>
    <w:rsid w:val="005705C6"/>
    <w:rsid w:val="005712E0"/>
    <w:rsid w:val="0057277E"/>
    <w:rsid w:val="00572F0E"/>
    <w:rsid w:val="00574095"/>
    <w:rsid w:val="00574D60"/>
    <w:rsid w:val="00575318"/>
    <w:rsid w:val="00577142"/>
    <w:rsid w:val="005773E5"/>
    <w:rsid w:val="00581AD5"/>
    <w:rsid w:val="00581C4E"/>
    <w:rsid w:val="00582DB0"/>
    <w:rsid w:val="00584B8E"/>
    <w:rsid w:val="00586EFD"/>
    <w:rsid w:val="00587AC1"/>
    <w:rsid w:val="00587DE8"/>
    <w:rsid w:val="00590694"/>
    <w:rsid w:val="00590867"/>
    <w:rsid w:val="00590AA6"/>
    <w:rsid w:val="00591A70"/>
    <w:rsid w:val="00592624"/>
    <w:rsid w:val="00593AF8"/>
    <w:rsid w:val="00593EC9"/>
    <w:rsid w:val="005964B1"/>
    <w:rsid w:val="005965FD"/>
    <w:rsid w:val="00597814"/>
    <w:rsid w:val="00597FCC"/>
    <w:rsid w:val="005A132A"/>
    <w:rsid w:val="005A3067"/>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6E32"/>
    <w:rsid w:val="00607170"/>
    <w:rsid w:val="00607408"/>
    <w:rsid w:val="00610AEE"/>
    <w:rsid w:val="00610EE9"/>
    <w:rsid w:val="006111B2"/>
    <w:rsid w:val="00616BAC"/>
    <w:rsid w:val="00620598"/>
    <w:rsid w:val="00620FEC"/>
    <w:rsid w:val="006214DC"/>
    <w:rsid w:val="006215E2"/>
    <w:rsid w:val="0062168F"/>
    <w:rsid w:val="006221A2"/>
    <w:rsid w:val="00625A0E"/>
    <w:rsid w:val="00627113"/>
    <w:rsid w:val="00627B8B"/>
    <w:rsid w:val="00627E72"/>
    <w:rsid w:val="0063106D"/>
    <w:rsid w:val="006312FF"/>
    <w:rsid w:val="00632136"/>
    <w:rsid w:val="006324C1"/>
    <w:rsid w:val="00632C67"/>
    <w:rsid w:val="006331B6"/>
    <w:rsid w:val="00633310"/>
    <w:rsid w:val="00633315"/>
    <w:rsid w:val="0063397D"/>
    <w:rsid w:val="00635E2B"/>
    <w:rsid w:val="006366CC"/>
    <w:rsid w:val="00637C16"/>
    <w:rsid w:val="0064048E"/>
    <w:rsid w:val="00641320"/>
    <w:rsid w:val="00641E74"/>
    <w:rsid w:val="006434E3"/>
    <w:rsid w:val="0064366A"/>
    <w:rsid w:val="00645188"/>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6249"/>
    <w:rsid w:val="00667045"/>
    <w:rsid w:val="00670A00"/>
    <w:rsid w:val="00670C23"/>
    <w:rsid w:val="00671B3F"/>
    <w:rsid w:val="00672B86"/>
    <w:rsid w:val="00673031"/>
    <w:rsid w:val="00673EB3"/>
    <w:rsid w:val="00680BE8"/>
    <w:rsid w:val="006853C1"/>
    <w:rsid w:val="00686409"/>
    <w:rsid w:val="00686D19"/>
    <w:rsid w:val="0068777F"/>
    <w:rsid w:val="00693018"/>
    <w:rsid w:val="00693CFB"/>
    <w:rsid w:val="00695088"/>
    <w:rsid w:val="006A0059"/>
    <w:rsid w:val="006A4E99"/>
    <w:rsid w:val="006A7425"/>
    <w:rsid w:val="006B058A"/>
    <w:rsid w:val="006B1299"/>
    <w:rsid w:val="006B26D9"/>
    <w:rsid w:val="006B28C8"/>
    <w:rsid w:val="006B310C"/>
    <w:rsid w:val="006B664C"/>
    <w:rsid w:val="006B77C6"/>
    <w:rsid w:val="006C1125"/>
    <w:rsid w:val="006C1C83"/>
    <w:rsid w:val="006C3E78"/>
    <w:rsid w:val="006C54E6"/>
    <w:rsid w:val="006C5762"/>
    <w:rsid w:val="006C690D"/>
    <w:rsid w:val="006D149F"/>
    <w:rsid w:val="006D21AB"/>
    <w:rsid w:val="006D3396"/>
    <w:rsid w:val="006D5AFF"/>
    <w:rsid w:val="006E050C"/>
    <w:rsid w:val="006E152B"/>
    <w:rsid w:val="006E36D1"/>
    <w:rsid w:val="006E4002"/>
    <w:rsid w:val="006E4DB6"/>
    <w:rsid w:val="006E622E"/>
    <w:rsid w:val="006E7938"/>
    <w:rsid w:val="006E79FB"/>
    <w:rsid w:val="006F229A"/>
    <w:rsid w:val="006F3BB9"/>
    <w:rsid w:val="006F4AA6"/>
    <w:rsid w:val="006F6671"/>
    <w:rsid w:val="006F7AE5"/>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27E6"/>
    <w:rsid w:val="00723A0F"/>
    <w:rsid w:val="00726CB6"/>
    <w:rsid w:val="00727255"/>
    <w:rsid w:val="0072779B"/>
    <w:rsid w:val="00727CCF"/>
    <w:rsid w:val="0073101E"/>
    <w:rsid w:val="0073446D"/>
    <w:rsid w:val="007349FF"/>
    <w:rsid w:val="00734B45"/>
    <w:rsid w:val="00736FFB"/>
    <w:rsid w:val="00740080"/>
    <w:rsid w:val="00741443"/>
    <w:rsid w:val="00741A30"/>
    <w:rsid w:val="00743C0D"/>
    <w:rsid w:val="007504DC"/>
    <w:rsid w:val="0075142F"/>
    <w:rsid w:val="00751965"/>
    <w:rsid w:val="007524EF"/>
    <w:rsid w:val="00752689"/>
    <w:rsid w:val="00755309"/>
    <w:rsid w:val="00756C4D"/>
    <w:rsid w:val="00756D1D"/>
    <w:rsid w:val="00757C5D"/>
    <w:rsid w:val="00760886"/>
    <w:rsid w:val="007615CA"/>
    <w:rsid w:val="00761ADD"/>
    <w:rsid w:val="00762B3A"/>
    <w:rsid w:val="00765D6E"/>
    <w:rsid w:val="00765D7E"/>
    <w:rsid w:val="007674B6"/>
    <w:rsid w:val="00770E90"/>
    <w:rsid w:val="00772C42"/>
    <w:rsid w:val="0077302F"/>
    <w:rsid w:val="00773661"/>
    <w:rsid w:val="00774A61"/>
    <w:rsid w:val="00774CCA"/>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012"/>
    <w:rsid w:val="007B33CC"/>
    <w:rsid w:val="007B4133"/>
    <w:rsid w:val="007B49F4"/>
    <w:rsid w:val="007B7021"/>
    <w:rsid w:val="007B7AB4"/>
    <w:rsid w:val="007C2405"/>
    <w:rsid w:val="007C2A54"/>
    <w:rsid w:val="007C2B69"/>
    <w:rsid w:val="007C2DC1"/>
    <w:rsid w:val="007C3B05"/>
    <w:rsid w:val="007C3D25"/>
    <w:rsid w:val="007C4998"/>
    <w:rsid w:val="007C668F"/>
    <w:rsid w:val="007C723F"/>
    <w:rsid w:val="007C778D"/>
    <w:rsid w:val="007D07D6"/>
    <w:rsid w:val="007D0C6A"/>
    <w:rsid w:val="007D18A6"/>
    <w:rsid w:val="007D1CA0"/>
    <w:rsid w:val="007D2DF5"/>
    <w:rsid w:val="007D4994"/>
    <w:rsid w:val="007D4BB3"/>
    <w:rsid w:val="007D4F6E"/>
    <w:rsid w:val="007D5ECD"/>
    <w:rsid w:val="007D61CA"/>
    <w:rsid w:val="007D6DCF"/>
    <w:rsid w:val="007D6F0D"/>
    <w:rsid w:val="007D7963"/>
    <w:rsid w:val="007E1DC9"/>
    <w:rsid w:val="007E3532"/>
    <w:rsid w:val="007E5FE3"/>
    <w:rsid w:val="007E64DF"/>
    <w:rsid w:val="007E657D"/>
    <w:rsid w:val="007E7119"/>
    <w:rsid w:val="007E71BB"/>
    <w:rsid w:val="007E7B90"/>
    <w:rsid w:val="007E7C13"/>
    <w:rsid w:val="007F0E29"/>
    <w:rsid w:val="007F2464"/>
    <w:rsid w:val="007F450B"/>
    <w:rsid w:val="007F4A64"/>
    <w:rsid w:val="007F4ADE"/>
    <w:rsid w:val="007F5A5A"/>
    <w:rsid w:val="007F5EDC"/>
    <w:rsid w:val="00800AFD"/>
    <w:rsid w:val="00800C1B"/>
    <w:rsid w:val="0080239D"/>
    <w:rsid w:val="008034FB"/>
    <w:rsid w:val="00803CF3"/>
    <w:rsid w:val="00806EAB"/>
    <w:rsid w:val="00810E52"/>
    <w:rsid w:val="00811CA7"/>
    <w:rsid w:val="0081636E"/>
    <w:rsid w:val="008168DA"/>
    <w:rsid w:val="0082112E"/>
    <w:rsid w:val="00822F2B"/>
    <w:rsid w:val="00823D9A"/>
    <w:rsid w:val="00827EA4"/>
    <w:rsid w:val="008301D6"/>
    <w:rsid w:val="008305B7"/>
    <w:rsid w:val="00830C78"/>
    <w:rsid w:val="00830FB9"/>
    <w:rsid w:val="00834968"/>
    <w:rsid w:val="00834B53"/>
    <w:rsid w:val="00840298"/>
    <w:rsid w:val="00841BE4"/>
    <w:rsid w:val="00844060"/>
    <w:rsid w:val="00845A53"/>
    <w:rsid w:val="00847E8C"/>
    <w:rsid w:val="00847FDB"/>
    <w:rsid w:val="008505E1"/>
    <w:rsid w:val="00850B19"/>
    <w:rsid w:val="00852488"/>
    <w:rsid w:val="0085405E"/>
    <w:rsid w:val="00855E7C"/>
    <w:rsid w:val="008571DD"/>
    <w:rsid w:val="0085772E"/>
    <w:rsid w:val="00860344"/>
    <w:rsid w:val="00860E2C"/>
    <w:rsid w:val="00864BC6"/>
    <w:rsid w:val="00865EE6"/>
    <w:rsid w:val="008661B7"/>
    <w:rsid w:val="00870D23"/>
    <w:rsid w:val="00872B72"/>
    <w:rsid w:val="00873022"/>
    <w:rsid w:val="00876468"/>
    <w:rsid w:val="008767E1"/>
    <w:rsid w:val="00876CC7"/>
    <w:rsid w:val="008823E4"/>
    <w:rsid w:val="008837C4"/>
    <w:rsid w:val="00883C17"/>
    <w:rsid w:val="008849F3"/>
    <w:rsid w:val="00884E78"/>
    <w:rsid w:val="0088673B"/>
    <w:rsid w:val="00887265"/>
    <w:rsid w:val="00887500"/>
    <w:rsid w:val="00887575"/>
    <w:rsid w:val="008905AD"/>
    <w:rsid w:val="00891CCB"/>
    <w:rsid w:val="008920F2"/>
    <w:rsid w:val="0089348A"/>
    <w:rsid w:val="00894680"/>
    <w:rsid w:val="00894E9F"/>
    <w:rsid w:val="00895424"/>
    <w:rsid w:val="00896CEC"/>
    <w:rsid w:val="008A06BC"/>
    <w:rsid w:val="008A0A03"/>
    <w:rsid w:val="008A0AA3"/>
    <w:rsid w:val="008A0EAA"/>
    <w:rsid w:val="008A149F"/>
    <w:rsid w:val="008A19FD"/>
    <w:rsid w:val="008A1A25"/>
    <w:rsid w:val="008A4E05"/>
    <w:rsid w:val="008A56DB"/>
    <w:rsid w:val="008A6CFC"/>
    <w:rsid w:val="008B2125"/>
    <w:rsid w:val="008B25D4"/>
    <w:rsid w:val="008B38E5"/>
    <w:rsid w:val="008B5267"/>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1486"/>
    <w:rsid w:val="008D2BAE"/>
    <w:rsid w:val="008D2C9E"/>
    <w:rsid w:val="008D41F5"/>
    <w:rsid w:val="008D521F"/>
    <w:rsid w:val="008D5C06"/>
    <w:rsid w:val="008D6227"/>
    <w:rsid w:val="008D7A8B"/>
    <w:rsid w:val="008E41D3"/>
    <w:rsid w:val="008E43F1"/>
    <w:rsid w:val="008E594F"/>
    <w:rsid w:val="008E7312"/>
    <w:rsid w:val="008E745A"/>
    <w:rsid w:val="008F297F"/>
    <w:rsid w:val="008F447E"/>
    <w:rsid w:val="00904BA9"/>
    <w:rsid w:val="00904E7E"/>
    <w:rsid w:val="0091086B"/>
    <w:rsid w:val="00911129"/>
    <w:rsid w:val="00912EA3"/>
    <w:rsid w:val="00914B6E"/>
    <w:rsid w:val="009156A2"/>
    <w:rsid w:val="0091579A"/>
    <w:rsid w:val="0091615D"/>
    <w:rsid w:val="00923F7E"/>
    <w:rsid w:val="009243BA"/>
    <w:rsid w:val="00924C96"/>
    <w:rsid w:val="00925030"/>
    <w:rsid w:val="00925B32"/>
    <w:rsid w:val="00930088"/>
    <w:rsid w:val="00930A64"/>
    <w:rsid w:val="00930BE5"/>
    <w:rsid w:val="00931403"/>
    <w:rsid w:val="00934991"/>
    <w:rsid w:val="009351A7"/>
    <w:rsid w:val="009418EB"/>
    <w:rsid w:val="009426B9"/>
    <w:rsid w:val="009430F9"/>
    <w:rsid w:val="00944E85"/>
    <w:rsid w:val="0094634C"/>
    <w:rsid w:val="009463AB"/>
    <w:rsid w:val="0094721C"/>
    <w:rsid w:val="00950239"/>
    <w:rsid w:val="00950332"/>
    <w:rsid w:val="00950608"/>
    <w:rsid w:val="00955899"/>
    <w:rsid w:val="00955A03"/>
    <w:rsid w:val="00957A28"/>
    <w:rsid w:val="0096203D"/>
    <w:rsid w:val="0096224A"/>
    <w:rsid w:val="00963289"/>
    <w:rsid w:val="00964A78"/>
    <w:rsid w:val="009656B4"/>
    <w:rsid w:val="00966CA0"/>
    <w:rsid w:val="00966D74"/>
    <w:rsid w:val="00967F9D"/>
    <w:rsid w:val="00970275"/>
    <w:rsid w:val="00970ABF"/>
    <w:rsid w:val="009710E2"/>
    <w:rsid w:val="009711C5"/>
    <w:rsid w:val="00972E9C"/>
    <w:rsid w:val="00973892"/>
    <w:rsid w:val="0097391E"/>
    <w:rsid w:val="00973DF3"/>
    <w:rsid w:val="009742DA"/>
    <w:rsid w:val="009743BE"/>
    <w:rsid w:val="009753A0"/>
    <w:rsid w:val="00977437"/>
    <w:rsid w:val="00977C89"/>
    <w:rsid w:val="00980AB3"/>
    <w:rsid w:val="0098108B"/>
    <w:rsid w:val="00982BA0"/>
    <w:rsid w:val="009848CB"/>
    <w:rsid w:val="00984D10"/>
    <w:rsid w:val="0098600B"/>
    <w:rsid w:val="009861C1"/>
    <w:rsid w:val="00987177"/>
    <w:rsid w:val="00987F11"/>
    <w:rsid w:val="0099128D"/>
    <w:rsid w:val="009917F1"/>
    <w:rsid w:val="00991E37"/>
    <w:rsid w:val="00991E74"/>
    <w:rsid w:val="009926A6"/>
    <w:rsid w:val="0099415E"/>
    <w:rsid w:val="009948BF"/>
    <w:rsid w:val="00994D90"/>
    <w:rsid w:val="00997844"/>
    <w:rsid w:val="009978C2"/>
    <w:rsid w:val="009A345F"/>
    <w:rsid w:val="009A4AE5"/>
    <w:rsid w:val="009A5218"/>
    <w:rsid w:val="009A6806"/>
    <w:rsid w:val="009B1717"/>
    <w:rsid w:val="009B1E5E"/>
    <w:rsid w:val="009B22D2"/>
    <w:rsid w:val="009B2839"/>
    <w:rsid w:val="009B4C17"/>
    <w:rsid w:val="009B5BF6"/>
    <w:rsid w:val="009C1C79"/>
    <w:rsid w:val="009C2424"/>
    <w:rsid w:val="009C30D1"/>
    <w:rsid w:val="009C339C"/>
    <w:rsid w:val="009C33B8"/>
    <w:rsid w:val="009D07A0"/>
    <w:rsid w:val="009D107D"/>
    <w:rsid w:val="009D1871"/>
    <w:rsid w:val="009D2672"/>
    <w:rsid w:val="009D2985"/>
    <w:rsid w:val="009D3033"/>
    <w:rsid w:val="009D3E65"/>
    <w:rsid w:val="009D5770"/>
    <w:rsid w:val="009D6365"/>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6B18"/>
    <w:rsid w:val="00A21225"/>
    <w:rsid w:val="00A2139C"/>
    <w:rsid w:val="00A218F9"/>
    <w:rsid w:val="00A21E37"/>
    <w:rsid w:val="00A23314"/>
    <w:rsid w:val="00A235BB"/>
    <w:rsid w:val="00A23F10"/>
    <w:rsid w:val="00A23F72"/>
    <w:rsid w:val="00A24F2D"/>
    <w:rsid w:val="00A26AB8"/>
    <w:rsid w:val="00A3180E"/>
    <w:rsid w:val="00A322BF"/>
    <w:rsid w:val="00A3373F"/>
    <w:rsid w:val="00A33F51"/>
    <w:rsid w:val="00A349DF"/>
    <w:rsid w:val="00A3680D"/>
    <w:rsid w:val="00A40311"/>
    <w:rsid w:val="00A41032"/>
    <w:rsid w:val="00A4106C"/>
    <w:rsid w:val="00A41AC8"/>
    <w:rsid w:val="00A428E7"/>
    <w:rsid w:val="00A43E49"/>
    <w:rsid w:val="00A44018"/>
    <w:rsid w:val="00A45DE9"/>
    <w:rsid w:val="00A47471"/>
    <w:rsid w:val="00A47A1E"/>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20C"/>
    <w:rsid w:val="00A66342"/>
    <w:rsid w:val="00A665C8"/>
    <w:rsid w:val="00A6749E"/>
    <w:rsid w:val="00A67AD5"/>
    <w:rsid w:val="00A70D88"/>
    <w:rsid w:val="00A71142"/>
    <w:rsid w:val="00A72895"/>
    <w:rsid w:val="00A74589"/>
    <w:rsid w:val="00A74E1B"/>
    <w:rsid w:val="00A7513A"/>
    <w:rsid w:val="00A75AC9"/>
    <w:rsid w:val="00A75B25"/>
    <w:rsid w:val="00A76AEE"/>
    <w:rsid w:val="00A801B4"/>
    <w:rsid w:val="00A82075"/>
    <w:rsid w:val="00A82192"/>
    <w:rsid w:val="00A857AB"/>
    <w:rsid w:val="00A85B41"/>
    <w:rsid w:val="00A90009"/>
    <w:rsid w:val="00A91899"/>
    <w:rsid w:val="00A927A4"/>
    <w:rsid w:val="00A94CC0"/>
    <w:rsid w:val="00A9534A"/>
    <w:rsid w:val="00A957FA"/>
    <w:rsid w:val="00A967ED"/>
    <w:rsid w:val="00A968DC"/>
    <w:rsid w:val="00A977BA"/>
    <w:rsid w:val="00AA0CDE"/>
    <w:rsid w:val="00AA1A89"/>
    <w:rsid w:val="00AA346E"/>
    <w:rsid w:val="00AA3770"/>
    <w:rsid w:val="00AA3CFA"/>
    <w:rsid w:val="00AA41C3"/>
    <w:rsid w:val="00AA423C"/>
    <w:rsid w:val="00AA53E2"/>
    <w:rsid w:val="00AA73FD"/>
    <w:rsid w:val="00AB1BFC"/>
    <w:rsid w:val="00AB2F87"/>
    <w:rsid w:val="00AB32C3"/>
    <w:rsid w:val="00AB5E2B"/>
    <w:rsid w:val="00AB6069"/>
    <w:rsid w:val="00AB6467"/>
    <w:rsid w:val="00AC0575"/>
    <w:rsid w:val="00AC0758"/>
    <w:rsid w:val="00AC0934"/>
    <w:rsid w:val="00AC1751"/>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03AE"/>
    <w:rsid w:val="00AF26DC"/>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16D8"/>
    <w:rsid w:val="00B24F44"/>
    <w:rsid w:val="00B25428"/>
    <w:rsid w:val="00B255BB"/>
    <w:rsid w:val="00B25E24"/>
    <w:rsid w:val="00B2609A"/>
    <w:rsid w:val="00B26B9E"/>
    <w:rsid w:val="00B301B1"/>
    <w:rsid w:val="00B323A5"/>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56C61"/>
    <w:rsid w:val="00B622E7"/>
    <w:rsid w:val="00B62FB6"/>
    <w:rsid w:val="00B635BF"/>
    <w:rsid w:val="00B7050A"/>
    <w:rsid w:val="00B70904"/>
    <w:rsid w:val="00B70A42"/>
    <w:rsid w:val="00B74791"/>
    <w:rsid w:val="00B76AF9"/>
    <w:rsid w:val="00B8115B"/>
    <w:rsid w:val="00B81AE2"/>
    <w:rsid w:val="00B82D30"/>
    <w:rsid w:val="00B873FE"/>
    <w:rsid w:val="00B87F62"/>
    <w:rsid w:val="00B914A4"/>
    <w:rsid w:val="00B92497"/>
    <w:rsid w:val="00B92D41"/>
    <w:rsid w:val="00B93679"/>
    <w:rsid w:val="00B9422D"/>
    <w:rsid w:val="00B95A1D"/>
    <w:rsid w:val="00B961D4"/>
    <w:rsid w:val="00B9634B"/>
    <w:rsid w:val="00BA0F2A"/>
    <w:rsid w:val="00BA5072"/>
    <w:rsid w:val="00BA5B65"/>
    <w:rsid w:val="00BA7BFE"/>
    <w:rsid w:val="00BB0ECA"/>
    <w:rsid w:val="00BB246B"/>
    <w:rsid w:val="00BB4F49"/>
    <w:rsid w:val="00BB5EFD"/>
    <w:rsid w:val="00BB60F7"/>
    <w:rsid w:val="00BB6B2D"/>
    <w:rsid w:val="00BB7375"/>
    <w:rsid w:val="00BC0500"/>
    <w:rsid w:val="00BC44F5"/>
    <w:rsid w:val="00BC500B"/>
    <w:rsid w:val="00BC547C"/>
    <w:rsid w:val="00BC6B29"/>
    <w:rsid w:val="00BC798C"/>
    <w:rsid w:val="00BC7D11"/>
    <w:rsid w:val="00BD00FD"/>
    <w:rsid w:val="00BD109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2B1"/>
    <w:rsid w:val="00C274A6"/>
    <w:rsid w:val="00C312DB"/>
    <w:rsid w:val="00C32C50"/>
    <w:rsid w:val="00C33D76"/>
    <w:rsid w:val="00C34201"/>
    <w:rsid w:val="00C35A38"/>
    <w:rsid w:val="00C35EC9"/>
    <w:rsid w:val="00C36807"/>
    <w:rsid w:val="00C37392"/>
    <w:rsid w:val="00C379B4"/>
    <w:rsid w:val="00C41545"/>
    <w:rsid w:val="00C4209D"/>
    <w:rsid w:val="00C432B3"/>
    <w:rsid w:val="00C4771E"/>
    <w:rsid w:val="00C47D15"/>
    <w:rsid w:val="00C50279"/>
    <w:rsid w:val="00C505EC"/>
    <w:rsid w:val="00C51489"/>
    <w:rsid w:val="00C5165A"/>
    <w:rsid w:val="00C52841"/>
    <w:rsid w:val="00C5489E"/>
    <w:rsid w:val="00C54FC6"/>
    <w:rsid w:val="00C56F88"/>
    <w:rsid w:val="00C57B7E"/>
    <w:rsid w:val="00C60217"/>
    <w:rsid w:val="00C6599F"/>
    <w:rsid w:val="00C66D15"/>
    <w:rsid w:val="00C671D0"/>
    <w:rsid w:val="00C70449"/>
    <w:rsid w:val="00C7071B"/>
    <w:rsid w:val="00C73904"/>
    <w:rsid w:val="00C73BAE"/>
    <w:rsid w:val="00C73F7B"/>
    <w:rsid w:val="00C74055"/>
    <w:rsid w:val="00C7421D"/>
    <w:rsid w:val="00C7525E"/>
    <w:rsid w:val="00C76481"/>
    <w:rsid w:val="00C76812"/>
    <w:rsid w:val="00C83D88"/>
    <w:rsid w:val="00C84961"/>
    <w:rsid w:val="00C84B06"/>
    <w:rsid w:val="00C87100"/>
    <w:rsid w:val="00C8740B"/>
    <w:rsid w:val="00C87CAC"/>
    <w:rsid w:val="00C913A1"/>
    <w:rsid w:val="00C950D6"/>
    <w:rsid w:val="00C960FA"/>
    <w:rsid w:val="00C97646"/>
    <w:rsid w:val="00C97672"/>
    <w:rsid w:val="00CA0E81"/>
    <w:rsid w:val="00CA55BD"/>
    <w:rsid w:val="00CA7073"/>
    <w:rsid w:val="00CB0837"/>
    <w:rsid w:val="00CB2BFA"/>
    <w:rsid w:val="00CB3888"/>
    <w:rsid w:val="00CB3CDB"/>
    <w:rsid w:val="00CB400E"/>
    <w:rsid w:val="00CB48F6"/>
    <w:rsid w:val="00CB5F04"/>
    <w:rsid w:val="00CB67F1"/>
    <w:rsid w:val="00CB7DC8"/>
    <w:rsid w:val="00CC0B24"/>
    <w:rsid w:val="00CC0EC0"/>
    <w:rsid w:val="00CC1E2B"/>
    <w:rsid w:val="00CC34DB"/>
    <w:rsid w:val="00CC51AC"/>
    <w:rsid w:val="00CC609D"/>
    <w:rsid w:val="00CC7044"/>
    <w:rsid w:val="00CD11FF"/>
    <w:rsid w:val="00CD15E7"/>
    <w:rsid w:val="00CD3B94"/>
    <w:rsid w:val="00CD58BD"/>
    <w:rsid w:val="00CE07A9"/>
    <w:rsid w:val="00CE1012"/>
    <w:rsid w:val="00CE419E"/>
    <w:rsid w:val="00CE426D"/>
    <w:rsid w:val="00CE5011"/>
    <w:rsid w:val="00CE574A"/>
    <w:rsid w:val="00CE5DC5"/>
    <w:rsid w:val="00CE629E"/>
    <w:rsid w:val="00CE66CE"/>
    <w:rsid w:val="00CE77AA"/>
    <w:rsid w:val="00CE7B59"/>
    <w:rsid w:val="00CF2B9F"/>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173C9"/>
    <w:rsid w:val="00D20E20"/>
    <w:rsid w:val="00D21C3A"/>
    <w:rsid w:val="00D228DA"/>
    <w:rsid w:val="00D22E01"/>
    <w:rsid w:val="00D238A5"/>
    <w:rsid w:val="00D24621"/>
    <w:rsid w:val="00D2600F"/>
    <w:rsid w:val="00D30EEA"/>
    <w:rsid w:val="00D31534"/>
    <w:rsid w:val="00D32C1F"/>
    <w:rsid w:val="00D3357A"/>
    <w:rsid w:val="00D33FC2"/>
    <w:rsid w:val="00D34D30"/>
    <w:rsid w:val="00D36664"/>
    <w:rsid w:val="00D37394"/>
    <w:rsid w:val="00D442F8"/>
    <w:rsid w:val="00D464B6"/>
    <w:rsid w:val="00D46699"/>
    <w:rsid w:val="00D47345"/>
    <w:rsid w:val="00D5073F"/>
    <w:rsid w:val="00D51573"/>
    <w:rsid w:val="00D5399A"/>
    <w:rsid w:val="00D5444F"/>
    <w:rsid w:val="00D54E0D"/>
    <w:rsid w:val="00D54F7D"/>
    <w:rsid w:val="00D55A9F"/>
    <w:rsid w:val="00D565AF"/>
    <w:rsid w:val="00D57528"/>
    <w:rsid w:val="00D602CA"/>
    <w:rsid w:val="00D60DD8"/>
    <w:rsid w:val="00D64C6C"/>
    <w:rsid w:val="00D66D42"/>
    <w:rsid w:val="00D679F8"/>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4614"/>
    <w:rsid w:val="00D90293"/>
    <w:rsid w:val="00D90496"/>
    <w:rsid w:val="00D917BC"/>
    <w:rsid w:val="00D942DE"/>
    <w:rsid w:val="00D9491E"/>
    <w:rsid w:val="00DA070D"/>
    <w:rsid w:val="00DA3B2F"/>
    <w:rsid w:val="00DA46CA"/>
    <w:rsid w:val="00DA4731"/>
    <w:rsid w:val="00DA5040"/>
    <w:rsid w:val="00DA7D5F"/>
    <w:rsid w:val="00DB053E"/>
    <w:rsid w:val="00DB11B2"/>
    <w:rsid w:val="00DB161E"/>
    <w:rsid w:val="00DB31B5"/>
    <w:rsid w:val="00DB5BBA"/>
    <w:rsid w:val="00DC03DB"/>
    <w:rsid w:val="00DC1206"/>
    <w:rsid w:val="00DC1C5D"/>
    <w:rsid w:val="00DC2BE8"/>
    <w:rsid w:val="00DC2BEC"/>
    <w:rsid w:val="00DC3256"/>
    <w:rsid w:val="00DC35A6"/>
    <w:rsid w:val="00DD090A"/>
    <w:rsid w:val="00DD195E"/>
    <w:rsid w:val="00DD2421"/>
    <w:rsid w:val="00DD3222"/>
    <w:rsid w:val="00DD3D81"/>
    <w:rsid w:val="00DD4D3A"/>
    <w:rsid w:val="00DD571C"/>
    <w:rsid w:val="00DD64E1"/>
    <w:rsid w:val="00DE039A"/>
    <w:rsid w:val="00DE0403"/>
    <w:rsid w:val="00DE4811"/>
    <w:rsid w:val="00DE5458"/>
    <w:rsid w:val="00DE5EE6"/>
    <w:rsid w:val="00DE731D"/>
    <w:rsid w:val="00DE77EA"/>
    <w:rsid w:val="00DF066E"/>
    <w:rsid w:val="00DF0ABA"/>
    <w:rsid w:val="00DF1EEE"/>
    <w:rsid w:val="00DF6C58"/>
    <w:rsid w:val="00E001C1"/>
    <w:rsid w:val="00E039F3"/>
    <w:rsid w:val="00E03C30"/>
    <w:rsid w:val="00E05EBF"/>
    <w:rsid w:val="00E06E6B"/>
    <w:rsid w:val="00E078BD"/>
    <w:rsid w:val="00E078F8"/>
    <w:rsid w:val="00E1142B"/>
    <w:rsid w:val="00E11F10"/>
    <w:rsid w:val="00E148AE"/>
    <w:rsid w:val="00E1536F"/>
    <w:rsid w:val="00E157E4"/>
    <w:rsid w:val="00E15950"/>
    <w:rsid w:val="00E159BF"/>
    <w:rsid w:val="00E16522"/>
    <w:rsid w:val="00E1750C"/>
    <w:rsid w:val="00E178A6"/>
    <w:rsid w:val="00E20545"/>
    <w:rsid w:val="00E223C6"/>
    <w:rsid w:val="00E2341B"/>
    <w:rsid w:val="00E2443D"/>
    <w:rsid w:val="00E24789"/>
    <w:rsid w:val="00E26615"/>
    <w:rsid w:val="00E26F37"/>
    <w:rsid w:val="00E3390E"/>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201"/>
    <w:rsid w:val="00E53A9F"/>
    <w:rsid w:val="00E549AF"/>
    <w:rsid w:val="00E5775F"/>
    <w:rsid w:val="00E60540"/>
    <w:rsid w:val="00E61C74"/>
    <w:rsid w:val="00E63D8F"/>
    <w:rsid w:val="00E705CE"/>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771"/>
    <w:rsid w:val="00E967FC"/>
    <w:rsid w:val="00E96D30"/>
    <w:rsid w:val="00EA1327"/>
    <w:rsid w:val="00EA623C"/>
    <w:rsid w:val="00EA6395"/>
    <w:rsid w:val="00EB0247"/>
    <w:rsid w:val="00EB044B"/>
    <w:rsid w:val="00EB067C"/>
    <w:rsid w:val="00EB3C66"/>
    <w:rsid w:val="00EB4B03"/>
    <w:rsid w:val="00EB5DEE"/>
    <w:rsid w:val="00EB64CB"/>
    <w:rsid w:val="00EB6D46"/>
    <w:rsid w:val="00EC07F3"/>
    <w:rsid w:val="00EC3194"/>
    <w:rsid w:val="00EC32E4"/>
    <w:rsid w:val="00EC518D"/>
    <w:rsid w:val="00EC646E"/>
    <w:rsid w:val="00EC64E7"/>
    <w:rsid w:val="00EC71D3"/>
    <w:rsid w:val="00ED02FE"/>
    <w:rsid w:val="00ED1EC9"/>
    <w:rsid w:val="00ED32BC"/>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EF7C2F"/>
    <w:rsid w:val="00F00D58"/>
    <w:rsid w:val="00F0226C"/>
    <w:rsid w:val="00F02522"/>
    <w:rsid w:val="00F02AE0"/>
    <w:rsid w:val="00F02BFF"/>
    <w:rsid w:val="00F034DC"/>
    <w:rsid w:val="00F03953"/>
    <w:rsid w:val="00F04841"/>
    <w:rsid w:val="00F0579A"/>
    <w:rsid w:val="00F0674D"/>
    <w:rsid w:val="00F10287"/>
    <w:rsid w:val="00F10C82"/>
    <w:rsid w:val="00F13B2E"/>
    <w:rsid w:val="00F142B4"/>
    <w:rsid w:val="00F176A0"/>
    <w:rsid w:val="00F20174"/>
    <w:rsid w:val="00F22098"/>
    <w:rsid w:val="00F223BC"/>
    <w:rsid w:val="00F23780"/>
    <w:rsid w:val="00F26185"/>
    <w:rsid w:val="00F3178C"/>
    <w:rsid w:val="00F33DE5"/>
    <w:rsid w:val="00F34B8F"/>
    <w:rsid w:val="00F36D7F"/>
    <w:rsid w:val="00F37186"/>
    <w:rsid w:val="00F41C4C"/>
    <w:rsid w:val="00F42FCF"/>
    <w:rsid w:val="00F44A83"/>
    <w:rsid w:val="00F51743"/>
    <w:rsid w:val="00F529D4"/>
    <w:rsid w:val="00F530C2"/>
    <w:rsid w:val="00F533EB"/>
    <w:rsid w:val="00F54855"/>
    <w:rsid w:val="00F54F27"/>
    <w:rsid w:val="00F55B05"/>
    <w:rsid w:val="00F55FC8"/>
    <w:rsid w:val="00F604E3"/>
    <w:rsid w:val="00F610E6"/>
    <w:rsid w:val="00F61FCC"/>
    <w:rsid w:val="00F647F2"/>
    <w:rsid w:val="00F66036"/>
    <w:rsid w:val="00F661CB"/>
    <w:rsid w:val="00F6689D"/>
    <w:rsid w:val="00F67E23"/>
    <w:rsid w:val="00F71601"/>
    <w:rsid w:val="00F72C75"/>
    <w:rsid w:val="00F72CC6"/>
    <w:rsid w:val="00F74033"/>
    <w:rsid w:val="00F759EB"/>
    <w:rsid w:val="00F772F7"/>
    <w:rsid w:val="00F81334"/>
    <w:rsid w:val="00F81A81"/>
    <w:rsid w:val="00F81CC5"/>
    <w:rsid w:val="00F84E41"/>
    <w:rsid w:val="00F8760D"/>
    <w:rsid w:val="00F87AAD"/>
    <w:rsid w:val="00F9174C"/>
    <w:rsid w:val="00F91D5C"/>
    <w:rsid w:val="00F92097"/>
    <w:rsid w:val="00F922E9"/>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5CD1"/>
    <w:rsid w:val="00FB676C"/>
    <w:rsid w:val="00FB67CC"/>
    <w:rsid w:val="00FB728E"/>
    <w:rsid w:val="00FB7DC4"/>
    <w:rsid w:val="00FC0ADE"/>
    <w:rsid w:val="00FC0FF1"/>
    <w:rsid w:val="00FC1FDF"/>
    <w:rsid w:val="00FC2C33"/>
    <w:rsid w:val="00FC3360"/>
    <w:rsid w:val="00FC3E27"/>
    <w:rsid w:val="00FC493B"/>
    <w:rsid w:val="00FC63E5"/>
    <w:rsid w:val="00FD0E54"/>
    <w:rsid w:val="00FD2B71"/>
    <w:rsid w:val="00FD3576"/>
    <w:rsid w:val="00FD52D6"/>
    <w:rsid w:val="00FD56FC"/>
    <w:rsid w:val="00FD62DD"/>
    <w:rsid w:val="00FD752B"/>
    <w:rsid w:val="00FD7DD7"/>
    <w:rsid w:val="00FD7EB3"/>
    <w:rsid w:val="00FE033E"/>
    <w:rsid w:val="00FE0D2F"/>
    <w:rsid w:val="00FE180A"/>
    <w:rsid w:val="00FE182F"/>
    <w:rsid w:val="00FE31C6"/>
    <w:rsid w:val="00FE3F96"/>
    <w:rsid w:val="00FE4A65"/>
    <w:rsid w:val="00FE51E8"/>
    <w:rsid w:val="00FE602F"/>
    <w:rsid w:val="00FE7611"/>
    <w:rsid w:val="00FF0769"/>
    <w:rsid w:val="00FF0DB8"/>
    <w:rsid w:val="00FF1A76"/>
    <w:rsid w:val="00FF1C1D"/>
    <w:rsid w:val="00FF1DC4"/>
    <w:rsid w:val="00FF2231"/>
    <w:rsid w:val="00FF3330"/>
    <w:rsid w:val="00FF4080"/>
    <w:rsid w:val="00FF40A5"/>
    <w:rsid w:val="00FF48DA"/>
    <w:rsid w:val="00FF5E19"/>
    <w:rsid w:val="00FF61AD"/>
    <w:rsid w:val="00FF76BD"/>
    <w:rsid w:val="01101AA2"/>
    <w:rsid w:val="014A7981"/>
    <w:rsid w:val="0284685F"/>
    <w:rsid w:val="072C1379"/>
    <w:rsid w:val="094C2DF9"/>
    <w:rsid w:val="0AB015B5"/>
    <w:rsid w:val="17D51919"/>
    <w:rsid w:val="19836408"/>
    <w:rsid w:val="22020DEC"/>
    <w:rsid w:val="223C6206"/>
    <w:rsid w:val="25C537F8"/>
    <w:rsid w:val="2677030D"/>
    <w:rsid w:val="26A27EC0"/>
    <w:rsid w:val="26D8736F"/>
    <w:rsid w:val="28807F05"/>
    <w:rsid w:val="2BA5117D"/>
    <w:rsid w:val="2C2B0EFC"/>
    <w:rsid w:val="35D310D7"/>
    <w:rsid w:val="3696118B"/>
    <w:rsid w:val="49D07FE7"/>
    <w:rsid w:val="4CD61268"/>
    <w:rsid w:val="4E1315AB"/>
    <w:rsid w:val="50461586"/>
    <w:rsid w:val="50D17763"/>
    <w:rsid w:val="5121473A"/>
    <w:rsid w:val="58535517"/>
    <w:rsid w:val="5B605E8E"/>
    <w:rsid w:val="63397856"/>
    <w:rsid w:val="67E6111C"/>
    <w:rsid w:val="721A51E8"/>
    <w:rsid w:val="73966C53"/>
    <w:rsid w:val="764E56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99" w:semiHidden="0" w:name="toc 2"/>
    <w:lsdException w:qFormat="1" w:unhideWhenUsed="0" w:uiPriority="9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link w:val="25"/>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6"/>
    <w:qFormat/>
    <w:uiPriority w:val="99"/>
    <w:pPr>
      <w:keepNext/>
      <w:keepLines/>
      <w:spacing w:line="360" w:lineRule="auto"/>
      <w:outlineLvl w:val="1"/>
    </w:pPr>
    <w:rPr>
      <w:bCs/>
      <w:sz w:val="22"/>
      <w:szCs w:val="32"/>
    </w:rPr>
  </w:style>
  <w:style w:type="paragraph" w:styleId="4">
    <w:name w:val="heading 3"/>
    <w:basedOn w:val="1"/>
    <w:next w:val="1"/>
    <w:link w:val="27"/>
    <w:qFormat/>
    <w:uiPriority w:val="99"/>
    <w:pPr>
      <w:keepNext/>
      <w:spacing w:line="360" w:lineRule="auto"/>
      <w:outlineLvl w:val="2"/>
    </w:pPr>
    <w:rPr>
      <w:sz w:val="22"/>
    </w:rPr>
  </w:style>
  <w:style w:type="paragraph" w:styleId="5">
    <w:name w:val="heading 4"/>
    <w:basedOn w:val="1"/>
    <w:next w:val="1"/>
    <w:link w:val="28"/>
    <w:qFormat/>
    <w:uiPriority w:val="99"/>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qFormat/>
    <w:uiPriority w:val="99"/>
    <w:rPr>
      <w:sz w:val="24"/>
    </w:rPr>
  </w:style>
  <w:style w:type="paragraph" w:styleId="7">
    <w:name w:val="Body Text 3"/>
    <w:basedOn w:val="1"/>
    <w:link w:val="30"/>
    <w:qFormat/>
    <w:uiPriority w:val="99"/>
    <w:pPr>
      <w:spacing w:after="120"/>
    </w:pPr>
    <w:rPr>
      <w:sz w:val="16"/>
      <w:szCs w:val="16"/>
    </w:rPr>
  </w:style>
  <w:style w:type="paragraph" w:styleId="8">
    <w:name w:val="Body Text"/>
    <w:basedOn w:val="1"/>
    <w:link w:val="31"/>
    <w:qFormat/>
    <w:uiPriority w:val="99"/>
    <w:pPr>
      <w:ind w:right="56"/>
    </w:pPr>
    <w:rPr>
      <w:b/>
      <w:sz w:val="22"/>
    </w:rPr>
  </w:style>
  <w:style w:type="paragraph" w:styleId="9">
    <w:name w:val="Body Text Indent"/>
    <w:basedOn w:val="1"/>
    <w:link w:val="32"/>
    <w:qFormat/>
    <w:uiPriority w:val="99"/>
    <w:pPr>
      <w:spacing w:after="120"/>
      <w:ind w:left="420" w:leftChars="200"/>
    </w:pPr>
  </w:style>
  <w:style w:type="paragraph" w:styleId="10">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1">
    <w:name w:val="Body Text Indent 2"/>
    <w:basedOn w:val="1"/>
    <w:link w:val="33"/>
    <w:qFormat/>
    <w:uiPriority w:val="99"/>
    <w:pPr>
      <w:spacing w:after="120" w:line="480" w:lineRule="auto"/>
      <w:ind w:left="420" w:leftChars="200"/>
    </w:pPr>
  </w:style>
  <w:style w:type="paragraph" w:styleId="12">
    <w:name w:val="Balloon Text"/>
    <w:basedOn w:val="1"/>
    <w:link w:val="34"/>
    <w:semiHidden/>
    <w:qFormat/>
    <w:uiPriority w:val="99"/>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36"/>
    <w:qFormat/>
    <w:uiPriority w:val="99"/>
    <w:pPr>
      <w:tabs>
        <w:tab w:val="center" w:pos="4320"/>
        <w:tab w:val="right" w:pos="8640"/>
      </w:tabs>
    </w:pPr>
    <w:rPr>
      <w:sz w:val="24"/>
    </w:rPr>
  </w:style>
  <w:style w:type="paragraph" w:styleId="15">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7">
    <w:name w:val="Title"/>
    <w:basedOn w:val="1"/>
    <w:next w:val="1"/>
    <w:link w:val="37"/>
    <w:qFormat/>
    <w:uiPriority w:val="99"/>
    <w:pPr>
      <w:spacing w:before="240" w:after="60"/>
      <w:jc w:val="center"/>
      <w:outlineLvl w:val="0"/>
    </w:pPr>
    <w:rPr>
      <w:rFonts w:ascii="Calibri Light" w:hAnsi="Calibri Light"/>
      <w:b/>
      <w:bCs/>
      <w:sz w:val="32"/>
      <w:szCs w:val="32"/>
    </w:rPr>
  </w:style>
  <w:style w:type="paragraph" w:styleId="18">
    <w:name w:val="annotation subject"/>
    <w:basedOn w:val="6"/>
    <w:next w:val="6"/>
    <w:link w:val="38"/>
    <w:semiHidden/>
    <w:qFormat/>
    <w:uiPriority w:val="99"/>
    <w:rPr>
      <w:b/>
      <w:bCs/>
    </w:rPr>
  </w:style>
  <w:style w:type="table" w:styleId="20">
    <w:name w:val="Table Grid"/>
    <w:basedOn w:val="19"/>
    <w:qFormat/>
    <w:uiPriority w:val="9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99"/>
    <w:rPr>
      <w:rFonts w:cs="Times New Roman"/>
    </w:rPr>
  </w:style>
  <w:style w:type="character" w:styleId="23">
    <w:name w:val="Hyperlink"/>
    <w:qFormat/>
    <w:uiPriority w:val="99"/>
    <w:rPr>
      <w:rFonts w:cs="Times New Roman"/>
      <w:color w:val="0000FF"/>
      <w:u w:val="single"/>
    </w:rPr>
  </w:style>
  <w:style w:type="character" w:styleId="24">
    <w:name w:val="annotation reference"/>
    <w:semiHidden/>
    <w:qFormat/>
    <w:uiPriority w:val="99"/>
    <w:rPr>
      <w:rFonts w:cs="Times New Roman"/>
      <w:sz w:val="21"/>
    </w:rPr>
  </w:style>
  <w:style w:type="character" w:customStyle="1" w:styleId="25">
    <w:name w:val="标题 1 字符"/>
    <w:link w:val="2"/>
    <w:qFormat/>
    <w:uiPriority w:val="9"/>
    <w:rPr>
      <w:b/>
      <w:bCs/>
      <w:kern w:val="44"/>
      <w:sz w:val="44"/>
      <w:szCs w:val="44"/>
      <w:lang w:val="en-GB" w:eastAsia="en-US"/>
    </w:rPr>
  </w:style>
  <w:style w:type="character" w:customStyle="1" w:styleId="26">
    <w:name w:val="标题 2 字符"/>
    <w:link w:val="3"/>
    <w:semiHidden/>
    <w:qFormat/>
    <w:uiPriority w:val="9"/>
    <w:rPr>
      <w:rFonts w:ascii="Cambria" w:hAnsi="Cambria" w:eastAsia="宋体" w:cs="Times New Roman"/>
      <w:b/>
      <w:bCs/>
      <w:kern w:val="0"/>
      <w:sz w:val="32"/>
      <w:szCs w:val="32"/>
      <w:lang w:val="en-GB" w:eastAsia="en-US"/>
    </w:rPr>
  </w:style>
  <w:style w:type="character" w:customStyle="1" w:styleId="27">
    <w:name w:val="标题 3 字符"/>
    <w:link w:val="4"/>
    <w:semiHidden/>
    <w:qFormat/>
    <w:uiPriority w:val="9"/>
    <w:rPr>
      <w:b/>
      <w:bCs/>
      <w:kern w:val="0"/>
      <w:sz w:val="32"/>
      <w:szCs w:val="32"/>
      <w:lang w:val="en-GB" w:eastAsia="en-US"/>
    </w:rPr>
  </w:style>
  <w:style w:type="character" w:customStyle="1" w:styleId="28">
    <w:name w:val="标题 4 字符"/>
    <w:link w:val="5"/>
    <w:semiHidden/>
    <w:qFormat/>
    <w:uiPriority w:val="9"/>
    <w:rPr>
      <w:rFonts w:ascii="Cambria" w:hAnsi="Cambria" w:eastAsia="宋体" w:cs="Times New Roman"/>
      <w:b/>
      <w:bCs/>
      <w:kern w:val="0"/>
      <w:sz w:val="28"/>
      <w:szCs w:val="28"/>
      <w:lang w:val="en-GB" w:eastAsia="en-US"/>
    </w:rPr>
  </w:style>
  <w:style w:type="character" w:customStyle="1" w:styleId="29">
    <w:name w:val="批注文字 字符"/>
    <w:link w:val="6"/>
    <w:semiHidden/>
    <w:qFormat/>
    <w:locked/>
    <w:uiPriority w:val="99"/>
    <w:rPr>
      <w:sz w:val="24"/>
      <w:lang w:val="en-GB" w:eastAsia="en-US"/>
    </w:rPr>
  </w:style>
  <w:style w:type="character" w:customStyle="1" w:styleId="30">
    <w:name w:val="正文文本 3 字符"/>
    <w:link w:val="7"/>
    <w:semiHidden/>
    <w:qFormat/>
    <w:uiPriority w:val="99"/>
    <w:rPr>
      <w:kern w:val="0"/>
      <w:sz w:val="16"/>
      <w:szCs w:val="16"/>
      <w:lang w:val="en-GB" w:eastAsia="en-US"/>
    </w:rPr>
  </w:style>
  <w:style w:type="character" w:customStyle="1" w:styleId="31">
    <w:name w:val="正文文本 字符"/>
    <w:link w:val="8"/>
    <w:semiHidden/>
    <w:qFormat/>
    <w:uiPriority w:val="99"/>
    <w:rPr>
      <w:kern w:val="0"/>
      <w:szCs w:val="20"/>
      <w:lang w:val="en-GB" w:eastAsia="en-US"/>
    </w:rPr>
  </w:style>
  <w:style w:type="character" w:customStyle="1" w:styleId="32">
    <w:name w:val="正文文本缩进 字符"/>
    <w:link w:val="9"/>
    <w:semiHidden/>
    <w:qFormat/>
    <w:uiPriority w:val="99"/>
    <w:rPr>
      <w:kern w:val="0"/>
      <w:szCs w:val="20"/>
      <w:lang w:val="en-GB" w:eastAsia="en-US"/>
    </w:rPr>
  </w:style>
  <w:style w:type="character" w:customStyle="1" w:styleId="33">
    <w:name w:val="正文文本缩进 2 字符"/>
    <w:link w:val="11"/>
    <w:semiHidden/>
    <w:qFormat/>
    <w:uiPriority w:val="99"/>
    <w:rPr>
      <w:kern w:val="0"/>
      <w:szCs w:val="20"/>
      <w:lang w:val="en-GB" w:eastAsia="en-US"/>
    </w:rPr>
  </w:style>
  <w:style w:type="character" w:customStyle="1" w:styleId="34">
    <w:name w:val="批注框文本 字符"/>
    <w:link w:val="12"/>
    <w:semiHidden/>
    <w:qFormat/>
    <w:uiPriority w:val="99"/>
    <w:rPr>
      <w:kern w:val="0"/>
      <w:sz w:val="0"/>
      <w:szCs w:val="0"/>
      <w:lang w:val="en-GB" w:eastAsia="en-US"/>
    </w:rPr>
  </w:style>
  <w:style w:type="character" w:customStyle="1" w:styleId="35">
    <w:name w:val="Footer Char"/>
    <w:semiHidden/>
    <w:qFormat/>
    <w:locked/>
    <w:uiPriority w:val="99"/>
    <w:rPr>
      <w:rFonts w:cs="Times New Roman"/>
      <w:sz w:val="18"/>
      <w:szCs w:val="18"/>
    </w:rPr>
  </w:style>
  <w:style w:type="character" w:customStyle="1" w:styleId="36">
    <w:name w:val="页眉 字符"/>
    <w:link w:val="14"/>
    <w:qFormat/>
    <w:locked/>
    <w:uiPriority w:val="99"/>
    <w:rPr>
      <w:rFonts w:eastAsia="宋体"/>
      <w:sz w:val="24"/>
      <w:lang w:val="en-GB" w:eastAsia="en-US"/>
    </w:rPr>
  </w:style>
  <w:style w:type="character" w:customStyle="1" w:styleId="37">
    <w:name w:val="标题 字符"/>
    <w:link w:val="17"/>
    <w:qFormat/>
    <w:locked/>
    <w:uiPriority w:val="99"/>
    <w:rPr>
      <w:rFonts w:ascii="Calibri Light" w:hAnsi="Calibri Light"/>
      <w:b/>
      <w:sz w:val="32"/>
      <w:lang w:val="en-GB" w:eastAsia="en-US"/>
    </w:rPr>
  </w:style>
  <w:style w:type="character" w:customStyle="1" w:styleId="38">
    <w:name w:val="批注主题 字符"/>
    <w:link w:val="18"/>
    <w:semiHidden/>
    <w:qFormat/>
    <w:uiPriority w:val="99"/>
    <w:rPr>
      <w:b/>
      <w:bCs/>
      <w:kern w:val="0"/>
      <w:sz w:val="24"/>
      <w:szCs w:val="20"/>
      <w:lang w:val="en-GB" w:eastAsia="en-US"/>
    </w:rPr>
  </w:style>
  <w:style w:type="paragraph" w:customStyle="1" w:styleId="39">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0">
    <w:name w:val="Default Text"/>
    <w:basedOn w:val="1"/>
    <w:qFormat/>
    <w:uiPriority w:val="99"/>
    <w:pPr>
      <w:overflowPunct/>
      <w:textAlignment w:val="auto"/>
    </w:pPr>
    <w:rPr>
      <w:rFonts w:ascii="Arial" w:hAnsi="Arial"/>
      <w:szCs w:val="24"/>
      <w:lang w:val="en-US"/>
    </w:rPr>
  </w:style>
  <w:style w:type="paragraph" w:customStyle="1" w:styleId="41">
    <w:name w:val="Style"/>
    <w:basedOn w:val="1"/>
    <w:qFormat/>
    <w:uiPriority w:val="99"/>
    <w:pPr>
      <w:overflowPunct/>
      <w:textAlignment w:val="auto"/>
    </w:pPr>
    <w:rPr>
      <w:rFonts w:ascii="Arial" w:hAnsi="Arial"/>
      <w:szCs w:val="24"/>
      <w:lang w:val="en-US"/>
    </w:rPr>
  </w:style>
  <w:style w:type="paragraph" w:customStyle="1" w:styleId="42">
    <w:name w:val="正文1"/>
    <w:basedOn w:val="1"/>
    <w:qFormat/>
    <w:uiPriority w:val="99"/>
    <w:pPr>
      <w:overflowPunct/>
      <w:textAlignment w:val="auto"/>
    </w:pPr>
    <w:rPr>
      <w:rFonts w:ascii="Arial" w:hAnsi="Arial"/>
      <w:sz w:val="20"/>
      <w:lang w:val="en-US"/>
    </w:rPr>
  </w:style>
  <w:style w:type="paragraph" w:customStyle="1" w:styleId="43">
    <w:name w:val="Revision1"/>
    <w:hidden/>
    <w:semiHidden/>
    <w:qFormat/>
    <w:uiPriority w:val="99"/>
    <w:rPr>
      <w:rFonts w:ascii="Times New Roman" w:hAnsi="Times New Roman" w:eastAsia="宋体" w:cs="Times New Roman"/>
      <w:sz w:val="24"/>
      <w:lang w:val="en-GB" w:eastAsia="en-US" w:bidi="ar-SA"/>
    </w:rPr>
  </w:style>
  <w:style w:type="paragraph" w:styleId="44">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5">
    <w:name w:val="TOC Heading1"/>
    <w:basedOn w:val="2"/>
    <w:next w:val="1"/>
    <w:qFormat/>
    <w:uiPriority w:val="99"/>
    <w:pPr>
      <w:numPr>
        <w:numId w:val="0"/>
      </w:numPr>
      <w:outlineLvl w:val="9"/>
    </w:pPr>
  </w:style>
  <w:style w:type="character" w:customStyle="1" w:styleId="46">
    <w:name w:val="页脚 字符"/>
    <w:link w:val="13"/>
    <w:qFormat/>
    <w:locked/>
    <w:uiPriority w:val="99"/>
    <w:rPr>
      <w:sz w:val="24"/>
      <w:lang w:val="en-GB" w:eastAsia="en-US"/>
    </w:rPr>
  </w:style>
  <w:style w:type="character" w:customStyle="1" w:styleId="47">
    <w:name w:val="instruction standard blue"/>
    <w:qFormat/>
    <w:uiPriority w:val="99"/>
    <w:rPr>
      <w:i/>
      <w:color w:val="0070C0"/>
    </w:rPr>
  </w:style>
  <w:style w:type="character" w:customStyle="1" w:styleId="48">
    <w:name w:val="keyword"/>
    <w:qFormat/>
    <w:uiPriority w:val="99"/>
    <w:rPr>
      <w:rFonts w:cs="Times New Roman"/>
    </w:rPr>
  </w:style>
  <w:style w:type="paragraph" w:customStyle="1" w:styleId="49">
    <w:name w:val="numbering blue"/>
    <w:basedOn w:val="1"/>
    <w:link w:val="50"/>
    <w:qFormat/>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0">
    <w:name w:val="numbering blue Zchn"/>
    <w:link w:val="49"/>
    <w:qFormat/>
    <w:locked/>
    <w:uiPriority w:val="99"/>
    <w:rPr>
      <w:rFonts w:ascii="Arial" w:hAnsi="Arial" w:eastAsia="PMingLiUfalt"/>
      <w:color w:val="0070C0"/>
      <w:lang w:eastAsia="zh-TW"/>
    </w:rPr>
  </w:style>
  <w:style w:type="paragraph" w:customStyle="1" w:styleId="51">
    <w:name w:val="Default"/>
    <w:qFormat/>
    <w:uiPriority w:val="99"/>
    <w:pPr>
      <w:widowControl w:val="0"/>
      <w:autoSpaceDE w:val="0"/>
      <w:autoSpaceDN w:val="0"/>
    </w:pPr>
    <w:rPr>
      <w:rFonts w:ascii="Arial" w:hAnsi="Arial" w:eastAsia="宋体" w:cs="Times New Roman"/>
      <w:color w:val="000000"/>
      <w:sz w:val="24"/>
      <w:lang w:val="en-US" w:eastAsia="zh-CN" w:bidi="ar-SA"/>
    </w:rPr>
  </w:style>
  <w:style w:type="character" w:customStyle="1" w:styleId="52">
    <w:name w:val="Text Char"/>
    <w:link w:val="53"/>
    <w:qFormat/>
    <w:locked/>
    <w:uiPriority w:val="99"/>
    <w:rPr>
      <w:sz w:val="24"/>
      <w:lang w:eastAsia="en-US"/>
    </w:rPr>
  </w:style>
  <w:style w:type="paragraph" w:customStyle="1" w:styleId="53">
    <w:name w:val="Text"/>
    <w:basedOn w:val="1"/>
    <w:link w:val="52"/>
    <w:qFormat/>
    <w:uiPriority w:val="99"/>
    <w:pPr>
      <w:overflowPunct/>
      <w:autoSpaceDE/>
      <w:autoSpaceDN/>
      <w:adjustRightInd/>
      <w:spacing w:before="120"/>
      <w:jc w:val="both"/>
      <w:textAlignment w:val="auto"/>
    </w:pPr>
    <w:rPr>
      <w:sz w:val="24"/>
      <w:lang w:val="en-US"/>
    </w:rPr>
  </w:style>
  <w:style w:type="character" w:customStyle="1" w:styleId="54">
    <w:name w:val="ordinary-span-edit2"/>
    <w:qFormat/>
    <w:uiPriority w:val="99"/>
  </w:style>
  <w:style w:type="character" w:customStyle="1" w:styleId="55">
    <w:name w:val="apple-converted-space"/>
    <w:qFormat/>
    <w:uiPriority w:val="99"/>
    <w:rPr>
      <w:rFonts w:cs="Times New Roman"/>
    </w:rPr>
  </w:style>
  <w:style w:type="paragraph" w:customStyle="1" w:styleId="56">
    <w:name w:val="Table text"/>
    <w:basedOn w:val="1"/>
    <w:qFormat/>
    <w:uiPriority w:val="99"/>
    <w:pPr>
      <w:overflowPunct/>
      <w:autoSpaceDE/>
      <w:autoSpaceDN/>
      <w:adjustRightInd/>
      <w:spacing w:before="120" w:after="120"/>
      <w:jc w:val="both"/>
      <w:textAlignment w:val="auto"/>
    </w:pPr>
    <w:rPr>
      <w:lang w:val="en-US"/>
    </w:rPr>
  </w:style>
  <w:style w:type="character" w:customStyle="1" w:styleId="57">
    <w:name w:val="Char Char2"/>
    <w:semiHidden/>
    <w:qFormat/>
    <w:uiPriority w:val="99"/>
    <w:rPr>
      <w:sz w:val="24"/>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809D11-F1F3-4848-B07E-5162F31878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8735</Words>
  <Characters>9284</Characters>
  <Lines>80</Lines>
  <Paragraphs>22</Paragraphs>
  <TotalTime>2</TotalTime>
  <ScaleCrop>false</ScaleCrop>
  <LinksUpToDate>false</LinksUpToDate>
  <CharactersWithSpaces>9528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2022-01-01T12:13:00Z</dcterms:created>
  <dc:creator>Lilly</dc:creator>
  <cp:lastModifiedBy>汪洋</cp:lastModifiedBy>
  <cp:lastPrinted>2022-01-18T06:30:00Z</cp:lastPrinted>
  <dcterms:modified xsi:type="dcterms:W3CDTF">2022-05-06T01:34:04Z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5A5C1CD410DB4B888AC5902D4188A695</vt:lpwstr>
  </property>
</Properties>
</file>