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482717189"/>
      <w:bookmarkStart w:id="1" w:name="_Toc483666358"/>
      <w:bookmarkStart w:id="2" w:name="_Toc484532399"/>
      <w:bookmarkStart w:id="3" w:name="_Toc483227223"/>
      <w:bookmarkStart w:id="4" w:name="_Toc483400307"/>
    </w:p>
    <w:p>
      <w:pPr>
        <w:spacing w:after="158" w:afterLines="50"/>
        <w:jc w:val="center"/>
        <w:rPr>
          <w:b/>
          <w:szCs w:val="21"/>
          <w:lang w:eastAsia="zh-CN"/>
        </w:rPr>
      </w:pPr>
      <w:permStart w:id="0" w:edGrp="everyone"/>
      <w:r>
        <w:rPr>
          <w:rFonts w:hint="eastAsia"/>
          <w:b/>
          <w:sz w:val="28"/>
          <w:szCs w:val="28"/>
          <w:lang w:eastAsia="zh-CN"/>
        </w:rPr>
        <w:t>联合疫苗车间组分苗超滤系统CUF50</w:t>
      </w:r>
      <w:permEnd w:id="0"/>
      <w:r>
        <w:rPr>
          <w:b/>
          <w:sz w:val="28"/>
          <w:szCs w:val="28"/>
          <w:lang w:eastAsia="zh-CN"/>
        </w:rPr>
        <w:t>用户需求说明（URS</w:t>
      </w:r>
      <w:r>
        <w:rPr>
          <w:b/>
          <w:szCs w:val="21"/>
          <w:lang w:eastAsia="zh-CN"/>
        </w:rPr>
        <w:t>）</w:t>
      </w:r>
      <w:bookmarkEnd w:id="0"/>
      <w:bookmarkEnd w:id="1"/>
      <w:bookmarkEnd w:id="2"/>
      <w:bookmarkEnd w:id="3"/>
      <w:bookmarkEnd w:id="4"/>
    </w:p>
    <w:p>
      <w:pPr>
        <w:pStyle w:val="33"/>
        <w:keepNext w:val="0"/>
        <w:keepLines w:val="0"/>
        <w:widowControl w:val="0"/>
        <w:spacing w:after="158" w:afterLines="50" w:line="240" w:lineRule="auto"/>
        <w:jc w:val="center"/>
        <w:rPr>
          <w:sz w:val="21"/>
          <w:szCs w:val="21"/>
          <w:lang w:val="zh-CN" w:eastAsia="zh-CN"/>
        </w:rPr>
      </w:pPr>
      <w:permStart w:id="1" w:edGrp="everyone"/>
      <w:permEnd w:id="1"/>
      <w:r>
        <w:rPr>
          <w:sz w:val="21"/>
          <w:szCs w:val="21"/>
          <w:lang w:val="zh-CN" w:eastAsia="zh-CN"/>
        </w:rPr>
        <w:t xml:space="preserve">目录 </w:t>
      </w:r>
    </w:p>
    <w:p>
      <w:pPr>
        <w:pStyle w:val="15"/>
        <w:rPr>
          <w:b w:val="0"/>
          <w:bCs w:val="0"/>
          <w:caps w:val="0"/>
          <w:szCs w:val="22"/>
        </w:rPr>
      </w:pPr>
      <w:permStart w:id="2" w:edGrp="everyone"/>
      <w:r>
        <w:fldChar w:fldCharType="begin"/>
      </w:r>
      <w:r>
        <w:instrText xml:space="preserve"> TOC \o "1-2" \h \z \u </w:instrText>
      </w:r>
      <w:r>
        <w:fldChar w:fldCharType="separate"/>
      </w:r>
      <w:r>
        <w:fldChar w:fldCharType="begin"/>
      </w:r>
      <w:r>
        <w:instrText xml:space="preserve"> HYPERLINK \l "_Toc522716114" </w:instrText>
      </w:r>
      <w:r>
        <w:fldChar w:fldCharType="separate"/>
      </w:r>
      <w:r>
        <w:rPr>
          <w:rStyle w:val="23"/>
        </w:rPr>
        <w:t>修订历史</w:t>
      </w:r>
      <w:r>
        <w:tab/>
      </w:r>
      <w:r>
        <w:fldChar w:fldCharType="begin"/>
      </w:r>
      <w:r>
        <w:instrText xml:space="preserve"> PAGEREF _Toc522716114 \h </w:instrText>
      </w:r>
      <w:r>
        <w:fldChar w:fldCharType="separate"/>
      </w:r>
      <w:r>
        <w:t>3</w:t>
      </w:r>
      <w:r>
        <w:fldChar w:fldCharType="end"/>
      </w:r>
      <w:r>
        <w:fldChar w:fldCharType="end"/>
      </w:r>
    </w:p>
    <w:p>
      <w:pPr>
        <w:pStyle w:val="15"/>
        <w:rPr>
          <w:b w:val="0"/>
          <w:bCs w:val="0"/>
          <w:caps w:val="0"/>
          <w:szCs w:val="22"/>
        </w:rPr>
      </w:pPr>
      <w:r>
        <w:fldChar w:fldCharType="begin"/>
      </w:r>
      <w:r>
        <w:instrText xml:space="preserve"> HYPERLINK \l "_Toc522716115" </w:instrText>
      </w:r>
      <w:r>
        <w:fldChar w:fldCharType="separate"/>
      </w:r>
      <w:r>
        <w:rPr>
          <w:rStyle w:val="23"/>
        </w:rPr>
        <w:t>1</w:t>
      </w:r>
      <w:r>
        <w:rPr>
          <w:b w:val="0"/>
          <w:bCs w:val="0"/>
          <w:caps w:val="0"/>
          <w:szCs w:val="22"/>
        </w:rPr>
        <w:tab/>
      </w:r>
      <w:r>
        <w:rPr>
          <w:rStyle w:val="23"/>
        </w:rPr>
        <w:t>目的</w:t>
      </w:r>
      <w:r>
        <w:tab/>
      </w:r>
      <w:r>
        <w:fldChar w:fldCharType="begin"/>
      </w:r>
      <w:r>
        <w:instrText xml:space="preserve"> PAGEREF _Toc522716115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"_Toc522716116" </w:instrText>
      </w:r>
      <w:r>
        <w:fldChar w:fldCharType="separate"/>
      </w:r>
      <w:r>
        <w:rPr>
          <w:rStyle w:val="23"/>
        </w:rPr>
        <w:t>2</w:t>
      </w:r>
      <w:r>
        <w:rPr>
          <w:b w:val="0"/>
          <w:bCs w:val="0"/>
          <w:caps w:val="0"/>
          <w:szCs w:val="22"/>
        </w:rPr>
        <w:tab/>
      </w:r>
      <w:r>
        <w:rPr>
          <w:rStyle w:val="23"/>
        </w:rPr>
        <w:t>范围</w:t>
      </w:r>
      <w:r>
        <w:tab/>
      </w:r>
      <w:r>
        <w:fldChar w:fldCharType="begin"/>
      </w:r>
      <w:r>
        <w:instrText xml:space="preserve"> PAGEREF _Toc522716116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"_Toc522716117" </w:instrText>
      </w:r>
      <w:r>
        <w:fldChar w:fldCharType="separate"/>
      </w:r>
      <w:r>
        <w:rPr>
          <w:rStyle w:val="23"/>
        </w:rPr>
        <w:t>3</w:t>
      </w:r>
      <w:r>
        <w:rPr>
          <w:b w:val="0"/>
          <w:bCs w:val="0"/>
          <w:caps w:val="0"/>
          <w:szCs w:val="22"/>
        </w:rPr>
        <w:tab/>
      </w:r>
      <w:r>
        <w:rPr>
          <w:rStyle w:val="23"/>
        </w:rPr>
        <w:t>参考文件</w:t>
      </w:r>
      <w:r>
        <w:tab/>
      </w:r>
      <w:r>
        <w:fldChar w:fldCharType="begin"/>
      </w:r>
      <w:r>
        <w:instrText xml:space="preserve"> PAGEREF _Toc522716117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"_Toc522716118" </w:instrText>
      </w:r>
      <w:r>
        <w:fldChar w:fldCharType="separate"/>
      </w:r>
      <w:r>
        <w:rPr>
          <w:rStyle w:val="23"/>
        </w:rPr>
        <w:t>4</w:t>
      </w:r>
      <w:r>
        <w:rPr>
          <w:b w:val="0"/>
          <w:bCs w:val="0"/>
          <w:caps w:val="0"/>
          <w:szCs w:val="22"/>
        </w:rPr>
        <w:tab/>
      </w:r>
      <w:r>
        <w:rPr>
          <w:rStyle w:val="23"/>
        </w:rPr>
        <w:t>职责</w:t>
      </w:r>
      <w:r>
        <w:tab/>
      </w:r>
      <w:r>
        <w:fldChar w:fldCharType="begin"/>
      </w:r>
      <w:r>
        <w:instrText xml:space="preserve"> PAGEREF _Toc522716118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"_Toc522716119" </w:instrText>
      </w:r>
      <w:r>
        <w:fldChar w:fldCharType="separate"/>
      </w:r>
      <w:r>
        <w:rPr>
          <w:rStyle w:val="23"/>
        </w:rPr>
        <w:t>5</w:t>
      </w:r>
      <w:r>
        <w:rPr>
          <w:b w:val="0"/>
          <w:bCs w:val="0"/>
          <w:caps w:val="0"/>
          <w:szCs w:val="22"/>
        </w:rPr>
        <w:tab/>
      </w:r>
      <w:r>
        <w:rPr>
          <w:rStyle w:val="23"/>
        </w:rPr>
        <w:t>系统描述</w:t>
      </w:r>
      <w:r>
        <w:tab/>
      </w:r>
      <w:r>
        <w:fldChar w:fldCharType="begin"/>
      </w:r>
      <w:r>
        <w:instrText xml:space="preserve"> PAGEREF _Toc522716119 \h </w:instrText>
      </w:r>
      <w:r>
        <w:fldChar w:fldCharType="separate"/>
      </w:r>
      <w:r>
        <w:t>5</w:t>
      </w:r>
      <w:r>
        <w:fldChar w:fldCharType="end"/>
      </w:r>
      <w:r>
        <w:fldChar w:fldCharType="end"/>
      </w:r>
    </w:p>
    <w:p>
      <w:pPr>
        <w:pStyle w:val="15"/>
        <w:rPr>
          <w:b w:val="0"/>
          <w:bCs w:val="0"/>
          <w:caps w:val="0"/>
          <w:szCs w:val="22"/>
        </w:rPr>
      </w:pPr>
      <w:r>
        <w:fldChar w:fldCharType="begin"/>
      </w:r>
      <w:r>
        <w:instrText xml:space="preserve"> HYPERLINK \l "_Toc522716120" </w:instrText>
      </w:r>
      <w:r>
        <w:fldChar w:fldCharType="separate"/>
      </w:r>
      <w:r>
        <w:rPr>
          <w:rStyle w:val="23"/>
        </w:rPr>
        <w:t>6</w:t>
      </w:r>
      <w:r>
        <w:rPr>
          <w:b w:val="0"/>
          <w:bCs w:val="0"/>
          <w:caps w:val="0"/>
          <w:szCs w:val="22"/>
        </w:rPr>
        <w:tab/>
      </w:r>
      <w:r>
        <w:rPr>
          <w:rStyle w:val="23"/>
        </w:rPr>
        <w:t>安装要求</w:t>
      </w:r>
      <w:r>
        <w:tab/>
      </w:r>
      <w:r>
        <w:fldChar w:fldCharType="begin"/>
      </w:r>
      <w:r>
        <w:instrText xml:space="preserve"> PAGEREF _Toc522716120 \h </w:instrText>
      </w:r>
      <w:r>
        <w:fldChar w:fldCharType="separate"/>
      </w:r>
      <w:r>
        <w:t>5</w:t>
      </w:r>
      <w:r>
        <w:fldChar w:fldCharType="end"/>
      </w:r>
      <w:r>
        <w:fldChar w:fldCharType="end"/>
      </w:r>
    </w:p>
    <w:p>
      <w:pPr>
        <w:pStyle w:val="15"/>
        <w:rPr>
          <w:b w:val="0"/>
          <w:bCs w:val="0"/>
          <w:caps w:val="0"/>
          <w:szCs w:val="22"/>
        </w:rPr>
      </w:pPr>
      <w:r>
        <w:fldChar w:fldCharType="begin"/>
      </w:r>
      <w:r>
        <w:instrText xml:space="preserve"> HYPERLINK \l "_Toc522716121" </w:instrText>
      </w:r>
      <w:r>
        <w:fldChar w:fldCharType="separate"/>
      </w:r>
      <w:r>
        <w:rPr>
          <w:rStyle w:val="23"/>
        </w:rPr>
        <w:t>7</w:t>
      </w:r>
      <w:r>
        <w:rPr>
          <w:b w:val="0"/>
          <w:bCs w:val="0"/>
          <w:caps w:val="0"/>
          <w:szCs w:val="22"/>
        </w:rPr>
        <w:tab/>
      </w:r>
      <w:r>
        <w:rPr>
          <w:rStyle w:val="23"/>
        </w:rPr>
        <w:t>运行要求</w:t>
      </w:r>
      <w:r>
        <w:tab/>
      </w:r>
      <w:r>
        <w:fldChar w:fldCharType="begin"/>
      </w:r>
      <w:r>
        <w:instrText xml:space="preserve"> PAGEREF _Toc522716121 \h </w:instrText>
      </w:r>
      <w:r>
        <w:fldChar w:fldCharType="separate"/>
      </w:r>
      <w:r>
        <w:t>8</w:t>
      </w:r>
      <w:r>
        <w:fldChar w:fldCharType="end"/>
      </w:r>
      <w:r>
        <w:fldChar w:fldCharType="end"/>
      </w:r>
    </w:p>
    <w:p>
      <w:pPr>
        <w:pStyle w:val="15"/>
        <w:rPr>
          <w:b w:val="0"/>
          <w:bCs w:val="0"/>
          <w:caps w:val="0"/>
          <w:szCs w:val="22"/>
        </w:rPr>
      </w:pPr>
      <w:r>
        <w:fldChar w:fldCharType="begin"/>
      </w:r>
      <w:r>
        <w:instrText xml:space="preserve"> HYPERLINK \l "_Toc522716122" </w:instrText>
      </w:r>
      <w:r>
        <w:fldChar w:fldCharType="separate"/>
      </w:r>
      <w:r>
        <w:rPr>
          <w:rStyle w:val="23"/>
        </w:rPr>
        <w:t>8</w:t>
      </w:r>
      <w:r>
        <w:rPr>
          <w:b w:val="0"/>
          <w:bCs w:val="0"/>
          <w:caps w:val="0"/>
          <w:szCs w:val="22"/>
        </w:rPr>
        <w:tab/>
      </w:r>
      <w:r>
        <w:rPr>
          <w:rStyle w:val="23"/>
        </w:rPr>
        <w:t>电气、自动控制要求</w:t>
      </w:r>
      <w:r>
        <w:tab/>
      </w:r>
      <w:r>
        <w:fldChar w:fldCharType="begin"/>
      </w:r>
      <w:r>
        <w:instrText xml:space="preserve"> PAGEREF _Toc522716122 \h </w:instrText>
      </w:r>
      <w:r>
        <w:fldChar w:fldCharType="separate"/>
      </w:r>
      <w:r>
        <w:t>8</w:t>
      </w:r>
      <w:r>
        <w:fldChar w:fldCharType="end"/>
      </w:r>
      <w:r>
        <w:fldChar w:fldCharType="end"/>
      </w:r>
    </w:p>
    <w:p>
      <w:pPr>
        <w:pStyle w:val="15"/>
        <w:rPr>
          <w:b w:val="0"/>
          <w:bCs w:val="0"/>
          <w:caps w:val="0"/>
          <w:szCs w:val="22"/>
        </w:rPr>
      </w:pPr>
      <w:r>
        <w:fldChar w:fldCharType="begin"/>
      </w:r>
      <w:r>
        <w:instrText xml:space="preserve"> HYPERLINK \l "_Toc522716123" </w:instrText>
      </w:r>
      <w:r>
        <w:fldChar w:fldCharType="separate"/>
      </w:r>
      <w:r>
        <w:rPr>
          <w:rStyle w:val="23"/>
        </w:rPr>
        <w:t>9</w:t>
      </w:r>
      <w:r>
        <w:rPr>
          <w:b w:val="0"/>
          <w:bCs w:val="0"/>
          <w:caps w:val="0"/>
          <w:szCs w:val="22"/>
        </w:rPr>
        <w:tab/>
      </w:r>
      <w:r>
        <w:rPr>
          <w:rStyle w:val="23"/>
        </w:rPr>
        <w:t>安全要求</w:t>
      </w:r>
      <w:r>
        <w:tab/>
      </w:r>
      <w:r>
        <w:fldChar w:fldCharType="begin"/>
      </w:r>
      <w:r>
        <w:instrText xml:space="preserve"> PAGEREF _Toc522716123 \h </w:instrText>
      </w:r>
      <w:r>
        <w:fldChar w:fldCharType="separate"/>
      </w:r>
      <w:r>
        <w:t>9</w:t>
      </w:r>
      <w:r>
        <w:fldChar w:fldCharType="end"/>
      </w:r>
      <w:r>
        <w:fldChar w:fldCharType="end"/>
      </w:r>
    </w:p>
    <w:p>
      <w:pPr>
        <w:pStyle w:val="15"/>
        <w:rPr>
          <w:b w:val="0"/>
          <w:bCs w:val="0"/>
          <w:caps w:val="0"/>
          <w:szCs w:val="22"/>
        </w:rPr>
      </w:pPr>
      <w:r>
        <w:fldChar w:fldCharType="begin"/>
      </w:r>
      <w:r>
        <w:instrText xml:space="preserve"> HYPERLINK \l "_Toc522716124" </w:instrText>
      </w:r>
      <w:r>
        <w:fldChar w:fldCharType="separate"/>
      </w:r>
      <w:r>
        <w:rPr>
          <w:rStyle w:val="23"/>
        </w:rPr>
        <w:t>10</w:t>
      </w:r>
      <w:r>
        <w:rPr>
          <w:b w:val="0"/>
          <w:bCs w:val="0"/>
          <w:caps w:val="0"/>
          <w:szCs w:val="22"/>
        </w:rPr>
        <w:tab/>
      </w:r>
      <w:r>
        <w:rPr>
          <w:rStyle w:val="23"/>
        </w:rPr>
        <w:t>文件要求</w:t>
      </w:r>
      <w:r>
        <w:tab/>
      </w:r>
      <w:r>
        <w:fldChar w:fldCharType="begin"/>
      </w:r>
      <w:r>
        <w:instrText xml:space="preserve"> PAGEREF _Toc522716124 \h </w:instrText>
      </w:r>
      <w:r>
        <w:fldChar w:fldCharType="separate"/>
      </w:r>
      <w:r>
        <w:t>10</w:t>
      </w:r>
      <w:r>
        <w:fldChar w:fldCharType="end"/>
      </w:r>
      <w:r>
        <w:fldChar w:fldCharType="end"/>
      </w:r>
    </w:p>
    <w:p>
      <w:pPr>
        <w:pStyle w:val="15"/>
        <w:rPr>
          <w:b w:val="0"/>
          <w:bCs w:val="0"/>
          <w:caps w:val="0"/>
          <w:szCs w:val="22"/>
        </w:rPr>
      </w:pPr>
      <w:r>
        <w:fldChar w:fldCharType="begin"/>
      </w:r>
      <w:r>
        <w:instrText xml:space="preserve"> HYPERLINK \l "_Toc522716125" </w:instrText>
      </w:r>
      <w:r>
        <w:fldChar w:fldCharType="separate"/>
      </w:r>
      <w:r>
        <w:rPr>
          <w:rStyle w:val="23"/>
        </w:rPr>
        <w:t>11</w:t>
      </w:r>
      <w:r>
        <w:rPr>
          <w:b w:val="0"/>
          <w:bCs w:val="0"/>
          <w:caps w:val="0"/>
          <w:szCs w:val="22"/>
        </w:rPr>
        <w:tab/>
      </w:r>
      <w:r>
        <w:rPr>
          <w:rStyle w:val="23"/>
        </w:rPr>
        <w:t>服务要求</w:t>
      </w:r>
      <w:r>
        <w:tab/>
      </w:r>
      <w:r>
        <w:fldChar w:fldCharType="begin"/>
      </w:r>
      <w:r>
        <w:instrText xml:space="preserve"> PAGEREF _Toc522716125 \h </w:instrText>
      </w:r>
      <w:r>
        <w:fldChar w:fldCharType="separate"/>
      </w:r>
      <w:r>
        <w:t>12</w:t>
      </w:r>
      <w:r>
        <w:fldChar w:fldCharType="end"/>
      </w:r>
      <w:r>
        <w:fldChar w:fldCharType="end"/>
      </w:r>
    </w:p>
    <w:p>
      <w:pPr>
        <w:pStyle w:val="15"/>
        <w:rPr>
          <w:b w:val="0"/>
          <w:bCs w:val="0"/>
          <w:caps w:val="0"/>
          <w:szCs w:val="22"/>
        </w:rPr>
      </w:pPr>
      <w:r>
        <w:fldChar w:fldCharType="begin"/>
      </w:r>
      <w:r>
        <w:instrText xml:space="preserve"> HYPERLINK \l "_Toc522716126" </w:instrText>
      </w:r>
      <w:r>
        <w:fldChar w:fldCharType="separate"/>
      </w:r>
      <w:r>
        <w:rPr>
          <w:rStyle w:val="23"/>
        </w:rPr>
        <w:t>12</w:t>
      </w:r>
      <w:r>
        <w:rPr>
          <w:b w:val="0"/>
          <w:bCs w:val="0"/>
          <w:caps w:val="0"/>
          <w:szCs w:val="22"/>
        </w:rPr>
        <w:tab/>
      </w:r>
      <w:r>
        <w:rPr>
          <w:rStyle w:val="23"/>
        </w:rPr>
        <w:t>附件</w:t>
      </w:r>
      <w:r>
        <w:tab/>
      </w:r>
      <w:r>
        <w:fldChar w:fldCharType="begin"/>
      </w:r>
      <w:r>
        <w:instrText xml:space="preserve"> PAGEREF _Toc522716126 \h </w:instrText>
      </w:r>
      <w:r>
        <w:fldChar w:fldCharType="separate"/>
      </w:r>
      <w:r>
        <w:t>13</w:t>
      </w:r>
      <w:r>
        <w:fldChar w:fldCharType="end"/>
      </w:r>
      <w:r>
        <w:fldChar w:fldCharType="end"/>
      </w:r>
    </w:p>
    <w:p>
      <w:r>
        <w:fldChar w:fldCharType="end"/>
      </w:r>
      <w:permEnd w:id="2"/>
    </w:p>
    <w:p>
      <w:pPr>
        <w:rPr>
          <w:b/>
          <w:bCs/>
          <w:caps/>
          <w:kern w:val="2"/>
          <w:szCs w:val="21"/>
          <w:lang w:eastAsia="zh-CN"/>
        </w:rPr>
      </w:pPr>
      <w:r>
        <w:rPr>
          <w:b/>
          <w:bCs/>
          <w:caps/>
          <w:kern w:val="2"/>
          <w:szCs w:val="21"/>
          <w:lang w:eastAsia="zh-CN"/>
        </w:rPr>
        <w:br w:type="page"/>
      </w:r>
    </w:p>
    <w:p>
      <w:pPr>
        <w:pStyle w:val="31"/>
        <w:numPr>
          <w:ilvl w:val="0"/>
          <w:numId w:val="3"/>
        </w:numPr>
        <w:spacing w:after="158" w:afterLines="50"/>
        <w:ind w:left="426" w:hanging="426" w:hangingChars="202"/>
        <w:outlineLvl w:val="0"/>
        <w:rPr>
          <w:rFonts w:ascii="Times New Roman" w:hAnsi="Times New Roman"/>
          <w:b/>
        </w:rPr>
      </w:pPr>
      <w:bookmarkStart w:id="5" w:name="_Toc522107735"/>
      <w:bookmarkStart w:id="6" w:name="_Toc522716115"/>
      <w:r>
        <w:rPr>
          <w:rFonts w:ascii="Times New Roman" w:hAnsi="Times New Roman"/>
          <w:b/>
        </w:rPr>
        <w:t>目的</w:t>
      </w:r>
      <w:bookmarkEnd w:id="5"/>
      <w:bookmarkEnd w:id="6"/>
    </w:p>
    <w:p>
      <w:pPr>
        <w:pStyle w:val="41"/>
        <w:spacing w:before="0" w:line="360" w:lineRule="auto"/>
        <w:ind w:left="357"/>
        <w:jc w:val="left"/>
        <w:rPr>
          <w:szCs w:val="21"/>
          <w:lang w:eastAsia="zh-CN"/>
        </w:rPr>
      </w:pPr>
      <w:bookmarkStart w:id="7" w:name="_Toc482370349"/>
      <w:bookmarkStart w:id="8" w:name="_Toc482359936"/>
      <w:bookmarkStart w:id="9" w:name="_Toc482625279"/>
      <w:bookmarkStart w:id="10" w:name="_Toc482360281"/>
      <w:bookmarkStart w:id="11" w:name="_Toc482370061"/>
      <w:bookmarkStart w:id="12" w:name="_Toc482370757"/>
      <w:bookmarkStart w:id="13" w:name="_Toc481702475"/>
      <w:bookmarkStart w:id="14" w:name="_Toc482370141"/>
      <w:bookmarkStart w:id="15" w:name="_Toc482369805"/>
      <w:r>
        <w:rPr>
          <w:szCs w:val="21"/>
          <w:lang w:eastAsia="zh-CN"/>
        </w:rPr>
        <w:t>本文件的目的是描述武汉生物制品研究所有限责任公司</w:t>
      </w:r>
      <w:permStart w:id="3" w:edGrp="everyone"/>
      <w:r>
        <w:rPr>
          <w:rFonts w:hint="eastAsia"/>
          <w:color w:val="000000"/>
          <w:szCs w:val="21"/>
          <w:lang w:eastAsia="zh-CN"/>
        </w:rPr>
        <w:t>联合疫苗楼百日咳车间预留超滤间超滤系统</w:t>
      </w:r>
      <w:permEnd w:id="3"/>
      <w:r>
        <w:rPr>
          <w:szCs w:val="21"/>
          <w:lang w:eastAsia="zh-CN"/>
        </w:rPr>
        <w:t>的用户需求说明（URS），以确保最终用户的需求在项目设计阶段得以实现，并作为后续验证工作的基础。</w:t>
      </w:r>
    </w:p>
    <w:p>
      <w:pPr>
        <w:pStyle w:val="41"/>
        <w:spacing w:before="0"/>
        <w:ind w:left="360"/>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6" w:name="_Toc522716116"/>
      <w:bookmarkStart w:id="17" w:name="_Toc522107736"/>
      <w:r>
        <w:rPr>
          <w:rFonts w:ascii="Times New Roman" w:hAnsi="Times New Roman"/>
          <w:b/>
        </w:rPr>
        <w:t>范围</w:t>
      </w:r>
      <w:bookmarkEnd w:id="16"/>
      <w:bookmarkEnd w:id="17"/>
    </w:p>
    <w:p>
      <w:pPr>
        <w:pStyle w:val="41"/>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color w:val="000000"/>
          <w:szCs w:val="21"/>
          <w:lang w:eastAsia="zh-CN"/>
        </w:rPr>
        <w:t>联合疫苗楼百日咳车间预留超滤间超滤系统</w:t>
      </w:r>
      <w:permEnd w:id="4"/>
      <w:r>
        <w:rPr>
          <w:szCs w:val="21"/>
          <w:lang w:eastAsia="zh-CN"/>
        </w:rPr>
        <w:t>。</w:t>
      </w:r>
      <w:bookmarkEnd w:id="7"/>
      <w:bookmarkEnd w:id="8"/>
      <w:bookmarkEnd w:id="9"/>
      <w:bookmarkEnd w:id="10"/>
      <w:bookmarkEnd w:id="11"/>
      <w:bookmarkEnd w:id="12"/>
      <w:bookmarkEnd w:id="13"/>
      <w:bookmarkEnd w:id="14"/>
      <w:bookmarkEnd w:id="15"/>
    </w:p>
    <w:p>
      <w:pPr>
        <w:pStyle w:val="41"/>
        <w:spacing w:before="0" w:line="360" w:lineRule="auto"/>
        <w:ind w:left="357"/>
        <w:jc w:val="left"/>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8" w:name="_Toc522107737"/>
      <w:bookmarkStart w:id="19" w:name="_Toc522716117"/>
      <w:r>
        <w:rPr>
          <w:rFonts w:ascii="Times New Roman" w:hAnsi="Times New Roman"/>
          <w:b/>
        </w:rPr>
        <w:t>参考文件</w:t>
      </w:r>
      <w:bookmarkEnd w:id="18"/>
      <w:bookmarkEnd w:id="19"/>
    </w:p>
    <w:p>
      <w:pPr>
        <w:pStyle w:val="41"/>
        <w:numPr>
          <w:ilvl w:val="0"/>
          <w:numId w:val="4"/>
        </w:numPr>
        <w:spacing w:before="0" w:line="360" w:lineRule="auto"/>
        <w:jc w:val="left"/>
        <w:rPr>
          <w:color w:val="000000"/>
          <w:szCs w:val="21"/>
          <w:lang w:eastAsia="zh-CN"/>
        </w:rPr>
      </w:pPr>
      <w:r>
        <w:rPr>
          <w:color w:val="000000"/>
          <w:szCs w:val="21"/>
          <w:lang w:eastAsia="zh-CN"/>
        </w:rPr>
        <w:t>GMP法规指南和SOP</w:t>
      </w:r>
    </w:p>
    <w:p>
      <w:pPr>
        <w:pStyle w:val="41"/>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41"/>
        <w:numPr>
          <w:ilvl w:val="0"/>
          <w:numId w:val="5"/>
        </w:numPr>
        <w:spacing w:before="0" w:line="360" w:lineRule="auto"/>
        <w:ind w:left="777"/>
        <w:jc w:val="left"/>
        <w:rPr>
          <w:color w:val="000000"/>
          <w:szCs w:val="21"/>
          <w:lang w:eastAsia="zh-CN"/>
        </w:rPr>
      </w:pPr>
      <w:permStart w:id="5" w:edGrp="everyone"/>
      <w:r>
        <w:rPr>
          <w:color w:val="000000"/>
          <w:szCs w:val="21"/>
          <w:lang w:eastAsia="zh-CN"/>
        </w:rPr>
        <w:t>中国药典 20</w:t>
      </w:r>
      <w:r>
        <w:rPr>
          <w:rFonts w:hint="eastAsia"/>
          <w:color w:val="000000"/>
          <w:szCs w:val="21"/>
          <w:lang w:eastAsia="zh-CN"/>
        </w:rPr>
        <w:t>20</w:t>
      </w:r>
      <w:r>
        <w:rPr>
          <w:color w:val="000000"/>
          <w:szCs w:val="21"/>
          <w:lang w:eastAsia="zh-CN"/>
        </w:rPr>
        <w:t>年版</w:t>
      </w:r>
    </w:p>
    <w:p>
      <w:pPr>
        <w:pStyle w:val="41"/>
        <w:numPr>
          <w:ilvl w:val="0"/>
          <w:numId w:val="5"/>
        </w:numPr>
        <w:spacing w:before="0" w:line="360" w:lineRule="auto"/>
        <w:ind w:left="777"/>
        <w:jc w:val="left"/>
        <w:rPr>
          <w:color w:val="000000"/>
          <w:szCs w:val="21"/>
          <w:lang w:eastAsia="zh-CN"/>
        </w:rPr>
      </w:pPr>
      <w:r>
        <w:rPr>
          <w:rFonts w:hint="eastAsia"/>
          <w:color w:val="000000"/>
          <w:szCs w:val="21"/>
          <w:lang w:eastAsia="zh-CN"/>
        </w:rPr>
        <w:t>药品生产质量管理规范（2010修订版）</w:t>
      </w:r>
    </w:p>
    <w:p>
      <w:pPr>
        <w:pStyle w:val="41"/>
        <w:numPr>
          <w:ilvl w:val="0"/>
          <w:numId w:val="5"/>
        </w:numPr>
        <w:spacing w:before="0" w:line="360" w:lineRule="auto"/>
        <w:ind w:left="777"/>
        <w:jc w:val="left"/>
        <w:rPr>
          <w:color w:val="000000"/>
          <w:szCs w:val="21"/>
          <w:lang w:eastAsia="zh-CN"/>
        </w:rPr>
      </w:pPr>
      <w:r>
        <w:rPr>
          <w:rFonts w:hint="eastAsia"/>
          <w:color w:val="000000"/>
          <w:szCs w:val="21"/>
          <w:lang w:eastAsia="zh-CN"/>
        </w:rPr>
        <w:t>GMP附件1《计算机化系统》（2015版）</w:t>
      </w:r>
    </w:p>
    <w:p>
      <w:pPr>
        <w:pStyle w:val="41"/>
        <w:numPr>
          <w:ilvl w:val="0"/>
          <w:numId w:val="5"/>
        </w:numPr>
        <w:spacing w:before="0" w:line="360" w:lineRule="auto"/>
        <w:ind w:left="777"/>
        <w:jc w:val="left"/>
        <w:rPr>
          <w:color w:val="000000"/>
          <w:szCs w:val="21"/>
          <w:lang w:eastAsia="zh-CN"/>
        </w:rPr>
      </w:pPr>
      <w:r>
        <w:rPr>
          <w:rFonts w:hint="eastAsia"/>
          <w:color w:val="000000"/>
          <w:szCs w:val="21"/>
          <w:lang w:eastAsia="zh-CN"/>
        </w:rPr>
        <w:t>GMP附件2《确认与验证》（2015版）</w:t>
      </w:r>
    </w:p>
    <w:p>
      <w:pPr>
        <w:pStyle w:val="41"/>
        <w:numPr>
          <w:ilvl w:val="0"/>
          <w:numId w:val="5"/>
        </w:numPr>
        <w:spacing w:before="0" w:line="360" w:lineRule="auto"/>
        <w:ind w:left="777"/>
        <w:jc w:val="left"/>
        <w:rPr>
          <w:color w:val="000000"/>
          <w:szCs w:val="21"/>
          <w:lang w:eastAsia="zh-CN"/>
        </w:rPr>
      </w:pPr>
      <w:r>
        <w:rPr>
          <w:rFonts w:hint="eastAsia"/>
          <w:color w:val="000000"/>
          <w:szCs w:val="21"/>
          <w:lang w:eastAsia="zh-CN"/>
        </w:rPr>
        <w:t>GAMP5药品生产自动化管理规范</w:t>
      </w:r>
    </w:p>
    <w:p>
      <w:pPr>
        <w:pStyle w:val="41"/>
        <w:numPr>
          <w:ilvl w:val="0"/>
          <w:numId w:val="5"/>
        </w:numPr>
        <w:spacing w:before="0" w:line="360" w:lineRule="auto"/>
        <w:ind w:left="777"/>
        <w:jc w:val="left"/>
        <w:rPr>
          <w:color w:val="000000"/>
          <w:szCs w:val="21"/>
          <w:lang w:eastAsia="zh-CN"/>
        </w:rPr>
      </w:pPr>
      <w:r>
        <w:rPr>
          <w:rFonts w:hint="eastAsia"/>
          <w:color w:val="000000"/>
          <w:szCs w:val="21"/>
          <w:lang w:eastAsia="zh-CN"/>
        </w:rPr>
        <w:t>电气及控制部分应符合IEC标准</w:t>
      </w:r>
    </w:p>
    <w:permEnd w:id="5"/>
    <w:p>
      <w:pPr>
        <w:pStyle w:val="41"/>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41"/>
        <w:numPr>
          <w:ilvl w:val="0"/>
          <w:numId w:val="5"/>
        </w:numPr>
        <w:spacing w:before="0" w:line="360" w:lineRule="auto"/>
        <w:ind w:left="777"/>
        <w:jc w:val="left"/>
        <w:rPr>
          <w:color w:val="000000"/>
          <w:szCs w:val="21"/>
          <w:lang w:eastAsia="zh-CN"/>
        </w:rPr>
      </w:pPr>
      <w:permStart w:id="6" w:edGrp="everyone"/>
      <w:r>
        <w:rPr>
          <w:color w:val="000000"/>
          <w:szCs w:val="21"/>
          <w:lang w:eastAsia="zh-CN"/>
        </w:rPr>
        <w:t>电气安全应符合GB4793.1和GB4793.4的要求。</w:t>
      </w:r>
    </w:p>
    <w:p>
      <w:pPr>
        <w:pStyle w:val="47"/>
        <w:numPr>
          <w:ilvl w:val="0"/>
          <w:numId w:val="5"/>
        </w:numPr>
        <w:ind w:firstLineChars="0"/>
        <w:rPr>
          <w:rFonts w:ascii="Times New Roman" w:hAnsi="Times New Roman"/>
          <w:iCs/>
          <w:kern w:val="0"/>
          <w:szCs w:val="21"/>
        </w:rPr>
      </w:pPr>
      <w:r>
        <w:rPr>
          <w:rFonts w:hint="eastAsia" w:ascii="Times New Roman" w:hAnsi="Times New Roman"/>
          <w:iCs/>
          <w:kern w:val="0"/>
          <w:szCs w:val="21"/>
        </w:rPr>
        <w:t>所有的电气设备和电缆必须根据IEC标准。</w:t>
      </w:r>
    </w:p>
    <w:p>
      <w:pPr>
        <w:pStyle w:val="47"/>
        <w:numPr>
          <w:ilvl w:val="0"/>
          <w:numId w:val="5"/>
        </w:numPr>
        <w:ind w:firstLineChars="0"/>
        <w:rPr>
          <w:rFonts w:ascii="Times New Roman" w:hAnsi="Times New Roman"/>
          <w:iCs/>
          <w:kern w:val="0"/>
          <w:szCs w:val="21"/>
        </w:rPr>
      </w:pPr>
      <w:r>
        <w:rPr>
          <w:rFonts w:hint="eastAsia" w:ascii="Times New Roman" w:hAnsi="Times New Roman"/>
          <w:iCs/>
          <w:kern w:val="0"/>
          <w:szCs w:val="21"/>
        </w:rPr>
        <w:t>安全：依照CE标准</w:t>
      </w:r>
    </w:p>
    <w:permEnd w:id="6"/>
    <w:p>
      <w:pPr>
        <w:pStyle w:val="41"/>
        <w:spacing w:before="0" w:line="360" w:lineRule="auto"/>
        <w:ind w:left="357"/>
        <w:jc w:val="left"/>
        <w:rPr>
          <w:i/>
          <w:szCs w:val="21"/>
          <w:lang w:eastAsia="zh-CN"/>
        </w:rPr>
      </w:pPr>
    </w:p>
    <w:p>
      <w:pPr>
        <w:pStyle w:val="31"/>
        <w:numPr>
          <w:ilvl w:val="0"/>
          <w:numId w:val="3"/>
        </w:numPr>
        <w:spacing w:after="158" w:afterLines="50"/>
        <w:ind w:left="426" w:hanging="426" w:hangingChars="202"/>
        <w:outlineLvl w:val="0"/>
        <w:rPr>
          <w:rFonts w:ascii="Times New Roman" w:hAnsi="Times New Roman"/>
          <w:b/>
        </w:rPr>
      </w:pPr>
      <w:permStart w:id="7" w:edGrp="everyone"/>
      <w:permEnd w:id="7"/>
      <w:bookmarkStart w:id="20" w:name="_Toc522107739"/>
      <w:bookmarkStart w:id="21" w:name="_Toc522716119"/>
      <w:r>
        <w:rPr>
          <w:rFonts w:ascii="Times New Roman" w:hAnsi="Times New Roman"/>
          <w:b/>
        </w:rPr>
        <w:t>系统描述</w:t>
      </w:r>
      <w:bookmarkEnd w:id="20"/>
      <w:bookmarkEnd w:id="21"/>
    </w:p>
    <w:p>
      <w:pPr>
        <w:pStyle w:val="41"/>
        <w:spacing w:before="0" w:line="360" w:lineRule="auto"/>
        <w:jc w:val="left"/>
        <w:rPr>
          <w:i/>
          <w:color w:val="4472C4"/>
          <w:szCs w:val="21"/>
          <w:lang w:eastAsia="zh-CN"/>
        </w:rPr>
      </w:pPr>
      <w:permStart w:id="8" w:edGrp="everyone"/>
      <w:bookmarkStart w:id="22" w:name="_Hlk21789678"/>
      <w:bookmarkStart w:id="23" w:name="OLE_LINK5"/>
      <w:r>
        <w:rPr>
          <w:rFonts w:hint="eastAsia"/>
          <w:color w:val="000000"/>
          <w:szCs w:val="21"/>
          <w:lang w:eastAsia="zh-CN"/>
        </w:rPr>
        <w:t>根据新建联合疫苗楼百日咳抗原超滤浓缩洗滤要求，需要新购1套超滤系统</w:t>
      </w:r>
      <w:bookmarkEnd w:id="22"/>
      <w:bookmarkEnd w:id="23"/>
      <w:r>
        <w:rPr>
          <w:rFonts w:hint="eastAsia"/>
          <w:color w:val="000000"/>
          <w:szCs w:val="21"/>
          <w:lang w:eastAsia="zh-CN"/>
        </w:rPr>
        <w:t>。该超滤系统主要用于</w:t>
      </w:r>
      <w:r>
        <w:rPr>
          <w:rFonts w:hint="eastAsia"/>
          <w:color w:val="000000" w:themeColor="text1"/>
          <w:szCs w:val="21"/>
          <w:lang w:eastAsia="zh-CN"/>
        </w:rPr>
        <w:t>百日咳抗原的</w:t>
      </w:r>
      <w:r>
        <w:rPr>
          <w:rFonts w:hint="eastAsia"/>
          <w:color w:val="000000"/>
          <w:szCs w:val="21"/>
          <w:lang w:eastAsia="zh-CN"/>
        </w:rPr>
        <w:t>浓缩和洗滤，要求超滤时温度、浓缩体积、电导、pH值等达到工艺要求，该系统应由供液泵、必要的检测仪表、不锈钢管道、数据记录及控制系统、电控柜以及配套使用的不锈钢中间罐等部件组成。系统可适配Millpore板式聚醚砜材质膜包，满足工艺要求以便符合GMP对设备的相关规定。</w:t>
      </w:r>
    </w:p>
    <w:permEnd w:id="8"/>
    <w:p>
      <w:pPr>
        <w:pStyle w:val="41"/>
        <w:spacing w:before="0" w:line="360" w:lineRule="auto"/>
        <w:ind w:left="357"/>
        <w:jc w:val="left"/>
        <w:rPr>
          <w:i/>
          <w:color w:val="4472C4"/>
          <w:szCs w:val="21"/>
          <w:lang w:eastAsia="zh-CN"/>
        </w:rPr>
      </w:pPr>
    </w:p>
    <w:p>
      <w:pPr>
        <w:pStyle w:val="31"/>
        <w:numPr>
          <w:ilvl w:val="0"/>
          <w:numId w:val="3"/>
        </w:numPr>
        <w:spacing w:after="158" w:afterLines="50"/>
        <w:ind w:left="426" w:hanging="426" w:hangingChars="202"/>
        <w:outlineLvl w:val="0"/>
        <w:rPr>
          <w:rFonts w:ascii="Times New Roman" w:hAnsi="Times New Roman"/>
          <w:szCs w:val="21"/>
        </w:rPr>
      </w:pPr>
      <w:bookmarkStart w:id="24" w:name="_Toc522716120"/>
      <w:r>
        <w:rPr>
          <w:rFonts w:ascii="Times New Roman" w:hAnsi="Times New Roman"/>
          <w:b/>
          <w:szCs w:val="21"/>
        </w:rPr>
        <w:t>安装要求</w:t>
      </w:r>
      <w:bookmarkEnd w:id="24"/>
      <w:bookmarkStart w:id="49" w:name="_GoBack"/>
      <w:bookmarkEnd w:id="49"/>
      <w:permStart w:id="9" w:edGrp="everyone"/>
      <w:permEnd w:id="9"/>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bookmarkStart w:id="25" w:name="OLE_LINK2"/>
            <w:bookmarkStart w:id="26" w:name="OLE_LINK1"/>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0" w:edGrp="everyone"/>
          </w:p>
        </w:tc>
        <w:tc>
          <w:tcPr>
            <w:tcW w:w="7128" w:type="dxa"/>
            <w:shd w:val="clear" w:color="auto" w:fill="auto"/>
            <w:vAlign w:val="center"/>
          </w:tcPr>
          <w:p>
            <w:pPr>
              <w:spacing w:line="276" w:lineRule="auto"/>
              <w:jc w:val="both"/>
              <w:rPr>
                <w:color w:val="000000"/>
                <w:szCs w:val="21"/>
                <w:lang w:val="en-US" w:eastAsia="zh-CN"/>
              </w:rPr>
            </w:pPr>
            <w:r>
              <w:rPr>
                <w:rFonts w:hint="eastAsia"/>
                <w:color w:val="000000"/>
                <w:szCs w:val="21"/>
                <w:lang w:val="en-US" w:eastAsia="zh-CN"/>
              </w:rPr>
              <w:t>新建联合疫苗楼百日咳车间预留超滤间。</w:t>
            </w:r>
          </w:p>
        </w:tc>
        <w:tc>
          <w:tcPr>
            <w:tcW w:w="2125" w:type="dxa"/>
            <w:shd w:val="clear" w:color="auto" w:fill="auto"/>
            <w:vAlign w:val="center"/>
          </w:tcPr>
          <w:p>
            <w:pPr>
              <w:jc w:val="both"/>
              <w:rPr>
                <w:color w:val="000000"/>
                <w:szCs w:val="21"/>
                <w:lang w:val="en-US" w:eastAsia="zh-CN"/>
              </w:rPr>
            </w:pPr>
            <w:r>
              <w:rPr>
                <w:color w:val="000000"/>
                <w:szCs w:val="21"/>
                <w:lang w:val="en-US"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1" w:edGrp="everyone"/>
          </w:p>
        </w:tc>
        <w:tc>
          <w:tcPr>
            <w:tcW w:w="7128" w:type="dxa"/>
            <w:shd w:val="clear" w:color="auto" w:fill="auto"/>
            <w:vAlign w:val="center"/>
          </w:tcPr>
          <w:p>
            <w:pPr>
              <w:jc w:val="both"/>
              <w:rPr>
                <w:rFonts w:ascii="等线" w:hAnsi="等线" w:eastAsia="等线" w:cs="宋体"/>
                <w:color w:val="000000"/>
                <w:sz w:val="22"/>
                <w:szCs w:val="22"/>
                <w:lang w:eastAsia="zh-CN"/>
              </w:rPr>
            </w:pPr>
            <w:r>
              <w:rPr>
                <w:rFonts w:hint="eastAsia"/>
                <w:color w:val="000000"/>
                <w:szCs w:val="21"/>
                <w:lang w:val="en-US" w:eastAsia="zh-CN"/>
              </w:rPr>
              <w:t>系统膜包可安装面积</w:t>
            </w:r>
            <w:r>
              <w:rPr>
                <w:rFonts w:hint="eastAsia"/>
                <w:color w:val="000000" w:themeColor="text1"/>
                <w:szCs w:val="21"/>
                <w:lang w:val="en-US" w:eastAsia="zh-CN"/>
              </w:rPr>
              <w:t>2</w:t>
            </w:r>
            <w:r>
              <w:rPr>
                <w:color w:val="000000" w:themeColor="text1"/>
                <w:szCs w:val="21"/>
                <w:lang w:val="en-US" w:eastAsia="zh-CN"/>
              </w:rPr>
              <w:t>.5-5</w:t>
            </w:r>
            <w:r>
              <w:rPr>
                <w:rFonts w:hint="eastAsia"/>
                <w:color w:val="000000" w:themeColor="text1"/>
                <w:szCs w:val="21"/>
                <w:lang w:val="en-US" w:eastAsia="zh-CN"/>
              </w:rPr>
              <w:t>平米，固定罐体积20L（</w:t>
            </w:r>
            <w:r>
              <w:rPr>
                <w:rFonts w:hint="eastAsia"/>
                <w:color w:val="000000"/>
                <w:szCs w:val="21"/>
                <w:lang w:val="en-US" w:eastAsia="zh-CN"/>
              </w:rPr>
              <w:t>整套系统可以滑轮移动）。</w:t>
            </w:r>
          </w:p>
        </w:tc>
        <w:tc>
          <w:tcPr>
            <w:tcW w:w="2125" w:type="dxa"/>
            <w:shd w:val="clear" w:color="auto" w:fill="auto"/>
            <w:vAlign w:val="center"/>
          </w:tcPr>
          <w:p>
            <w:pPr>
              <w:jc w:val="both"/>
              <w:rPr>
                <w:szCs w:val="21"/>
                <w:lang w:eastAsia="zh-CN"/>
              </w:rPr>
            </w:pPr>
            <w:r>
              <w:rPr>
                <w:iCs/>
                <w:szCs w:val="21"/>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2" w:edGrp="everyone"/>
          </w:p>
        </w:tc>
        <w:tc>
          <w:tcPr>
            <w:tcW w:w="7128" w:type="dxa"/>
            <w:shd w:val="clear" w:color="auto" w:fill="auto"/>
            <w:vAlign w:val="center"/>
          </w:tcPr>
          <w:p>
            <w:pPr>
              <w:spacing w:line="276" w:lineRule="auto"/>
              <w:jc w:val="both"/>
              <w:rPr>
                <w:color w:val="0070C0"/>
                <w:szCs w:val="21"/>
                <w:lang w:val="en-US" w:eastAsia="zh-CN"/>
              </w:rPr>
            </w:pPr>
            <w:r>
              <w:rPr>
                <w:color w:val="000000"/>
                <w:szCs w:val="21"/>
                <w:lang w:val="en-US" w:eastAsia="zh-CN"/>
              </w:rPr>
              <w:t>设备的形式尺寸</w:t>
            </w:r>
            <w:r>
              <w:rPr>
                <w:rFonts w:hint="eastAsia"/>
                <w:color w:val="000000"/>
                <w:szCs w:val="21"/>
                <w:lang w:val="en-US" w:eastAsia="zh-CN"/>
              </w:rPr>
              <w:t>:宽不超过</w:t>
            </w:r>
            <w:r>
              <w:rPr>
                <w:rFonts w:hint="eastAsia"/>
                <w:color w:val="000000" w:themeColor="text1"/>
                <w:szCs w:val="21"/>
                <w:lang w:val="en-US" w:eastAsia="zh-CN"/>
              </w:rPr>
              <w:t>1.0 m，高不超过2.</w:t>
            </w:r>
            <w:r>
              <w:rPr>
                <w:color w:val="000000" w:themeColor="text1"/>
                <w:szCs w:val="21"/>
                <w:lang w:val="en-US" w:eastAsia="zh-CN"/>
              </w:rPr>
              <w:t>2</w:t>
            </w:r>
            <w:r>
              <w:rPr>
                <w:rFonts w:hint="eastAsia"/>
                <w:color w:val="000000" w:themeColor="text1"/>
                <w:szCs w:val="21"/>
                <w:lang w:val="en-US" w:eastAsia="zh-CN"/>
              </w:rPr>
              <w:t>m，长不超过1.5m。</w:t>
            </w:r>
          </w:p>
        </w:tc>
        <w:tc>
          <w:tcPr>
            <w:tcW w:w="2125" w:type="dxa"/>
            <w:shd w:val="clear" w:color="auto" w:fill="auto"/>
            <w:vAlign w:val="center"/>
          </w:tcPr>
          <w:p>
            <w:pPr>
              <w:jc w:val="both"/>
              <w:rPr>
                <w:szCs w:val="21"/>
                <w:lang w:eastAsia="zh-CN"/>
              </w:rPr>
            </w:pPr>
            <w:r>
              <w:rPr>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70C0"/>
                <w:szCs w:val="21"/>
                <w:lang w:eastAsia="zh-CN"/>
              </w:rPr>
            </w:pPr>
            <w:r>
              <w:rPr>
                <w:color w:val="000000"/>
                <w:szCs w:val="21"/>
                <w:lang w:val="en-US" w:eastAsia="zh-CN"/>
              </w:rPr>
              <w:t>供应商必须给出设备选型方案及相应附件选型方案，并交给我公司使用部门及工程类部门审核。</w:t>
            </w:r>
          </w:p>
        </w:tc>
        <w:tc>
          <w:tcPr>
            <w:tcW w:w="2125" w:type="dxa"/>
            <w:shd w:val="clear" w:color="auto" w:fill="auto"/>
            <w:vAlign w:val="center"/>
          </w:tcPr>
          <w:p>
            <w:pPr>
              <w:jc w:val="both"/>
              <w:rPr>
                <w:szCs w:val="21"/>
                <w:lang w:eastAsia="zh-CN"/>
              </w:rPr>
            </w:pPr>
            <w:r>
              <w:rPr>
                <w:iCs/>
                <w:szCs w:val="21"/>
                <w:lang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3" w:edGrp="everyone"/>
          </w:p>
        </w:tc>
        <w:tc>
          <w:tcPr>
            <w:tcW w:w="7128" w:type="dxa"/>
            <w:shd w:val="clear" w:color="auto" w:fill="auto"/>
            <w:vAlign w:val="center"/>
          </w:tcPr>
          <w:p>
            <w:pPr>
              <w:spacing w:line="276" w:lineRule="auto"/>
              <w:jc w:val="both"/>
              <w:rPr>
                <w:i/>
                <w:color w:val="000000" w:themeColor="text1"/>
                <w:szCs w:val="21"/>
                <w:lang w:eastAsia="zh-CN"/>
              </w:rPr>
            </w:pPr>
            <w:r>
              <w:rPr>
                <w:rFonts w:hint="eastAsia"/>
                <w:iCs/>
                <w:color w:val="000000" w:themeColor="text1"/>
                <w:szCs w:val="21"/>
                <w:lang w:val="en-US" w:eastAsia="zh-CN"/>
              </w:rPr>
              <w:t>不超过房间地面承重，系统与罐体方便可人工转移（整套系统</w:t>
            </w:r>
            <w:r>
              <w:rPr>
                <w:iCs/>
                <w:color w:val="000000" w:themeColor="text1"/>
                <w:szCs w:val="21"/>
                <w:lang w:val="en-US" w:eastAsia="zh-CN"/>
              </w:rPr>
              <w:t>3</w:t>
            </w:r>
            <w:r>
              <w:rPr>
                <w:rFonts w:hint="eastAsia"/>
                <w:iCs/>
                <w:color w:val="000000" w:themeColor="text1"/>
                <w:szCs w:val="21"/>
                <w:lang w:val="en-US" w:eastAsia="zh-CN"/>
              </w:rPr>
              <w:t>00kg</w:t>
            </w:r>
            <w:r>
              <w:rPr>
                <w:iCs/>
                <w:color w:val="000000" w:themeColor="text1"/>
                <w:szCs w:val="21"/>
                <w:lang w:val="en-US" w:eastAsia="zh-CN"/>
              </w:rPr>
              <w:t>-400</w:t>
            </w:r>
            <w:r>
              <w:rPr>
                <w:rFonts w:hint="eastAsia"/>
                <w:iCs/>
                <w:color w:val="000000" w:themeColor="text1"/>
                <w:szCs w:val="21"/>
                <w:lang w:val="en-US" w:eastAsia="zh-CN"/>
              </w:rPr>
              <w:t>kg）。</w:t>
            </w:r>
          </w:p>
        </w:tc>
        <w:tc>
          <w:tcPr>
            <w:tcW w:w="2125" w:type="dxa"/>
            <w:shd w:val="clear" w:color="auto" w:fill="auto"/>
            <w:vAlign w:val="center"/>
          </w:tcPr>
          <w:p>
            <w:pPr>
              <w:jc w:val="both"/>
              <w:rPr>
                <w:szCs w:val="21"/>
                <w:lang w:eastAsia="zh-CN"/>
              </w:rPr>
            </w:pPr>
            <w:r>
              <w:rPr>
                <w:szCs w:val="21"/>
                <w:lang w:eastAsia="zh-CN"/>
              </w:rPr>
              <w:t>关键</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4" w:edGrp="everyone"/>
          </w:p>
        </w:tc>
        <w:tc>
          <w:tcPr>
            <w:tcW w:w="7128" w:type="dxa"/>
            <w:shd w:val="clear" w:color="auto" w:fill="auto"/>
            <w:vAlign w:val="center"/>
          </w:tcPr>
          <w:p>
            <w:pPr>
              <w:spacing w:line="276" w:lineRule="auto"/>
              <w:jc w:val="both"/>
              <w:rPr>
                <w:i/>
                <w:szCs w:val="21"/>
                <w:lang w:eastAsia="zh-CN"/>
              </w:rPr>
            </w:pPr>
            <w:r>
              <w:rPr>
                <w:iCs/>
                <w:szCs w:val="21"/>
                <w:lang w:val="en-US" w:eastAsia="zh-CN"/>
              </w:rPr>
              <w:t>生产商应在投标时注明设备所需要的公用工程介质的种类和参数。</w:t>
            </w:r>
          </w:p>
        </w:tc>
        <w:tc>
          <w:tcPr>
            <w:tcW w:w="2125" w:type="dxa"/>
            <w:shd w:val="clear" w:color="auto" w:fill="auto"/>
            <w:vAlign w:val="center"/>
          </w:tcPr>
          <w:p>
            <w:pPr>
              <w:jc w:val="both"/>
              <w:rPr>
                <w:szCs w:val="21"/>
                <w:lang w:eastAsia="zh-CN"/>
              </w:rPr>
            </w:pPr>
            <w:r>
              <w:rPr>
                <w:szCs w:val="21"/>
                <w:lang w:eastAsia="zh-CN"/>
              </w:rPr>
              <w:t>关键</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5" w:edGrp="everyone"/>
          </w:p>
        </w:tc>
        <w:tc>
          <w:tcPr>
            <w:tcW w:w="7128" w:type="dxa"/>
            <w:shd w:val="clear" w:color="auto" w:fill="auto"/>
            <w:vAlign w:val="center"/>
          </w:tcPr>
          <w:p>
            <w:pPr>
              <w:spacing w:line="276" w:lineRule="auto"/>
              <w:jc w:val="both"/>
              <w:rPr>
                <w:szCs w:val="21"/>
                <w:lang w:eastAsia="zh-CN"/>
              </w:rPr>
            </w:pPr>
            <w:r>
              <w:rPr>
                <w:rFonts w:hint="eastAsia"/>
                <w:color w:val="000000"/>
                <w:lang w:eastAsia="zh-CN"/>
              </w:rPr>
              <w:t>洁净级别及温湿度</w:t>
            </w:r>
            <w:r>
              <w:rPr>
                <w:color w:val="000000"/>
                <w:lang w:eastAsia="zh-CN"/>
              </w:rPr>
              <w:t>：</w:t>
            </w:r>
            <w:r>
              <w:rPr>
                <w:rFonts w:hint="eastAsia"/>
                <w:color w:val="000000"/>
                <w:lang w:eastAsia="zh-CN"/>
              </w:rPr>
              <w:t>C级区。</w:t>
            </w:r>
            <w:r>
              <w:rPr>
                <w:rFonts w:hint="eastAsia"/>
                <w:color w:val="000000" w:themeColor="text1"/>
                <w:lang w:eastAsia="zh-CN"/>
              </w:rPr>
              <w:t>系统及管路运行温度可覆盖5℃～50℃，系统可在5℃～30℃环境下操作。系统可覆盖湿度：至少包括15%～65%。</w:t>
            </w:r>
          </w:p>
        </w:tc>
        <w:tc>
          <w:tcPr>
            <w:tcW w:w="2125" w:type="dxa"/>
            <w:shd w:val="clear" w:color="auto" w:fill="auto"/>
            <w:vAlign w:val="center"/>
          </w:tcPr>
          <w:p>
            <w:pPr>
              <w:jc w:val="both"/>
              <w:rPr>
                <w:szCs w:val="21"/>
                <w:lang w:eastAsia="zh-CN"/>
              </w:rPr>
            </w:pPr>
            <w:r>
              <w:rPr>
                <w:szCs w:val="21"/>
                <w:lang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6" w:edGrp="everyone"/>
          </w:p>
        </w:tc>
        <w:tc>
          <w:tcPr>
            <w:tcW w:w="7128" w:type="dxa"/>
            <w:shd w:val="clear" w:color="auto" w:fill="auto"/>
            <w:vAlign w:val="center"/>
          </w:tcPr>
          <w:p>
            <w:pPr>
              <w:spacing w:line="276" w:lineRule="auto"/>
              <w:jc w:val="both"/>
              <w:rPr>
                <w:color w:val="000000"/>
                <w:lang w:eastAsia="zh-CN"/>
              </w:rPr>
            </w:pPr>
            <w:r>
              <w:rPr>
                <w:color w:val="000000"/>
                <w:lang w:eastAsia="zh-CN"/>
              </w:rPr>
              <w:t>交流电电源：</w:t>
            </w:r>
            <w:r>
              <w:rPr>
                <w:rFonts w:hint="eastAsia"/>
                <w:color w:val="000000" w:themeColor="text1"/>
                <w:lang w:eastAsia="zh-CN"/>
              </w:rPr>
              <w:t>3</w:t>
            </w:r>
            <w:r>
              <w:rPr>
                <w:color w:val="000000" w:themeColor="text1"/>
                <w:lang w:eastAsia="zh-CN"/>
              </w:rPr>
              <w:t>80V</w:t>
            </w:r>
            <w:r>
              <w:rPr>
                <w:rFonts w:hint="eastAsia"/>
                <w:color w:val="000000"/>
                <w:lang w:eastAsia="zh-CN"/>
              </w:rPr>
              <w:t>，电控柜内配置UPS电池，在主电源断电情况下可维持PC、HMI、PLC供电。</w:t>
            </w:r>
          </w:p>
        </w:tc>
        <w:tc>
          <w:tcPr>
            <w:tcW w:w="2125" w:type="dxa"/>
            <w:shd w:val="clear" w:color="auto" w:fill="auto"/>
            <w:vAlign w:val="center"/>
          </w:tcPr>
          <w:p>
            <w:pPr>
              <w:jc w:val="both"/>
              <w:rPr>
                <w:szCs w:val="21"/>
                <w:lang w:eastAsia="zh-CN"/>
              </w:rPr>
            </w:pPr>
            <w:r>
              <w:rPr>
                <w:szCs w:val="21"/>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7" w:edGrp="everyone"/>
          </w:p>
        </w:tc>
        <w:tc>
          <w:tcPr>
            <w:tcW w:w="7128" w:type="dxa"/>
            <w:shd w:val="clear" w:color="auto" w:fill="auto"/>
            <w:vAlign w:val="center"/>
          </w:tcPr>
          <w:p>
            <w:pPr>
              <w:spacing w:line="276" w:lineRule="auto"/>
              <w:jc w:val="both"/>
              <w:rPr>
                <w:i/>
                <w:color w:val="000000"/>
                <w:lang w:eastAsia="zh-CN"/>
              </w:rPr>
            </w:pPr>
            <w:r>
              <w:rPr>
                <w:rFonts w:hint="eastAsia"/>
                <w:iCs/>
                <w:color w:val="000000"/>
                <w:lang w:val="en-US" w:eastAsia="zh-CN"/>
              </w:rPr>
              <w:t>系统的设计与安装应符合药品生产及工艺的要求，安全、稳定、可靠，易于清洗、消毒，便于生产操作和维修保养，并能防止差错、交叉污染；管路系统需要有合适的管道排布设计，且有较好的稳定性。设备应外观端正、整齐，不得有明显的偏歪、毛刺和锈蚀等缺陷。</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iCs/>
                <w:color w:val="000000"/>
                <w:lang w:val="en-US" w:eastAsia="zh-CN"/>
              </w:rPr>
            </w:pPr>
            <w:r>
              <w:rPr>
                <w:rFonts w:hint="eastAsia"/>
                <w:iCs/>
                <w:color w:val="000000"/>
                <w:lang w:val="en-US" w:eastAsia="zh-CN"/>
              </w:rPr>
              <w:t>系统进液使用卫生级转子泵或隔膜泵，流速设计应满足4-6L/min/m</w:t>
            </w:r>
            <w:r>
              <w:rPr>
                <w:rFonts w:hint="eastAsia"/>
                <w:iCs/>
                <w:color w:val="000000"/>
                <w:vertAlign w:val="superscript"/>
                <w:lang w:val="en-US" w:eastAsia="zh-CN"/>
              </w:rPr>
              <w:t>2</w:t>
            </w:r>
            <w:r>
              <w:rPr>
                <w:rFonts w:hint="eastAsia"/>
                <w:iCs/>
                <w:color w:val="000000"/>
                <w:lang w:val="en-US" w:eastAsia="zh-CN"/>
              </w:rPr>
              <w:t>切向流速生产工艺，转子泵应采用Wrightflow SteriLobe型号或同等型号，保证低剪切力和低残留体积，转子泵齿轮箱表面应采用不锈钢材质，隔膜泵采用QuttaFlow四元隔膜泵或同等品牌，泵腔材质应为不锈钢316L，密封件材质为EPDM/TPE等，驱动电机带冷却风扇。泵速应可通过变频调节或流量计反馈调节。</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iCs/>
                <w:color w:val="000000"/>
                <w:lang w:val="en-US" w:eastAsia="zh-CN"/>
              </w:rPr>
            </w:pPr>
            <w:r>
              <w:rPr>
                <w:rFonts w:hint="eastAsia"/>
                <w:iCs/>
                <w:color w:val="000000"/>
                <w:lang w:val="en-US" w:eastAsia="zh-CN"/>
              </w:rPr>
              <w:t>罐盖：罐盖为一体式设备法兰，可翻开；内外表面镜面抛光处理，内表面电抛Ra小于0.4um。</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iCs/>
                <w:color w:val="000000"/>
                <w:lang w:val="en-US" w:eastAsia="zh-CN"/>
              </w:rPr>
            </w:pPr>
            <w:r>
              <w:rPr>
                <w:rFonts w:hint="eastAsia"/>
                <w:iCs/>
                <w:color w:val="000000"/>
                <w:lang w:val="en-US" w:eastAsia="zh-CN"/>
              </w:rPr>
              <w:t>系统阀门及系统密封弹性材料要求：系统阀门采用NovAseptic、GEMU品牌或同等其他知名品牌，316L材质，EPDM膜片，内表面电抛≤0.4μm，抛光报告；所有阀门不得漏水，不得使用劣质阀门，必须保证至少5年内不得滴水，如果漏水必须更换新阀门直到符合标准为止；系统密封的弹性材料包括阀门隔膜、夹具垫片、管路垫片，应该为EPDM/PTFE/硅胶，并符合USP Class VI要求。所有接触物料的材料都应该提供材质证明。</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iCs/>
                <w:color w:val="000000"/>
                <w:lang w:val="en-US" w:eastAsia="zh-CN"/>
              </w:rPr>
            </w:pPr>
            <w:r>
              <w:rPr>
                <w:rFonts w:hint="eastAsia"/>
                <w:iCs/>
                <w:color w:val="000000"/>
                <w:lang w:val="en-US" w:eastAsia="zh-CN"/>
              </w:rPr>
              <w:t>各进出管口工艺开孔与罐体焊接处光滑易清洗无死角，系统所有管路连接形式应为卫生型接口，管道设计需要满足3D要求，保证所有物料接触表面被有效清洗，无清洗死角。各处接口采用国际通用标准快装卡盘式，采用316L，内表面电抛Ra≤0.4um，外表面抛亚光、镜面。</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iCs/>
                <w:color w:val="000000"/>
                <w:lang w:eastAsia="zh-CN"/>
              </w:rPr>
            </w:pPr>
            <w:r>
              <w:rPr>
                <w:rFonts w:hint="eastAsia"/>
                <w:iCs/>
                <w:color w:val="000000"/>
                <w:lang w:val="en-US" w:eastAsia="zh-CN"/>
              </w:rPr>
              <w:t>超滤过程罐：</w:t>
            </w:r>
          </w:p>
          <w:p>
            <w:pPr>
              <w:spacing w:line="276" w:lineRule="auto"/>
              <w:jc w:val="both"/>
              <w:rPr>
                <w:iCs/>
                <w:color w:val="000000"/>
                <w:lang w:eastAsia="zh-CN"/>
              </w:rPr>
            </w:pPr>
            <w:r>
              <w:rPr>
                <w:rFonts w:hint="eastAsia"/>
                <w:iCs/>
                <w:color w:val="000000"/>
                <w:lang w:val="en-US" w:eastAsia="zh-CN"/>
              </w:rPr>
              <w:t>（1）不锈钢超滤过程罐严格遵循新版GMP的要求，并按《钢制压力容器》(GB150-1998)、《钢制焊接常压容器》(JB/T44735-1997)要求进行设计、制造及验收。焊缝应满足生物制药行业的要求。</w:t>
            </w:r>
          </w:p>
          <w:p>
            <w:pPr>
              <w:spacing w:line="276" w:lineRule="auto"/>
              <w:jc w:val="both"/>
              <w:rPr>
                <w:iCs/>
                <w:color w:val="000000"/>
                <w:lang w:eastAsia="zh-CN"/>
              </w:rPr>
            </w:pPr>
            <w:r>
              <w:rPr>
                <w:rFonts w:hint="eastAsia"/>
                <w:iCs/>
                <w:color w:val="000000"/>
                <w:lang w:val="en-US" w:eastAsia="zh-CN"/>
              </w:rPr>
              <w:t>（2）要求外观设计必须易于清洁，尽量避免卫生死角。所有材料、管道及管接件参照ASME BPE标准制造，不锈钢316L材质，内表面处理：Ra≤ 0.4 μm，电抛光。</w:t>
            </w:r>
          </w:p>
          <w:p>
            <w:pPr>
              <w:spacing w:line="276" w:lineRule="auto"/>
              <w:jc w:val="both"/>
              <w:rPr>
                <w:iCs/>
                <w:color w:val="FF0000"/>
                <w:lang w:eastAsia="zh-CN"/>
              </w:rPr>
            </w:pPr>
            <w:r>
              <w:rPr>
                <w:rFonts w:hint="eastAsia"/>
                <w:iCs/>
                <w:color w:val="000000"/>
                <w:lang w:val="en-US" w:eastAsia="zh-CN"/>
              </w:rPr>
              <w:t>（3）</w:t>
            </w:r>
            <w:r>
              <w:rPr>
                <w:rFonts w:hint="eastAsia"/>
                <w:iCs/>
                <w:color w:val="000000" w:themeColor="text1"/>
                <w:lang w:val="en-US" w:eastAsia="zh-CN"/>
              </w:rPr>
              <w:t>罐体含喷淋球、2根内伸管、呼吸器、温度探头、视镜灯、压力传感器、爆破片和引流管、呼吸器套筒/阀门、罐底阀、夹套进口和夹套出口等；超滤过程罐喷淋球应360°覆盖无清洁死角，并提供出厂前喷淋测试报告，证明其覆盖率和清洗效果；罐体各部件耐1mol/L氢氧化钠溶液清洗。</w:t>
            </w:r>
          </w:p>
          <w:p>
            <w:pPr>
              <w:spacing w:line="276" w:lineRule="auto"/>
              <w:jc w:val="both"/>
              <w:rPr>
                <w:iCs/>
                <w:color w:val="000000"/>
                <w:lang w:eastAsia="zh-CN"/>
              </w:rPr>
            </w:pPr>
            <w:r>
              <w:rPr>
                <w:rFonts w:hint="eastAsia"/>
                <w:iCs/>
                <w:color w:val="000000"/>
                <w:lang w:val="en-US" w:eastAsia="zh-CN"/>
              </w:rPr>
              <w:t>（4）超滤过程罐配套称重模块及补液系统（用于超滤洗滤），可做到与超滤系统实施反馈联动，过程罐与系统主管路连接应采用耐压软管，避免对称重系统的功能造成影响；</w:t>
            </w:r>
            <w:r>
              <w:rPr>
                <w:rFonts w:hint="eastAsia"/>
                <w:iCs/>
                <w:color w:val="000000" w:themeColor="text1"/>
                <w:lang w:val="en-US" w:eastAsia="zh-CN"/>
              </w:rPr>
              <w:t>应采用梅特勒或同等品牌称重系统，含3只称重传感器，1个中间变送器，重量≤100kg时误差不超过±0.5kg; 重量&gt;100kg时误差不超过±0.5%读数值；具备重量校准功能。</w:t>
            </w:r>
            <w:r>
              <w:rPr>
                <w:iCs/>
                <w:color w:val="000000"/>
                <w:lang w:eastAsia="zh-CN"/>
              </w:rPr>
              <w:t xml:space="preserve"> </w:t>
            </w:r>
          </w:p>
          <w:p>
            <w:pPr>
              <w:spacing w:line="276" w:lineRule="auto"/>
              <w:jc w:val="both"/>
              <w:rPr>
                <w:iCs/>
                <w:color w:val="000000" w:themeColor="text1"/>
                <w:lang w:val="en-US" w:eastAsia="zh-CN"/>
              </w:rPr>
            </w:pPr>
            <w:r>
              <w:rPr>
                <w:rFonts w:hint="eastAsia"/>
                <w:iCs/>
                <w:color w:val="000000" w:themeColor="text1"/>
                <w:lang w:val="en-US" w:eastAsia="zh-CN"/>
              </w:rPr>
              <w:t>（</w:t>
            </w:r>
            <w:r>
              <w:rPr>
                <w:iCs/>
                <w:color w:val="000000" w:themeColor="text1"/>
                <w:lang w:val="en-US" w:eastAsia="zh-CN"/>
              </w:rPr>
              <w:t>5</w:t>
            </w:r>
            <w:r>
              <w:rPr>
                <w:rFonts w:hint="eastAsia"/>
                <w:iCs/>
                <w:color w:val="FF0000"/>
                <w:lang w:val="en-US" w:eastAsia="zh-CN"/>
              </w:rPr>
              <w:t>）</w:t>
            </w:r>
            <w:r>
              <w:rPr>
                <w:rFonts w:hint="eastAsia"/>
                <w:iCs/>
                <w:color w:val="000000" w:themeColor="text1"/>
                <w:lang w:val="en-US" w:eastAsia="zh-CN"/>
              </w:rPr>
              <w:t>采用NovAseptic或同等品牌卫生型磁力底搅拌，避免机械密封，避免喷淋死角，选用低剪切力类型，搅拌速度可随液位设定范围自动调节，也可手动控制。</w:t>
            </w:r>
          </w:p>
          <w:p>
            <w:pPr>
              <w:spacing w:line="276" w:lineRule="auto"/>
              <w:jc w:val="both"/>
              <w:rPr>
                <w:iCs/>
                <w:color w:val="000000" w:themeColor="text1"/>
                <w:lang w:val="en-US" w:eastAsia="zh-CN"/>
              </w:rPr>
            </w:pPr>
            <w:r>
              <w:rPr>
                <w:rFonts w:hint="eastAsia"/>
                <w:iCs/>
                <w:color w:val="000000" w:themeColor="text1"/>
                <w:lang w:val="en-US" w:eastAsia="zh-CN"/>
              </w:rPr>
              <w:t>（6）回流与补液管路合并，从罐侧壁低位进入罐中，避免罐内溶液起泡，并降低系统最小循环体积；回流液和搅拌应设计在罐子的特定位置，以便液体直接从回流管路流出，进入搅拌区域，增加混合效率。</w:t>
            </w:r>
          </w:p>
          <w:p>
            <w:pPr>
              <w:spacing w:line="276" w:lineRule="auto"/>
              <w:jc w:val="both"/>
              <w:rPr>
                <w:iCs/>
                <w:color w:val="000000" w:themeColor="text1"/>
                <w:lang w:val="en-US" w:eastAsia="zh-CN"/>
              </w:rPr>
            </w:pPr>
            <w:r>
              <w:rPr>
                <w:rFonts w:hint="eastAsia"/>
                <w:iCs/>
                <w:color w:val="000000" w:themeColor="text1"/>
                <w:lang w:val="en-US" w:eastAsia="zh-CN"/>
              </w:rPr>
              <w:t>（</w:t>
            </w:r>
            <w:r>
              <w:rPr>
                <w:iCs/>
                <w:color w:val="000000" w:themeColor="text1"/>
                <w:lang w:val="en-US" w:eastAsia="zh-CN"/>
              </w:rPr>
              <w:t>7</w:t>
            </w:r>
            <w:r>
              <w:rPr>
                <w:rFonts w:hint="eastAsia"/>
                <w:iCs/>
                <w:color w:val="000000" w:themeColor="text1"/>
                <w:lang w:val="en-US" w:eastAsia="zh-CN"/>
              </w:rPr>
              <w:t>）过程罐夹套操作压力0-4bar，过程罐压力传感器范围覆盖-1～5bar，误差±1%FS。</w:t>
            </w:r>
          </w:p>
          <w:p>
            <w:pPr>
              <w:spacing w:line="276" w:lineRule="auto"/>
              <w:jc w:val="both"/>
              <w:rPr>
                <w:iCs/>
                <w:color w:val="000000" w:themeColor="text1"/>
                <w:lang w:val="en-US" w:eastAsia="zh-CN"/>
              </w:rPr>
            </w:pPr>
            <w:r>
              <w:rPr>
                <w:rFonts w:hint="eastAsia"/>
                <w:iCs/>
                <w:color w:val="000000" w:themeColor="text1"/>
                <w:lang w:val="en-US" w:eastAsia="zh-CN"/>
              </w:rPr>
              <w:t>（</w:t>
            </w:r>
            <w:r>
              <w:rPr>
                <w:iCs/>
                <w:color w:val="000000" w:themeColor="text1"/>
                <w:lang w:val="en-US" w:eastAsia="zh-CN"/>
              </w:rPr>
              <w:t>8</w:t>
            </w:r>
            <w:r>
              <w:rPr>
                <w:rFonts w:hint="eastAsia"/>
                <w:iCs/>
                <w:color w:val="000000" w:themeColor="text1"/>
                <w:lang w:val="en-US" w:eastAsia="zh-CN"/>
              </w:rPr>
              <w:t>）过程罐可由系统运行自行CIP清洗。</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iCs/>
                <w:color w:val="000000"/>
                <w:lang w:eastAsia="zh-CN"/>
              </w:rPr>
            </w:pPr>
            <w:r>
              <w:rPr>
                <w:rFonts w:hint="eastAsia"/>
                <w:iCs/>
                <w:color w:val="000000"/>
                <w:lang w:val="en-US" w:eastAsia="zh-CN"/>
              </w:rPr>
              <w:t>罐底结构：罐底出液口应与进泵端的软管完好对接，内径一致，带有阀门控制；</w:t>
            </w:r>
            <w:r>
              <w:rPr>
                <w:rFonts w:hint="eastAsia"/>
                <w:color w:val="000000" w:themeColor="text1"/>
                <w:szCs w:val="21"/>
                <w:lang w:eastAsia="zh-CN"/>
              </w:rPr>
              <w:t>罐底阀应采用NovAseptic或同等品牌无死角阀门，可重力排净。</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iCs/>
                <w:color w:val="000000"/>
                <w:lang w:val="en-US" w:eastAsia="zh-CN"/>
              </w:rPr>
            </w:pPr>
            <w:r>
              <w:rPr>
                <w:rFonts w:hint="eastAsia"/>
                <w:iCs/>
                <w:color w:val="000000"/>
                <w:lang w:val="en-US" w:eastAsia="zh-CN"/>
              </w:rPr>
              <w:t>系统管路：管道设计合理，无多余管道和清洗死角，转弯处均为圆弧连接，操作压力0-5bar。回流管道和补液管道设计：回流管进罐需连接内伸管，内伸管出口端需尽量贴近罐内壁确保回流无气泡且不影响流速。收获管道设计：系统管路有足够的坡度（&gt;1</w:t>
            </w:r>
            <w:r>
              <w:rPr>
                <w:iCs/>
                <w:color w:val="000000"/>
                <w:vertAlign w:val="superscript"/>
                <w:lang w:val="en-US" w:eastAsia="zh-CN"/>
              </w:rPr>
              <w:t>0</w:t>
            </w:r>
            <w:r>
              <w:rPr>
                <w:rFonts w:hint="eastAsia"/>
                <w:iCs/>
                <w:color w:val="000000"/>
                <w:lang w:val="en-US" w:eastAsia="zh-CN"/>
              </w:rPr>
              <w:t>），满足排放和产品回收的要求；可通过泵回收罐内样品和排空管道残留液体。</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iCs/>
                <w:color w:val="000000"/>
                <w:lang w:val="en-US" w:eastAsia="zh-CN"/>
              </w:rPr>
            </w:pPr>
            <w:r>
              <w:rPr>
                <w:rFonts w:hint="eastAsia"/>
                <w:iCs/>
                <w:color w:val="000000"/>
                <w:lang w:val="en-US" w:eastAsia="zh-CN"/>
              </w:rPr>
              <w:t>随罐附送所有验证资料(含材质报告、验证表格等)。</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iCs/>
                <w:color w:val="000000"/>
                <w:lang w:eastAsia="zh-CN"/>
              </w:rPr>
            </w:pPr>
            <w:r>
              <w:rPr>
                <w:rFonts w:hint="eastAsia"/>
                <w:iCs/>
                <w:color w:val="000000"/>
                <w:lang w:val="en-US" w:eastAsia="zh-CN"/>
              </w:rPr>
              <w:t>标识：至少应有以下永久贴牢和清楚易认的标识：制造/供应单位、产品注册号、型号、生产日期或编号；对设备必要的说明，包括设计压力、工作压力、类别，耐压试验、工作介质、容器净重、设计温度、工作温度、系统体积；产品标准、许可证编号、安全标识。</w:t>
            </w:r>
          </w:p>
        </w:tc>
        <w:tc>
          <w:tcPr>
            <w:tcW w:w="2125" w:type="dxa"/>
            <w:shd w:val="clear" w:color="auto" w:fill="auto"/>
            <w:vAlign w:val="center"/>
          </w:tcPr>
          <w:p>
            <w:pPr>
              <w:jc w:val="both"/>
              <w:rPr>
                <w:szCs w:val="21"/>
                <w:lang w:eastAsia="zh-CN"/>
              </w:rPr>
            </w:pPr>
            <w:r>
              <w:rPr>
                <w:iCs/>
                <w:color w:val="000000"/>
                <w:lang w:val="en-US" w:eastAsia="zh-CN"/>
              </w:rPr>
              <w:t>关键</w:t>
            </w:r>
          </w:p>
        </w:tc>
      </w:tr>
      <w:bookmarkEnd w:id="25"/>
      <w:bookmarkEnd w:id="26"/>
      <w:permEnd w:id="17"/>
    </w:tbl>
    <w:p>
      <w:pPr>
        <w:pStyle w:val="31"/>
        <w:spacing w:after="158" w:afterLines="50"/>
        <w:ind w:left="425" w:firstLine="0" w:firstLineChars="0"/>
        <w:rPr>
          <w:rFonts w:ascii="Times New Roman" w:hAnsi="Times New Roman"/>
          <w:szCs w:val="21"/>
        </w:rPr>
      </w:pPr>
    </w:p>
    <w:p>
      <w:pPr>
        <w:pStyle w:val="31"/>
        <w:numPr>
          <w:ilvl w:val="0"/>
          <w:numId w:val="3"/>
        </w:numPr>
        <w:spacing w:after="158" w:afterLines="50"/>
        <w:ind w:left="426" w:hanging="426" w:hangingChars="202"/>
        <w:outlineLvl w:val="0"/>
        <w:rPr>
          <w:rFonts w:ascii="Times New Roman" w:hAnsi="Times New Roman"/>
          <w:b/>
        </w:rPr>
      </w:pPr>
      <w:bookmarkStart w:id="27" w:name="_Toc522716121"/>
      <w:bookmarkStart w:id="28" w:name="_Toc522107740"/>
      <w:r>
        <w:rPr>
          <w:rFonts w:ascii="Times New Roman" w:hAnsi="Times New Roman"/>
          <w:b/>
        </w:rPr>
        <w:t>运行要求</w:t>
      </w:r>
      <w:bookmarkEnd w:id="27"/>
      <w:bookmarkEnd w:id="28"/>
    </w:p>
    <w:p>
      <w:pPr>
        <w:pStyle w:val="41"/>
        <w:spacing w:before="0" w:line="360" w:lineRule="auto"/>
        <w:jc w:val="left"/>
        <w:rPr>
          <w:bCs/>
          <w:i/>
          <w:color w:val="4472C4"/>
          <w:kern w:val="44"/>
          <w:szCs w:val="21"/>
          <w:lang w:eastAsia="zh-CN"/>
        </w:rPr>
      </w:pPr>
      <w:permStart w:id="18" w:edGrp="everyone"/>
    </w:p>
    <w:permEnd w:id="18"/>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9" w:edGrp="everyone"/>
          </w:p>
        </w:tc>
        <w:tc>
          <w:tcPr>
            <w:tcW w:w="9253" w:type="dxa"/>
            <w:gridSpan w:val="2"/>
            <w:shd w:val="clear" w:color="auto" w:fill="auto"/>
            <w:vAlign w:val="center"/>
          </w:tcPr>
          <w:p>
            <w:pPr>
              <w:jc w:val="both"/>
              <w:rPr>
                <w:szCs w:val="21"/>
                <w:lang w:eastAsia="zh-CN"/>
              </w:rPr>
            </w:pPr>
            <w:r>
              <w:rPr>
                <w:rFonts w:hint="eastAsia"/>
                <w:iCs/>
                <w:color w:val="000000"/>
                <w:lang w:val="en-US" w:eastAsia="zh-CN"/>
              </w:rPr>
              <w:t>NA</w:t>
            </w:r>
          </w:p>
        </w:tc>
      </w:tr>
      <w:permEnd w:id="1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0" w:edGrp="everyone"/>
          </w:p>
        </w:tc>
        <w:tc>
          <w:tcPr>
            <w:tcW w:w="7128" w:type="dxa"/>
            <w:shd w:val="clear" w:color="auto" w:fill="auto"/>
            <w:vAlign w:val="center"/>
          </w:tcPr>
          <w:p>
            <w:pPr>
              <w:jc w:val="both"/>
              <w:rPr>
                <w:szCs w:val="21"/>
                <w:lang w:eastAsia="zh-CN"/>
              </w:rPr>
            </w:pPr>
            <w:r>
              <w:rPr>
                <w:rFonts w:hint="eastAsia"/>
                <w:color w:val="000000"/>
                <w:szCs w:val="21"/>
                <w:lang w:val="en-US" w:eastAsia="zh-CN"/>
              </w:rPr>
              <w:t>能</w:t>
            </w:r>
            <w:r>
              <w:rPr>
                <w:color w:val="000000"/>
                <w:szCs w:val="21"/>
                <w:lang w:val="en-US" w:eastAsia="zh-CN"/>
              </w:rPr>
              <w:t>满足超滤系统的流量要求</w:t>
            </w:r>
            <w:r>
              <w:rPr>
                <w:rFonts w:hint="eastAsia"/>
                <w:color w:val="000000"/>
                <w:szCs w:val="21"/>
                <w:lang w:val="en-US" w:eastAsia="zh-CN"/>
              </w:rPr>
              <w:t>。</w:t>
            </w:r>
          </w:p>
        </w:tc>
        <w:tc>
          <w:tcPr>
            <w:tcW w:w="2125" w:type="dxa"/>
            <w:shd w:val="clear" w:color="auto" w:fill="auto"/>
            <w:vAlign w:val="center"/>
          </w:tcPr>
          <w:p>
            <w:pPr>
              <w:jc w:val="both"/>
              <w:rPr>
                <w:szCs w:val="21"/>
                <w:lang w:eastAsia="zh-CN"/>
              </w:rPr>
            </w:pPr>
            <w:r>
              <w:rPr>
                <w:szCs w:val="21"/>
                <w:lang w:eastAsia="zh-CN"/>
              </w:rPr>
              <w:t>关键</w:t>
            </w:r>
          </w:p>
        </w:tc>
      </w:tr>
      <w:perm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color w:val="000000" w:themeColor="text1"/>
                <w:szCs w:val="21"/>
              </w:rPr>
            </w:pPr>
            <w:permStart w:id="21" w:edGrp="everyone"/>
          </w:p>
        </w:tc>
        <w:tc>
          <w:tcPr>
            <w:tcW w:w="7128" w:type="dxa"/>
            <w:shd w:val="clear" w:color="auto" w:fill="auto"/>
            <w:vAlign w:val="center"/>
          </w:tcPr>
          <w:p>
            <w:pPr>
              <w:jc w:val="both"/>
              <w:rPr>
                <w:i/>
                <w:color w:val="000000" w:themeColor="text1"/>
                <w:szCs w:val="21"/>
                <w:lang w:eastAsia="zh-CN"/>
              </w:rPr>
            </w:pPr>
            <w:r>
              <w:rPr>
                <w:rFonts w:hint="eastAsia"/>
                <w:color w:val="000000" w:themeColor="text1"/>
                <w:szCs w:val="21"/>
                <w:lang w:val="en-US" w:eastAsia="zh-CN"/>
              </w:rPr>
              <w:t>20L超滤罐罐体搅拌工作体积不大于2L；系统正常循环运行体积不超过</w:t>
            </w:r>
            <w:r>
              <w:rPr>
                <w:color w:val="000000" w:themeColor="text1"/>
                <w:szCs w:val="21"/>
                <w:lang w:val="en-US" w:eastAsia="zh-CN"/>
              </w:rPr>
              <w:t>4</w:t>
            </w:r>
            <w:r>
              <w:rPr>
                <w:rFonts w:hint="eastAsia"/>
                <w:color w:val="000000" w:themeColor="text1"/>
                <w:szCs w:val="21"/>
                <w:lang w:val="en-US" w:eastAsia="zh-CN"/>
              </w:rPr>
              <w:t>L。</w:t>
            </w:r>
          </w:p>
        </w:tc>
        <w:tc>
          <w:tcPr>
            <w:tcW w:w="2125" w:type="dxa"/>
            <w:shd w:val="clear" w:color="auto" w:fill="auto"/>
            <w:vAlign w:val="center"/>
          </w:tcPr>
          <w:p>
            <w:pPr>
              <w:jc w:val="both"/>
              <w:rPr>
                <w:szCs w:val="21"/>
                <w:lang w:eastAsia="zh-CN"/>
              </w:rPr>
            </w:pPr>
            <w:r>
              <w:rPr>
                <w:szCs w:val="21"/>
                <w:lang w:eastAsia="zh-CN"/>
              </w:rPr>
              <w:t>关键</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2" w:edGrp="everyone"/>
          </w:p>
        </w:tc>
        <w:tc>
          <w:tcPr>
            <w:tcW w:w="7128" w:type="dxa"/>
            <w:shd w:val="clear" w:color="auto" w:fill="auto"/>
            <w:vAlign w:val="center"/>
          </w:tcPr>
          <w:p>
            <w:pPr>
              <w:spacing w:line="276" w:lineRule="auto"/>
              <w:jc w:val="both"/>
              <w:rPr>
                <w:szCs w:val="21"/>
                <w:lang w:eastAsia="zh-CN"/>
              </w:rPr>
            </w:pPr>
            <w:r>
              <w:rPr>
                <w:rFonts w:hint="eastAsia"/>
                <w:szCs w:val="21"/>
                <w:lang w:eastAsia="zh-CN"/>
              </w:rPr>
              <w:t>可将外接的完整性测试仪连接在回流管路的完整性测试口进行膜包完整性测试。</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膜夹具应采用316L不锈钢制造，采用内开管道堆叠式设计，膜夹具所有接触液体的内表面粗糙度为Ra≤0.</w:t>
            </w:r>
            <w:r>
              <w:rPr>
                <w:szCs w:val="21"/>
                <w:lang w:eastAsia="zh-CN"/>
              </w:rPr>
              <w:t>4</w:t>
            </w:r>
            <w:r>
              <w:rPr>
                <w:rFonts w:hint="eastAsia"/>
                <w:szCs w:val="21"/>
                <w:lang w:eastAsia="zh-CN"/>
              </w:rPr>
              <w:t>μm。系统主体框架应使用304不锈钢，表面粗糙度Ra ≤3 μm机械抛光、平焊；机架应装配脚轮和支撑脚，支撑脚可调节系统水平，一半以上轮子具备刹车锁定功能，便于系统移动和固定。</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电控箱材质304不锈钢，防护等级IP54电控箱材质304不锈钢，防护等级IP54；应选用 Schneider 电气部件，DANFOSS 或Siemens 变频器，SMC 、</w:t>
            </w:r>
            <w:r>
              <w:rPr>
                <w:szCs w:val="21"/>
                <w:lang w:eastAsia="zh-CN"/>
              </w:rPr>
              <w:t>F</w:t>
            </w:r>
            <w:r>
              <w:rPr>
                <w:rFonts w:hint="eastAsia"/>
                <w:szCs w:val="21"/>
                <w:lang w:eastAsia="zh-CN"/>
              </w:rPr>
              <w:t>esto、Metalwork气动部件；气动接口采用电磁阀。该装置安装在控制箱内，与箱外的气管直接连接。电控箱上应安装有主电源开关，运行指示灯，复位按钮，声光报警器，USB连接口，网线接口。系统电控柜内有单独的阀岛控制器，根据PLC指令控制阀门开闭。</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color w:val="000000" w:themeColor="text1"/>
                <w:szCs w:val="21"/>
                <w:lang w:eastAsia="zh-CN"/>
              </w:rPr>
            </w:pPr>
            <w:r>
              <w:rPr>
                <w:rFonts w:hint="eastAsia"/>
                <w:color w:val="000000" w:themeColor="text1"/>
                <w:szCs w:val="21"/>
                <w:lang w:eastAsia="zh-CN"/>
              </w:rPr>
              <w:t>超滤过程罐配套仪器设备：</w:t>
            </w:r>
          </w:p>
          <w:p>
            <w:pPr>
              <w:jc w:val="both"/>
              <w:rPr>
                <w:color w:val="000000" w:themeColor="text1"/>
                <w:szCs w:val="21"/>
                <w:lang w:eastAsia="zh-CN"/>
              </w:rPr>
            </w:pPr>
            <w:r>
              <w:rPr>
                <w:rFonts w:hint="eastAsia"/>
                <w:color w:val="000000" w:themeColor="text1"/>
                <w:szCs w:val="21"/>
                <w:lang w:eastAsia="zh-CN"/>
              </w:rPr>
              <w:t>（1）应在超滤装置回流端配置pH传感器，透过端配置pH传感器、电导/温度传感器，pH误差±0.1，电导误差3% FS。pH采用METTELER品牌或同等品牌， 电导采用OPTEK品牌或同等品牌。</w:t>
            </w:r>
          </w:p>
          <w:p>
            <w:pPr>
              <w:rPr>
                <w:color w:val="000000" w:themeColor="text1"/>
                <w:szCs w:val="21"/>
                <w:lang w:eastAsia="zh-CN"/>
              </w:rPr>
            </w:pPr>
            <w:r>
              <w:rPr>
                <w:rFonts w:hint="eastAsia"/>
                <w:color w:val="000000" w:themeColor="text1"/>
                <w:szCs w:val="21"/>
                <w:lang w:eastAsia="zh-CN"/>
              </w:rPr>
              <w:t>（2）进液端配置电磁流量计，透过端配置质量流量计。流量计精度±1% MV，流量计量程应覆盖操作工艺需求。</w:t>
            </w:r>
          </w:p>
          <w:p>
            <w:pPr>
              <w:rPr>
                <w:color w:val="000000" w:themeColor="text1"/>
                <w:szCs w:val="21"/>
                <w:lang w:eastAsia="zh-CN"/>
              </w:rPr>
            </w:pPr>
            <w:r>
              <w:rPr>
                <w:rFonts w:hint="eastAsia"/>
                <w:color w:val="000000" w:themeColor="text1"/>
                <w:szCs w:val="21"/>
                <w:lang w:eastAsia="zh-CN"/>
              </w:rPr>
              <w:t>（</w:t>
            </w:r>
            <w:r>
              <w:rPr>
                <w:color w:val="000000" w:themeColor="text1"/>
                <w:szCs w:val="21"/>
                <w:lang w:eastAsia="zh-CN"/>
              </w:rPr>
              <w:t>3</w:t>
            </w:r>
            <w:r>
              <w:rPr>
                <w:rFonts w:hint="eastAsia"/>
                <w:color w:val="000000" w:themeColor="text1"/>
                <w:szCs w:val="21"/>
                <w:lang w:eastAsia="zh-CN"/>
              </w:rPr>
              <w:t>）</w:t>
            </w:r>
            <w:r>
              <w:rPr>
                <w:color w:val="000000" w:themeColor="text1"/>
                <w:szCs w:val="21"/>
                <w:lang w:eastAsia="zh-CN"/>
              </w:rPr>
              <w:t xml:space="preserve"> </w:t>
            </w:r>
            <w:r>
              <w:rPr>
                <w:rFonts w:hint="eastAsia"/>
                <w:color w:val="000000" w:themeColor="text1"/>
                <w:szCs w:val="21"/>
                <w:lang w:eastAsia="zh-CN"/>
              </w:rPr>
              <w:t>应在进液泵出口配置安装卫生型温度传感器，检测管路料液温度，温度传感器应有高、低温报警功能，以保护膜包，温度探头范围0-100℃，测量误差±1℃。</w:t>
            </w:r>
          </w:p>
          <w:p>
            <w:pPr>
              <w:rPr>
                <w:color w:val="000000" w:themeColor="text1"/>
                <w:szCs w:val="21"/>
                <w:lang w:eastAsia="zh-CN"/>
              </w:rPr>
            </w:pPr>
            <w:r>
              <w:rPr>
                <w:rFonts w:hint="eastAsia"/>
                <w:color w:val="000000" w:themeColor="text1"/>
                <w:szCs w:val="21"/>
                <w:lang w:eastAsia="zh-CN"/>
              </w:rPr>
              <w:t>（4）进口端、回流端、透过端应装有压力传感器。进液端压力传感器需带压力开关报警功能，传感器范围覆盖0.00-6.00bar，误差±1%FS。压力传感器应具备反馈控制功能，当工作压力达到设定的报警压力值时，可分别给出高、低压报警信号并使供液泵停止工作，高压时保护膜包不受到损坏，低压时可避免泵在无物料时的空转。压力传感器应为朗博或同等品牌。</w:t>
            </w:r>
          </w:p>
          <w:p>
            <w:pPr>
              <w:rPr>
                <w:color w:val="000000" w:themeColor="text1"/>
                <w:szCs w:val="21"/>
                <w:lang w:eastAsia="zh-CN"/>
              </w:rPr>
            </w:pPr>
            <w:r>
              <w:rPr>
                <w:rFonts w:hint="eastAsia"/>
                <w:color w:val="000000" w:themeColor="text1"/>
                <w:szCs w:val="21"/>
                <w:lang w:eastAsia="zh-CN"/>
              </w:rPr>
              <w:t>（</w:t>
            </w:r>
            <w:r>
              <w:rPr>
                <w:color w:val="000000" w:themeColor="text1"/>
                <w:szCs w:val="21"/>
                <w:lang w:eastAsia="zh-CN"/>
              </w:rPr>
              <w:t>5</w:t>
            </w:r>
            <w:r>
              <w:rPr>
                <w:rFonts w:hint="eastAsia"/>
                <w:color w:val="000000" w:themeColor="text1"/>
                <w:szCs w:val="21"/>
                <w:lang w:eastAsia="zh-CN"/>
              </w:rPr>
              <w:t>）回流端需配置PCV阀门自动调节，要求为GEMU品牌或者同等品牌。透过端和回流端需要有取样口，确保取样操作不会影响工艺操作和产品质量；过程罐罐底取样口可安装NovAseptum或同等品牌无菌取样阀和取样袋，实现一次性封闭式取样。</w:t>
            </w:r>
          </w:p>
          <w:p>
            <w:pPr>
              <w:rPr>
                <w:color w:val="000000" w:themeColor="text1"/>
                <w:szCs w:val="21"/>
                <w:lang w:eastAsia="zh-CN"/>
              </w:rPr>
            </w:pPr>
            <w:r>
              <w:rPr>
                <w:rFonts w:hint="eastAsia"/>
                <w:color w:val="000000" w:themeColor="text1"/>
                <w:szCs w:val="21"/>
                <w:lang w:eastAsia="zh-CN"/>
              </w:rPr>
              <w:t>（6）补料端需配备1个补料泵，采用Quattro Flow品牌隔膜泵或Watson Marlow蠕动泵，可以根据程序和重量设定，自动向过程罐内补液，补液泵流速不小于流速2L/min。补液泵前采用多管路设计，可满足至少3种液体（缓冲液/注射水/产品）进样。</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rFonts w:ascii="等线" w:hAnsi="等线" w:eastAsia="等线"/>
                <w:color w:val="000000"/>
                <w:sz w:val="22"/>
                <w:szCs w:val="22"/>
                <w:lang w:eastAsia="zh-CN"/>
              </w:rPr>
            </w:pPr>
            <w:r>
              <w:rPr>
                <w:szCs w:val="21"/>
                <w:lang w:eastAsia="zh-CN"/>
              </w:rPr>
              <w:t>超滤系统自带罐体控温系统（</w:t>
            </w:r>
            <w:r>
              <w:rPr>
                <w:rFonts w:hint="eastAsia"/>
                <w:szCs w:val="21"/>
                <w:lang w:eastAsia="zh-CN"/>
              </w:rPr>
              <w:t>2-8℃</w:t>
            </w:r>
            <w:r>
              <w:rPr>
                <w:szCs w:val="21"/>
                <w:lang w:eastAsia="zh-CN"/>
              </w:rPr>
              <w:t>）（TCU）。</w:t>
            </w:r>
          </w:p>
        </w:tc>
        <w:tc>
          <w:tcPr>
            <w:tcW w:w="2125" w:type="dxa"/>
            <w:shd w:val="clear" w:color="auto" w:fill="auto"/>
            <w:vAlign w:val="center"/>
          </w:tcPr>
          <w:p>
            <w:pPr>
              <w:jc w:val="both"/>
              <w:rPr>
                <w:szCs w:val="21"/>
                <w:lang w:eastAsia="zh-CN"/>
              </w:rPr>
            </w:pPr>
            <w:r>
              <w:rPr>
                <w:szCs w:val="21"/>
                <w:lang w:eastAsia="zh-CN"/>
              </w:rPr>
              <w:t>关键</w:t>
            </w:r>
          </w:p>
        </w:tc>
      </w:tr>
      <w:permEnd w:id="22"/>
    </w:tbl>
    <w:p>
      <w:pPr>
        <w:pStyle w:val="31"/>
        <w:numPr>
          <w:ilvl w:val="0"/>
          <w:numId w:val="3"/>
        </w:numPr>
        <w:spacing w:after="158" w:afterLines="50"/>
        <w:ind w:left="426" w:hanging="426" w:hangingChars="202"/>
        <w:outlineLvl w:val="0"/>
        <w:rPr>
          <w:rFonts w:ascii="Times New Roman" w:hAnsi="Times New Roman"/>
          <w:b/>
        </w:rPr>
      </w:pPr>
      <w:bookmarkStart w:id="29" w:name="_Toc522716122"/>
      <w:bookmarkStart w:id="30" w:name="_Toc522107742"/>
      <w:bookmarkStart w:id="31" w:name="_Toc482370359"/>
      <w:bookmarkStart w:id="32" w:name="_Toc482717202"/>
      <w:bookmarkStart w:id="33" w:name="_Toc482625289"/>
      <w:bookmarkStart w:id="34" w:name="_Toc482370767"/>
      <w:bookmarkStart w:id="35" w:name="_Toc483227237"/>
      <w:bookmarkStart w:id="36" w:name="_Toc483400317"/>
      <w:bookmarkStart w:id="37" w:name="_Toc481702480"/>
      <w:bookmarkStart w:id="38" w:name="_Toc482359946"/>
      <w:bookmarkStart w:id="39" w:name="_Toc482360291"/>
      <w:bookmarkStart w:id="40" w:name="_Toc482369815"/>
      <w:bookmarkStart w:id="41" w:name="_Toc482370071"/>
      <w:bookmarkStart w:id="42" w:name="_Toc482370151"/>
      <w:r>
        <w:rPr>
          <w:rFonts w:ascii="Times New Roman" w:hAnsi="Times New Roman"/>
          <w:b/>
        </w:rPr>
        <w:t>电气、自动控制要求</w:t>
      </w:r>
      <w:bookmarkEnd w:id="29"/>
    </w:p>
    <w:p>
      <w:pPr>
        <w:pStyle w:val="41"/>
        <w:spacing w:before="0" w:line="360" w:lineRule="auto"/>
        <w:jc w:val="left"/>
        <w:rPr>
          <w:i/>
          <w:color w:val="4472C4"/>
          <w:szCs w:val="21"/>
          <w:lang w:eastAsia="zh-CN"/>
        </w:rPr>
      </w:pPr>
      <w:permStart w:id="23" w:edGrp="everyone"/>
    </w:p>
    <w:permEnd w:id="23"/>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4" w:edGrp="everyone"/>
          </w:p>
        </w:tc>
        <w:tc>
          <w:tcPr>
            <w:tcW w:w="7128" w:type="dxa"/>
            <w:shd w:val="clear" w:color="auto" w:fill="auto"/>
            <w:vAlign w:val="center"/>
          </w:tcPr>
          <w:p>
            <w:pPr>
              <w:spacing w:line="276" w:lineRule="auto"/>
              <w:jc w:val="both"/>
              <w:rPr>
                <w:color w:val="000000" w:themeColor="text1"/>
                <w:szCs w:val="21"/>
                <w:lang w:eastAsia="zh-CN"/>
              </w:rPr>
            </w:pPr>
            <w:r>
              <w:rPr>
                <w:rFonts w:hint="eastAsia"/>
                <w:szCs w:val="21"/>
                <w:lang w:eastAsia="zh-CN"/>
              </w:rPr>
              <w:t>能实现与超滤系统联动控制，</w:t>
            </w:r>
            <w:r>
              <w:rPr>
                <w:rFonts w:hint="eastAsia"/>
                <w:color w:val="000000" w:themeColor="text1"/>
                <w:szCs w:val="21"/>
                <w:lang w:eastAsia="zh-CN"/>
              </w:rPr>
              <w:t>系统PLC控制，可监控并显示所有的在线参数，包括泵速、进液压力、回流压力、透过压力、压差(△P)、跨膜压(TMP)、进液流速、透过流速、温度、pH值和电导等，记录下所有监控数据，记录时间间隔可设定</w:t>
            </w:r>
            <w:r>
              <w:rPr>
                <w:rFonts w:hint="eastAsia"/>
                <w:szCs w:val="21"/>
                <w:lang w:eastAsia="zh-CN"/>
              </w:rPr>
              <w:t>，满足超滤系统的自动控制要求。控制系统需要能够保存预设或选择的程序，并且程序的各步骤参数需要可编辑。</w:t>
            </w:r>
          </w:p>
        </w:tc>
        <w:tc>
          <w:tcPr>
            <w:tcW w:w="2125" w:type="dxa"/>
            <w:shd w:val="clear" w:color="auto" w:fill="auto"/>
            <w:vAlign w:val="center"/>
          </w:tcPr>
          <w:p>
            <w:pPr>
              <w:jc w:val="both"/>
              <w:rPr>
                <w:szCs w:val="21"/>
                <w:lang w:eastAsia="zh-CN"/>
              </w:rPr>
            </w:pPr>
            <w:r>
              <w:rPr>
                <w:szCs w:val="21"/>
                <w:lang w:eastAsia="zh-CN"/>
              </w:rPr>
              <w:t>关键</w:t>
            </w:r>
          </w:p>
        </w:tc>
      </w:tr>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5" w:edGrp="everyone"/>
          </w:p>
        </w:tc>
        <w:tc>
          <w:tcPr>
            <w:tcW w:w="7128" w:type="dxa"/>
            <w:shd w:val="clear" w:color="auto" w:fill="auto"/>
            <w:vAlign w:val="center"/>
          </w:tcPr>
          <w:p>
            <w:pPr>
              <w:spacing w:line="276" w:lineRule="auto"/>
              <w:jc w:val="both"/>
              <w:rPr>
                <w:szCs w:val="21"/>
                <w:lang w:eastAsia="zh-CN"/>
              </w:rPr>
            </w:pPr>
            <w:r>
              <w:rPr>
                <w:rFonts w:hint="eastAsia"/>
                <w:szCs w:val="21"/>
                <w:lang w:eastAsia="zh-CN"/>
              </w:rPr>
              <w:t>系统应使用西门子PLC，PC使用19"贝加莱等品牌，安装Windows10操作系统，可支持S7 / Modbus TCP/Profibus /Modbus RTU / RS485其中之一的通讯协议。</w:t>
            </w:r>
          </w:p>
        </w:tc>
        <w:tc>
          <w:tcPr>
            <w:tcW w:w="2125" w:type="dxa"/>
            <w:shd w:val="clear" w:color="auto" w:fill="auto"/>
            <w:vAlign w:val="center"/>
          </w:tcPr>
          <w:p>
            <w:pPr>
              <w:jc w:val="both"/>
              <w:rPr>
                <w:szCs w:val="21"/>
                <w:lang w:eastAsia="zh-CN"/>
              </w:rPr>
            </w:pPr>
            <w:r>
              <w:rPr>
                <w:szCs w:val="21"/>
                <w:lang w:eastAsia="zh-CN"/>
              </w:rPr>
              <w:t>关键</w:t>
            </w:r>
          </w:p>
        </w:tc>
      </w:tr>
      <w:perm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6" w:edGrp="everyone"/>
          </w:p>
        </w:tc>
        <w:tc>
          <w:tcPr>
            <w:tcW w:w="7128" w:type="dxa"/>
            <w:shd w:val="clear" w:color="auto" w:fill="auto"/>
            <w:vAlign w:val="center"/>
          </w:tcPr>
          <w:p>
            <w:pPr>
              <w:jc w:val="both"/>
              <w:rPr>
                <w:szCs w:val="21"/>
                <w:lang w:eastAsia="zh-CN"/>
              </w:rPr>
            </w:pPr>
            <w:r>
              <w:rPr>
                <w:rFonts w:hint="eastAsia"/>
                <w:szCs w:val="21"/>
                <w:lang w:eastAsia="zh-CN"/>
              </w:rPr>
              <w:t>（1）操作界面需要有加密功能，确保只有授权人员才能进入系统。</w:t>
            </w:r>
          </w:p>
          <w:p>
            <w:pPr>
              <w:jc w:val="both"/>
              <w:rPr>
                <w:szCs w:val="21"/>
                <w:lang w:eastAsia="zh-CN"/>
              </w:rPr>
            </w:pPr>
            <w:r>
              <w:rPr>
                <w:rFonts w:hint="eastAsia"/>
                <w:szCs w:val="21"/>
                <w:lang w:eastAsia="zh-CN"/>
              </w:rPr>
              <w:t>（2）系统软件需具备自动、手动控制、文件管理功能；控制系统需要能够保存预设或选择的程序，并且程序的各步骤参数需要可编辑。</w:t>
            </w:r>
          </w:p>
          <w:p>
            <w:pPr>
              <w:jc w:val="both"/>
              <w:rPr>
                <w:szCs w:val="21"/>
                <w:lang w:eastAsia="zh-CN"/>
              </w:rPr>
            </w:pPr>
            <w:r>
              <w:rPr>
                <w:rFonts w:hint="eastAsia"/>
                <w:szCs w:val="21"/>
                <w:lang w:eastAsia="zh-CN"/>
              </w:rPr>
              <w:t>（3）系统程序应具备报警和警告功能，应有操作异常中断的提示信息，设备需要在操作人员对报警做出响应后才能恢复操作或重启；报警触发时需要有声、光提示，以及报警信息的文字；报警提示后可以被消音。</w:t>
            </w:r>
          </w:p>
          <w:p>
            <w:pPr>
              <w:jc w:val="both"/>
              <w:rPr>
                <w:szCs w:val="21"/>
                <w:lang w:eastAsia="zh-CN"/>
              </w:rPr>
            </w:pPr>
            <w:r>
              <w:rPr>
                <w:rFonts w:hint="eastAsia"/>
                <w:szCs w:val="21"/>
                <w:lang w:eastAsia="zh-CN"/>
              </w:rPr>
              <w:t>（4）所有用户登入登出、生产运行数据、报警信息应被程序自动记录并有相应记录文件或报告。</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szCs w:val="21"/>
                <w:lang w:eastAsia="zh-CN"/>
              </w:rPr>
              <w:t>软件所记录的原始数据不可修改，保护数据的完整性，具备数据导出功能。生产过程中更改工艺参数，应被系统记录，包含操作人、时间、修改后数值。系统程序可进行备份和恢复；记录、程序设置在意外断电情况下不能丢失。</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szCs w:val="21"/>
                <w:lang w:eastAsia="zh-CN"/>
              </w:rPr>
              <w:t>应具有四级用户权限设置，实现操作人员、维修人员和管理人员等不同权限用户的管理。每个权限下具备多个使用账号。</w:t>
            </w:r>
          </w:p>
        </w:tc>
        <w:tc>
          <w:tcPr>
            <w:tcW w:w="2125" w:type="dxa"/>
            <w:shd w:val="clear" w:color="auto" w:fill="auto"/>
            <w:vAlign w:val="center"/>
          </w:tcPr>
          <w:p>
            <w:pPr>
              <w:jc w:val="both"/>
              <w:rPr>
                <w:szCs w:val="21"/>
                <w:lang w:eastAsia="zh-CN"/>
              </w:rPr>
            </w:pPr>
            <w:r>
              <w:rPr>
                <w:szCs w:val="21"/>
                <w:lang w:eastAsia="zh-CN"/>
              </w:rPr>
              <w:t>关键</w:t>
            </w:r>
          </w:p>
        </w:tc>
      </w:tr>
      <w:permEnd w:id="26"/>
    </w:tbl>
    <w:p>
      <w:pPr>
        <w:spacing w:after="158" w:afterLines="50"/>
        <w:rPr>
          <w:b/>
          <w:lang w:eastAsia="zh-CN"/>
        </w:rPr>
      </w:pPr>
    </w:p>
    <w:p>
      <w:pPr>
        <w:pStyle w:val="31"/>
        <w:numPr>
          <w:ilvl w:val="0"/>
          <w:numId w:val="3"/>
        </w:numPr>
        <w:spacing w:after="158" w:afterLines="50"/>
        <w:ind w:left="426" w:hanging="426" w:hangingChars="202"/>
        <w:outlineLvl w:val="0"/>
        <w:rPr>
          <w:rFonts w:ascii="Times New Roman" w:hAnsi="Times New Roman"/>
          <w:b/>
        </w:rPr>
      </w:pPr>
      <w:bookmarkStart w:id="43" w:name="_Toc522716123"/>
      <w:r>
        <w:rPr>
          <w:rFonts w:ascii="Times New Roman" w:hAnsi="Times New Roman"/>
          <w:b/>
        </w:rPr>
        <w:t>安全要求</w:t>
      </w:r>
      <w:bookmarkEnd w:id="30"/>
      <w:bookmarkEnd w:id="43"/>
    </w:p>
    <w:p>
      <w:pPr>
        <w:pStyle w:val="41"/>
        <w:spacing w:before="0" w:line="360" w:lineRule="auto"/>
        <w:jc w:val="left"/>
        <w:rPr>
          <w:i/>
          <w:color w:val="4472C4"/>
          <w:szCs w:val="21"/>
          <w:lang w:eastAsia="zh-CN"/>
        </w:rPr>
      </w:pPr>
      <w:permStart w:id="27" w:edGrp="everyone"/>
    </w:p>
    <w:permEnd w:id="27"/>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8" w:edGrp="everyone"/>
          </w:p>
        </w:tc>
        <w:tc>
          <w:tcPr>
            <w:tcW w:w="7128" w:type="dxa"/>
            <w:shd w:val="clear" w:color="auto" w:fill="auto"/>
            <w:vAlign w:val="center"/>
          </w:tcPr>
          <w:p>
            <w:pPr>
              <w:spacing w:line="276" w:lineRule="auto"/>
              <w:jc w:val="both"/>
              <w:rPr>
                <w:szCs w:val="21"/>
                <w:lang w:eastAsia="zh-CN"/>
              </w:rPr>
            </w:pPr>
            <w:r>
              <w:rPr>
                <w:rFonts w:hint="eastAsia"/>
                <w:lang w:eastAsia="zh-CN"/>
              </w:rPr>
              <w:t>罐体应</w:t>
            </w:r>
            <w:r>
              <w:rPr>
                <w:rFonts w:hint="eastAsia" w:ascii="宋体" w:hAnsi="宋体"/>
                <w:szCs w:val="21"/>
                <w:lang w:eastAsia="zh-CN"/>
              </w:rPr>
              <w:t>具备报警功能，当罐内出现负压现象、温度、通气异常等现象时，会发出报警提示。</w:t>
            </w:r>
          </w:p>
        </w:tc>
        <w:tc>
          <w:tcPr>
            <w:tcW w:w="2125" w:type="dxa"/>
            <w:shd w:val="clear" w:color="auto" w:fill="auto"/>
            <w:vAlign w:val="center"/>
          </w:tcPr>
          <w:p>
            <w:pPr>
              <w:jc w:val="both"/>
              <w:rPr>
                <w:szCs w:val="21"/>
                <w:lang w:eastAsia="zh-CN"/>
              </w:rPr>
            </w:pPr>
            <w:r>
              <w:rPr>
                <w:szCs w:val="21"/>
                <w:lang w:eastAsia="zh-CN"/>
              </w:rPr>
              <w:t>关键</w:t>
            </w:r>
          </w:p>
        </w:tc>
      </w:tr>
      <w:permEnd w:id="2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0"/>
              </w:numPr>
              <w:ind w:firstLineChars="0"/>
              <w:rPr>
                <w:rFonts w:ascii="Times New Roman" w:hAnsi="Times New Roman"/>
                <w:szCs w:val="21"/>
              </w:rPr>
            </w:pPr>
          </w:p>
        </w:tc>
        <w:tc>
          <w:tcPr>
            <w:tcW w:w="7128" w:type="dxa"/>
            <w:shd w:val="clear" w:color="auto" w:fill="D9D9D9"/>
            <w:vAlign w:val="center"/>
          </w:tcPr>
          <w:p>
            <w:pPr>
              <w:jc w:val="both"/>
              <w:rPr>
                <w:szCs w:val="21"/>
                <w:lang w:eastAsia="zh-CN"/>
              </w:rPr>
            </w:pPr>
            <w:r>
              <w:rPr>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9" w:edGrp="everyone"/>
          </w:p>
        </w:tc>
        <w:tc>
          <w:tcPr>
            <w:tcW w:w="7128" w:type="dxa"/>
            <w:shd w:val="clear" w:color="auto" w:fill="auto"/>
            <w:vAlign w:val="center"/>
          </w:tcPr>
          <w:p>
            <w:pPr>
              <w:jc w:val="both"/>
              <w:rPr>
                <w:szCs w:val="21"/>
                <w:lang w:eastAsia="zh-CN"/>
              </w:rPr>
            </w:pPr>
            <w:r>
              <w:rPr>
                <w:rFonts w:hint="eastAsia"/>
                <w:szCs w:val="21"/>
                <w:lang w:eastAsia="zh-CN"/>
              </w:rPr>
              <w:t>使用和控制点以及各种电气部件，包括电缆、泵、电机，需要有安全警示标识，标识需要适用于洁净室且经久耐用；设备潜在危险源必须有标识、贴标签并做防护处理。机械运动部件必须设有防护罩，或设置在防护区域内。在不影响机器性能下，设备任何部位不能有锋利的边缘和尖角。如果不可避免，必须设有安全防护（罩）等措施，并且有安全警示标识。</w:t>
            </w:r>
          </w:p>
        </w:tc>
        <w:tc>
          <w:tcPr>
            <w:tcW w:w="2125" w:type="dxa"/>
            <w:shd w:val="clear" w:color="auto" w:fill="auto"/>
            <w:vAlign w:val="center"/>
          </w:tcPr>
          <w:p>
            <w:pPr>
              <w:jc w:val="both"/>
              <w:rPr>
                <w:szCs w:val="21"/>
                <w:lang w:eastAsia="zh-CN"/>
              </w:rPr>
            </w:pPr>
            <w:r>
              <w:rPr>
                <w:szCs w:val="21"/>
                <w:lang w:eastAsia="zh-CN"/>
              </w:rPr>
              <w:t>关键</w:t>
            </w:r>
          </w:p>
        </w:tc>
      </w:tr>
      <w:perm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0" w:edGrp="everyone"/>
          </w:p>
        </w:tc>
        <w:tc>
          <w:tcPr>
            <w:tcW w:w="7128" w:type="dxa"/>
            <w:shd w:val="clear" w:color="auto" w:fill="auto"/>
            <w:vAlign w:val="center"/>
          </w:tcPr>
          <w:p>
            <w:pPr>
              <w:jc w:val="both"/>
              <w:rPr>
                <w:szCs w:val="21"/>
                <w:lang w:eastAsia="zh-CN"/>
              </w:rPr>
            </w:pPr>
            <w:r>
              <w:rPr>
                <w:rFonts w:hint="eastAsia"/>
                <w:szCs w:val="21"/>
                <w:lang w:eastAsia="zh-CN"/>
              </w:rPr>
              <w:t>功能报警：能够对超出工艺范围或安全范围或设定值的项目，超滤系统可以联动报警并可以采取相应措施包括自动调整，同时给出提示，如果自动调整不能纠正能自动停车。</w:t>
            </w:r>
            <w:r>
              <w:rPr>
                <w:rFonts w:hint="eastAsia"/>
                <w:color w:val="000000" w:themeColor="text1"/>
                <w:szCs w:val="21"/>
                <w:lang w:eastAsia="zh-CN"/>
              </w:rPr>
              <w:t>系统需要在醒目位置配备紧急制动按钮。</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6"/>
              <w:rPr>
                <w:lang w:eastAsia="zh-CN"/>
              </w:rPr>
            </w:pPr>
            <w:r>
              <w:rPr>
                <w:rFonts w:hint="eastAsia"/>
                <w:lang w:eastAsia="zh-CN"/>
              </w:rPr>
              <w:t>电气系统应有良好的接地和过流保护，搅拌电机应有过载保护；系统电控柜应自带散热风扇和电路保护装置，过流、短路时自动断开线路以保护操作人员和系统；系统所有导电部件与地线之间的接地电阻&lt;1欧姆。</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szCs w:val="21"/>
                <w:lang w:eastAsia="zh-CN"/>
              </w:rPr>
              <w:t>系统所有安全互锁功能必须在设计文件中详细说明并确认。</w:t>
            </w:r>
          </w:p>
        </w:tc>
        <w:tc>
          <w:tcPr>
            <w:tcW w:w="2125" w:type="dxa"/>
            <w:shd w:val="clear" w:color="auto" w:fill="auto"/>
            <w:vAlign w:val="center"/>
          </w:tcPr>
          <w:p>
            <w:pPr>
              <w:jc w:val="both"/>
              <w:rPr>
                <w:szCs w:val="21"/>
                <w:lang w:eastAsia="zh-CN"/>
              </w:rPr>
            </w:pPr>
            <w:r>
              <w:rPr>
                <w:szCs w:val="21"/>
                <w:lang w:eastAsia="zh-CN"/>
              </w:rPr>
              <w:t>关键</w:t>
            </w:r>
          </w:p>
        </w:tc>
      </w:tr>
      <w:permEnd w:id="30"/>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4" w:name="_Toc522107743"/>
      <w:bookmarkStart w:id="45" w:name="_Toc522716124"/>
      <w:r>
        <w:rPr>
          <w:rFonts w:ascii="Times New Roman" w:hAnsi="Times New Roman"/>
          <w:b/>
        </w:rPr>
        <w:t>文件要求</w:t>
      </w:r>
      <w:bookmarkEnd w:id="44"/>
      <w:bookmarkEnd w:id="45"/>
    </w:p>
    <w:p>
      <w:pPr>
        <w:pStyle w:val="41"/>
        <w:spacing w:before="0" w:line="360" w:lineRule="auto"/>
        <w:jc w:val="left"/>
        <w:rPr>
          <w:i/>
          <w:szCs w:val="21"/>
          <w:lang w:eastAsia="zh-CN"/>
        </w:rPr>
      </w:pPr>
      <w:permStart w:id="31" w:edGrp="everyone"/>
    </w:p>
    <w:permEnd w:id="31"/>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2" w:edGrp="everyone"/>
          </w:p>
        </w:tc>
        <w:tc>
          <w:tcPr>
            <w:tcW w:w="7128" w:type="dxa"/>
            <w:shd w:val="clear" w:color="auto" w:fill="auto"/>
            <w:vAlign w:val="center"/>
          </w:tcPr>
          <w:p>
            <w:pPr>
              <w:jc w:val="both"/>
              <w:rPr>
                <w:szCs w:val="21"/>
                <w:lang w:eastAsia="zh-CN"/>
              </w:rPr>
            </w:pPr>
            <w:r>
              <w:rPr>
                <w:rFonts w:hint="eastAsia"/>
                <w:szCs w:val="21"/>
                <w:lang w:val="en-US" w:eastAsia="zh-CN"/>
              </w:rPr>
              <w:t>设备开箱验收时提供投标文件、合同及订单</w:t>
            </w:r>
            <w:r>
              <w:rPr>
                <w:szCs w:val="21"/>
                <w:lang w:val="en-US" w:eastAsia="zh-CN"/>
              </w:rPr>
              <w:t>。</w:t>
            </w:r>
            <w:r>
              <w:rPr>
                <w:rFonts w:hint="eastAsia"/>
                <w:szCs w:val="21"/>
                <w:lang w:val="en-US" w:eastAsia="zh-CN"/>
              </w:rPr>
              <w:t>设备需提供如下资料：</w:t>
            </w:r>
            <w:r>
              <w:rPr>
                <w:rFonts w:hint="eastAsia" w:ascii="宋体" w:hAnsi="宋体"/>
                <w:szCs w:val="21"/>
                <w:lang w:eastAsia="zh-CN"/>
              </w:rPr>
              <w:t>产品质量证明书、产品制造监督检验证书、产品合格证、产品数据表、压力容器强度计算书、特种设备制造许可证、设备图纸、特种设备安装告知书等。</w:t>
            </w:r>
          </w:p>
        </w:tc>
        <w:tc>
          <w:tcPr>
            <w:tcW w:w="2125" w:type="dxa"/>
            <w:shd w:val="clear" w:color="auto" w:fill="auto"/>
            <w:vAlign w:val="center"/>
          </w:tcPr>
          <w:p>
            <w:pPr>
              <w:jc w:val="both"/>
              <w:rPr>
                <w:szCs w:val="21"/>
                <w:lang w:eastAsia="zh-CN"/>
              </w:rPr>
            </w:pPr>
            <w:r>
              <w:rPr>
                <w:szCs w:val="21"/>
                <w:lang w:eastAsia="zh-CN"/>
              </w:rPr>
              <w:t>关键</w:t>
            </w:r>
          </w:p>
        </w:tc>
      </w:tr>
      <w:permEnd w:id="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3" w:edGrp="everyone"/>
          </w:p>
        </w:tc>
        <w:tc>
          <w:tcPr>
            <w:tcW w:w="7128" w:type="dxa"/>
            <w:shd w:val="clear" w:color="auto" w:fill="auto"/>
            <w:vAlign w:val="center"/>
          </w:tcPr>
          <w:p>
            <w:pPr>
              <w:jc w:val="both"/>
              <w:rPr>
                <w:szCs w:val="21"/>
                <w:lang w:eastAsia="zh-CN"/>
              </w:rPr>
            </w:pPr>
            <w:r>
              <w:rPr>
                <w:rFonts w:hint="eastAsia"/>
                <w:szCs w:val="21"/>
                <w:lang w:val="en-US" w:eastAsia="zh-CN"/>
              </w:rPr>
              <w:t>设备开箱验收时提供</w:t>
            </w:r>
            <w:r>
              <w:rPr>
                <w:szCs w:val="21"/>
                <w:lang w:eastAsia="zh-CN"/>
              </w:rPr>
              <w:t>卖方发运清单及相关检验报告</w:t>
            </w:r>
            <w:r>
              <w:rPr>
                <w:rFonts w:hint="eastAsia"/>
                <w:szCs w:val="21"/>
                <w:lang w:eastAsia="zh-CN"/>
              </w:rPr>
              <w:t>。</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val="en-US" w:eastAsia="zh-CN"/>
              </w:rPr>
            </w:pPr>
            <w:r>
              <w:rPr>
                <w:szCs w:val="21"/>
                <w:lang w:eastAsia="zh-CN"/>
              </w:rPr>
              <w:t>设备标准技术文件，包括详细的设计说明</w:t>
            </w:r>
            <w:r>
              <w:rPr>
                <w:rFonts w:hint="eastAsia"/>
                <w:szCs w:val="21"/>
                <w:lang w:eastAsia="zh-CN"/>
              </w:rPr>
              <w:t>、</w:t>
            </w:r>
            <w:r>
              <w:rPr>
                <w:szCs w:val="21"/>
                <w:lang w:eastAsia="zh-CN"/>
              </w:rPr>
              <w:t>功能说明</w:t>
            </w:r>
            <w:r>
              <w:rPr>
                <w:rFonts w:hint="eastAsia"/>
                <w:szCs w:val="21"/>
                <w:lang w:eastAsia="zh-CN"/>
              </w:rPr>
              <w:t>、</w:t>
            </w:r>
            <w:r>
              <w:rPr>
                <w:szCs w:val="21"/>
                <w:lang w:eastAsia="zh-CN"/>
              </w:rPr>
              <w:t>配置说明与清单；须提供工艺描述和功能标准。</w:t>
            </w:r>
            <w:r>
              <w:rPr>
                <w:rFonts w:hint="eastAsia"/>
                <w:szCs w:val="21"/>
                <w:lang w:eastAsia="zh-CN"/>
              </w:rPr>
              <w:t>（D</w:t>
            </w:r>
            <w:r>
              <w:rPr>
                <w:szCs w:val="21"/>
                <w:lang w:eastAsia="zh-CN"/>
              </w:rPr>
              <w:t>Q</w:t>
            </w:r>
            <w:r>
              <w:rPr>
                <w:rFonts w:hint="eastAsia"/>
                <w:szCs w:val="21"/>
                <w:lang w:eastAsia="zh-CN"/>
              </w:rPr>
              <w:t>开始前完成审批）。</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szCs w:val="21"/>
                <w:lang w:eastAsia="zh-CN"/>
              </w:rPr>
              <w:t>图纸：各种验证、维修等活动所需的电子版及打印版系统实物图</w:t>
            </w:r>
            <w:r>
              <w:rPr>
                <w:rFonts w:hint="eastAsia"/>
                <w:szCs w:val="21"/>
                <w:lang w:eastAsia="zh-CN"/>
              </w:rPr>
              <w:t>、</w:t>
            </w:r>
            <w:r>
              <w:rPr>
                <w:szCs w:val="21"/>
                <w:lang w:eastAsia="zh-CN"/>
              </w:rPr>
              <w:t>布局图、设备尺寸图、设备局部图（与工艺、功能相关的细节图）、P&amp;ID图</w:t>
            </w:r>
            <w:r>
              <w:rPr>
                <w:rFonts w:hint="eastAsia"/>
                <w:szCs w:val="21"/>
                <w:lang w:eastAsia="zh-CN"/>
              </w:rPr>
              <w:t>、</w:t>
            </w:r>
            <w:r>
              <w:rPr>
                <w:szCs w:val="21"/>
                <w:lang w:eastAsia="zh-CN"/>
              </w:rPr>
              <w:t>控制原理图</w:t>
            </w:r>
            <w:r>
              <w:rPr>
                <w:rFonts w:hint="eastAsia"/>
                <w:szCs w:val="21"/>
                <w:lang w:eastAsia="zh-CN"/>
              </w:rPr>
              <w:t>、</w:t>
            </w:r>
            <w:r>
              <w:rPr>
                <w:szCs w:val="21"/>
                <w:lang w:eastAsia="zh-CN"/>
              </w:rPr>
              <w:t>接线图</w:t>
            </w:r>
            <w:r>
              <w:rPr>
                <w:rFonts w:hint="eastAsia"/>
                <w:szCs w:val="21"/>
                <w:lang w:eastAsia="zh-CN"/>
              </w:rPr>
              <w:t>、PLC图、计算机化系统相关图纸、</w:t>
            </w:r>
            <w:r>
              <w:rPr>
                <w:szCs w:val="21"/>
                <w:lang w:eastAsia="zh-CN"/>
              </w:rPr>
              <w:t>图纸清单</w:t>
            </w:r>
            <w:r>
              <w:rPr>
                <w:rFonts w:hint="eastAsia"/>
                <w:szCs w:val="21"/>
                <w:lang w:eastAsia="zh-CN"/>
              </w:rPr>
              <w:t>、自控工艺流程图、触摸屏结构图、自控硬件设计图、GA图。（I</w:t>
            </w:r>
            <w:r>
              <w:rPr>
                <w:szCs w:val="21"/>
                <w:lang w:eastAsia="zh-CN"/>
              </w:rPr>
              <w:t>Q</w:t>
            </w:r>
            <w:r>
              <w:rPr>
                <w:rFonts w:hint="eastAsia"/>
                <w:szCs w:val="21"/>
                <w:lang w:eastAsia="zh-CN"/>
              </w:rPr>
              <w:t>开始前提供）</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val="en-US" w:eastAsia="zh-CN"/>
              </w:rPr>
            </w:pPr>
            <w:r>
              <w:rPr>
                <w:rFonts w:hint="eastAsia"/>
                <w:szCs w:val="21"/>
                <w:lang w:eastAsia="zh-CN"/>
              </w:rPr>
              <w:t>设备制造相关文件：各组件合格证、出厂测试合格证、工厂相关检测报告（电解报告、酸洗钝化报告、粗糙度检测报告、水压测试报告、喷淋核黄素测试报告等）、材质清单、材质报告及合格证（写明材料有效期）、清洁处理程序、各种标示、风险评估文件、</w:t>
            </w:r>
            <w:r>
              <w:rPr>
                <w:rFonts w:hint="eastAsia"/>
                <w:color w:val="000000" w:themeColor="text1"/>
                <w:szCs w:val="21"/>
                <w:lang w:eastAsia="zh-CN"/>
              </w:rPr>
              <w:t>部件列表、系统技术说明、DQ方案/报告、TFF系统部件风险评估、功能设计说明、部件数据表、项目进度安排、项目质量计划、用户需求响应、设备文件清单、设备维护和使用手册、仪器仪表校验报告、软件设计说明、人机界面操作手册、模拟输入列表、数字输出列表、触摸屏报警列表、操作等级列表、过程变量列表、自控硬件设计列表、电气硬件设计说明、电气部件列表、电气参数设置表、焊接日志（内窥镜照片、内窥镜视频等）。</w:t>
            </w:r>
            <w:r>
              <w:rPr>
                <w:rFonts w:hint="eastAsia"/>
                <w:szCs w:val="21"/>
                <w:lang w:eastAsia="zh-CN"/>
              </w:rPr>
              <w:t>（开箱验收提供）</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szCs w:val="21"/>
                <w:lang w:eastAsia="zh-CN"/>
              </w:rPr>
              <w:t>易损件、备用零部件清单及推荐更换周期、仪器仪表清单和相关校验报告及计量证书、设备交付计划表、安全报告、使说明书及维护保养说明（即运行及维护手册）3份。（开箱验收提供）</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lang w:eastAsia="zh-CN"/>
              </w:rPr>
            </w:pPr>
            <w:r>
              <w:rPr>
                <w:rFonts w:hint="eastAsia"/>
                <w:lang w:eastAsia="zh-CN"/>
              </w:rPr>
              <w:t>工厂验收测试（FAT）和现场验收测试（SAT）方案和报告。FAT应在设备制造完成后出厂发货前完成审批并提交；SAT在设备安装调试后IQ开始前完成审批并提交。</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lang w:eastAsia="zh-CN"/>
              </w:rPr>
            </w:pPr>
            <w:r>
              <w:rPr>
                <w:rFonts w:hint="eastAsia"/>
                <w:lang w:eastAsia="zh-CN"/>
              </w:rPr>
              <w:t>调试文件：调试计划（调试说明书、调试清单、保修信息、培训计划、再调试计划等）、总测试计划、检查计划、检测清单、各测试结果、调试总结报告等。（</w:t>
            </w:r>
            <w:r>
              <w:rPr>
                <w:rFonts w:hint="eastAsia"/>
                <w:szCs w:val="21"/>
                <w:lang w:eastAsia="zh-CN"/>
              </w:rPr>
              <w:t>I</w:t>
            </w:r>
            <w:r>
              <w:rPr>
                <w:szCs w:val="21"/>
                <w:lang w:eastAsia="zh-CN"/>
              </w:rPr>
              <w:t>Q</w:t>
            </w:r>
            <w:r>
              <w:rPr>
                <w:rFonts w:hint="eastAsia"/>
                <w:szCs w:val="21"/>
                <w:lang w:eastAsia="zh-CN"/>
              </w:rPr>
              <w:t>开始前提供）</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lang w:eastAsia="zh-CN"/>
              </w:rPr>
            </w:pPr>
            <w:r>
              <w:rPr>
                <w:rFonts w:hint="eastAsia"/>
                <w:lang w:eastAsia="zh-CN"/>
              </w:rPr>
              <w:t>验证文件：</w:t>
            </w:r>
          </w:p>
          <w:p>
            <w:pPr>
              <w:jc w:val="both"/>
              <w:rPr>
                <w:rFonts w:ascii="等线" w:hAnsi="等线" w:eastAsia="等线"/>
                <w:color w:val="000000"/>
                <w:sz w:val="22"/>
                <w:szCs w:val="22"/>
                <w:lang w:eastAsia="zh-CN"/>
              </w:rPr>
            </w:pPr>
            <w:r>
              <w:rPr>
                <w:rFonts w:hint="eastAsia"/>
                <w:lang w:eastAsia="zh-CN"/>
              </w:rPr>
              <w:t>（1）验证计划：设计阶段，设计确认开始前。</w:t>
            </w:r>
          </w:p>
          <w:p>
            <w:pPr>
              <w:jc w:val="both"/>
              <w:rPr>
                <w:lang w:eastAsia="zh-CN"/>
              </w:rPr>
            </w:pPr>
            <w:r>
              <w:rPr>
                <w:rFonts w:hint="eastAsia"/>
                <w:lang w:eastAsia="zh-CN"/>
              </w:rPr>
              <w:t>（2）满足GMP和GAMP5等相关法规的评估文件：系统影响性评估在DQ开始前。</w:t>
            </w:r>
          </w:p>
          <w:p>
            <w:pPr>
              <w:jc w:val="both"/>
              <w:rPr>
                <w:lang w:eastAsia="zh-CN"/>
              </w:rPr>
            </w:pPr>
            <w:r>
              <w:rPr>
                <w:rFonts w:hint="eastAsia"/>
                <w:lang w:eastAsia="zh-CN"/>
              </w:rPr>
              <w:t>（3）DQ：设计完成后，制造及安装开始前完成审批并提交。</w:t>
            </w:r>
          </w:p>
          <w:p>
            <w:pPr>
              <w:jc w:val="both"/>
              <w:rPr>
                <w:lang w:eastAsia="zh-CN"/>
              </w:rPr>
            </w:pPr>
            <w:r>
              <w:rPr>
                <w:rFonts w:hint="eastAsia"/>
                <w:lang w:eastAsia="zh-CN"/>
              </w:rPr>
              <w:t>（4）IQ：SAT批准后开始执行，OQ开始前完成审批并提交。</w:t>
            </w:r>
          </w:p>
          <w:p>
            <w:pPr>
              <w:jc w:val="both"/>
              <w:rPr>
                <w:lang w:eastAsia="zh-CN"/>
              </w:rPr>
            </w:pPr>
            <w:r>
              <w:rPr>
                <w:rFonts w:hint="eastAsia"/>
                <w:lang w:eastAsia="zh-CN"/>
              </w:rPr>
              <w:t>（5）OQ：IQ批准后开始执行，PQ开始前完成审批并提交。</w:t>
            </w:r>
          </w:p>
          <w:p>
            <w:pPr>
              <w:jc w:val="both"/>
              <w:rPr>
                <w:lang w:eastAsia="zh-CN"/>
              </w:rPr>
            </w:pPr>
            <w:r>
              <w:rPr>
                <w:rFonts w:hint="eastAsia"/>
                <w:lang w:eastAsia="zh-CN"/>
              </w:rPr>
              <w:t>（6）追溯矩阵（RTM）：PQ完成后开始起草，最终验收前提交</w:t>
            </w:r>
          </w:p>
          <w:p>
            <w:pPr>
              <w:jc w:val="both"/>
              <w:rPr>
                <w:lang w:eastAsia="zh-CN"/>
              </w:rPr>
            </w:pPr>
            <w:r>
              <w:rPr>
                <w:rFonts w:hint="eastAsia"/>
                <w:lang w:eastAsia="zh-CN"/>
              </w:rPr>
              <w:t>（7）验证总结报告（VSR）：PQ完成后开始起草，最终验收前提交</w:t>
            </w:r>
          </w:p>
          <w:p>
            <w:pPr>
              <w:jc w:val="both"/>
              <w:rPr>
                <w:lang w:eastAsia="zh-CN"/>
              </w:rPr>
            </w:pPr>
            <w:r>
              <w:rPr>
                <w:rFonts w:hint="eastAsia"/>
                <w:lang w:eastAsia="zh-CN"/>
              </w:rPr>
              <w:t>（8）设备生产商负责制定设备验证计划、评估文件、DQ/IQ/OQ验证文件、追溯矩阵、验证总结报告，并负责验证工作的实施，该验证文件作为设备必备文件。</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lang w:eastAsia="zh-CN"/>
              </w:rPr>
            </w:pPr>
            <w:r>
              <w:rPr>
                <w:rFonts w:hint="eastAsia"/>
                <w:lang w:eastAsia="zh-CN"/>
              </w:rPr>
              <w:t>文件具体要求：系统相关方案中，应明确本系统的配置、规格，并且通过分析阐述每一个系统环节的必要性。标书中明确系统所有组件的品牌、材质、型号，并且注明每个组件的保修期。符合GEP要求的项目文件交付包。</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lang w:eastAsia="zh-CN"/>
              </w:rPr>
            </w:pPr>
            <w:r>
              <w:rPr>
                <w:rFonts w:hint="eastAsia"/>
                <w:szCs w:val="21"/>
                <w:lang w:eastAsia="zh-CN"/>
              </w:rPr>
              <w:t>条款规定的文件需提供电子版，并在设备开箱验收时将最终批准的电子版及纸质版全套资料交工程技术部存档。</w:t>
            </w:r>
          </w:p>
        </w:tc>
        <w:tc>
          <w:tcPr>
            <w:tcW w:w="2125" w:type="dxa"/>
            <w:shd w:val="clear" w:color="auto" w:fill="auto"/>
            <w:vAlign w:val="center"/>
          </w:tcPr>
          <w:p>
            <w:pPr>
              <w:jc w:val="both"/>
              <w:rPr>
                <w:szCs w:val="21"/>
                <w:lang w:eastAsia="zh-CN"/>
              </w:rPr>
            </w:pPr>
            <w:r>
              <w:rPr>
                <w:szCs w:val="21"/>
                <w:lang w:eastAsia="zh-CN"/>
              </w:rPr>
              <w:t>关键</w:t>
            </w:r>
          </w:p>
        </w:tc>
      </w:tr>
      <w:permEnd w:id="33"/>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6" w:name="_Toc522716125"/>
      <w:r>
        <w:rPr>
          <w:rFonts w:ascii="Times New Roman" w:hAnsi="Times New Roman"/>
          <w:b/>
          <w:szCs w:val="21"/>
        </w:rPr>
        <w:t>服务要求</w:t>
      </w:r>
      <w:bookmarkEnd w:id="46"/>
    </w:p>
    <w:p>
      <w:pPr>
        <w:pStyle w:val="41"/>
        <w:spacing w:before="0" w:line="360" w:lineRule="auto"/>
        <w:jc w:val="left"/>
        <w:rPr>
          <w:i/>
          <w:color w:val="4472C4"/>
          <w:szCs w:val="21"/>
          <w:lang w:eastAsia="zh-CN"/>
        </w:rPr>
      </w:pPr>
      <w:permStart w:id="34" w:edGrp="everyone"/>
    </w:p>
    <w:permEnd w:id="34"/>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5" w:edGrp="everyone"/>
          </w:p>
        </w:tc>
        <w:tc>
          <w:tcPr>
            <w:tcW w:w="7128" w:type="dxa"/>
            <w:shd w:val="clear" w:color="auto" w:fill="auto"/>
            <w:vAlign w:val="center"/>
          </w:tcPr>
          <w:p>
            <w:pPr>
              <w:spacing w:line="276" w:lineRule="auto"/>
              <w:jc w:val="both"/>
              <w:rPr>
                <w:szCs w:val="21"/>
                <w:lang w:eastAsia="zh-CN"/>
              </w:rPr>
            </w:pPr>
            <w:r>
              <w:rPr>
                <w:szCs w:val="21"/>
                <w:lang w:eastAsia="zh-CN"/>
              </w:rPr>
              <w:t>设备供应商应免费对设备使用方人员进行全面培训，包括对生产操作人员及设备维护、维修人员，并填写培训记录。</w:t>
            </w:r>
          </w:p>
        </w:tc>
        <w:tc>
          <w:tcPr>
            <w:tcW w:w="2125" w:type="dxa"/>
            <w:shd w:val="clear" w:color="auto" w:fill="auto"/>
            <w:vAlign w:val="center"/>
          </w:tcPr>
          <w:p>
            <w:pPr>
              <w:jc w:val="both"/>
              <w:rPr>
                <w:szCs w:val="21"/>
                <w:lang w:eastAsia="zh-CN"/>
              </w:rPr>
            </w:pPr>
            <w:r>
              <w:rPr>
                <w:szCs w:val="21"/>
                <w:lang w:eastAsia="zh-CN"/>
              </w:rPr>
              <w:t>关键</w:t>
            </w: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6" w:edGrp="everyone"/>
          </w:p>
        </w:tc>
        <w:tc>
          <w:tcPr>
            <w:tcW w:w="7128" w:type="dxa"/>
            <w:shd w:val="clear" w:color="auto" w:fill="auto"/>
            <w:vAlign w:val="center"/>
          </w:tcPr>
          <w:p>
            <w:pPr>
              <w:spacing w:line="276" w:lineRule="auto"/>
              <w:jc w:val="both"/>
              <w:rPr>
                <w:szCs w:val="21"/>
                <w:lang w:eastAsia="zh-CN"/>
              </w:rPr>
            </w:pPr>
            <w:r>
              <w:rPr>
                <w:szCs w:val="21"/>
                <w:lang w:eastAsia="zh-CN"/>
              </w:rPr>
              <w:t>生产操作人员培训包括设备结构原理、性能、操作、清洗消毒、故障排除等基本知识。合格标准为用户参加培训人员能够独立正确操作设备，会排除常见故障。</w:t>
            </w:r>
          </w:p>
        </w:tc>
        <w:tc>
          <w:tcPr>
            <w:tcW w:w="2125" w:type="dxa"/>
            <w:shd w:val="clear" w:color="auto" w:fill="auto"/>
            <w:vAlign w:val="center"/>
          </w:tcPr>
          <w:p>
            <w:pPr>
              <w:jc w:val="both"/>
              <w:rPr>
                <w:szCs w:val="21"/>
                <w:lang w:eastAsia="zh-CN"/>
              </w:rPr>
            </w:pPr>
            <w:r>
              <w:rPr>
                <w:szCs w:val="21"/>
                <w:lang w:eastAsia="zh-CN"/>
              </w:rPr>
              <w:t>关键</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7" w:edGrp="everyone"/>
          </w:p>
        </w:tc>
        <w:tc>
          <w:tcPr>
            <w:tcW w:w="7128" w:type="dxa"/>
            <w:shd w:val="clear" w:color="auto" w:fill="auto"/>
            <w:vAlign w:val="center"/>
          </w:tcPr>
          <w:p>
            <w:pPr>
              <w:spacing w:line="276" w:lineRule="auto"/>
              <w:jc w:val="both"/>
              <w:rPr>
                <w:szCs w:val="21"/>
                <w:lang w:eastAsia="zh-CN"/>
              </w:rPr>
            </w:pPr>
            <w:r>
              <w:rPr>
                <w:szCs w:val="21"/>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shd w:val="clear" w:color="auto" w:fill="auto"/>
            <w:vAlign w:val="center"/>
          </w:tcPr>
          <w:p>
            <w:pPr>
              <w:jc w:val="both"/>
              <w:rPr>
                <w:szCs w:val="21"/>
                <w:lang w:eastAsia="zh-CN"/>
              </w:rPr>
            </w:pPr>
            <w:r>
              <w:rPr>
                <w:szCs w:val="21"/>
                <w:lang w:eastAsia="zh-CN"/>
              </w:rPr>
              <w:t>关键</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8" w:edGrp="everyone"/>
          </w:p>
        </w:tc>
        <w:tc>
          <w:tcPr>
            <w:tcW w:w="7128" w:type="dxa"/>
            <w:shd w:val="clear" w:color="auto" w:fill="auto"/>
            <w:vAlign w:val="center"/>
          </w:tcPr>
          <w:p>
            <w:pPr>
              <w:spacing w:line="276" w:lineRule="auto"/>
              <w:jc w:val="both"/>
              <w:rPr>
                <w:szCs w:val="21"/>
                <w:lang w:eastAsia="zh-CN"/>
              </w:rPr>
            </w:pPr>
            <w:r>
              <w:rPr>
                <w:szCs w:val="21"/>
                <w:lang w:eastAsia="zh-CN"/>
              </w:rPr>
              <w:t>设备运输在运输途中需做好防护措施，不得有任何损伤。</w:t>
            </w:r>
          </w:p>
        </w:tc>
        <w:tc>
          <w:tcPr>
            <w:tcW w:w="2125" w:type="dxa"/>
            <w:shd w:val="clear" w:color="auto" w:fill="auto"/>
            <w:vAlign w:val="center"/>
          </w:tcPr>
          <w:p>
            <w:pPr>
              <w:jc w:val="both"/>
              <w:rPr>
                <w:szCs w:val="21"/>
                <w:lang w:eastAsia="zh-CN"/>
              </w:rPr>
            </w:pPr>
            <w:r>
              <w:rPr>
                <w:szCs w:val="21"/>
                <w:lang w:eastAsia="zh-CN"/>
              </w:rPr>
              <w:t>关键</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9" w:edGrp="everyone"/>
          </w:p>
        </w:tc>
        <w:tc>
          <w:tcPr>
            <w:tcW w:w="7128" w:type="dxa"/>
            <w:shd w:val="clear" w:color="auto" w:fill="auto"/>
            <w:vAlign w:val="center"/>
          </w:tcPr>
          <w:p>
            <w:pPr>
              <w:spacing w:line="276" w:lineRule="auto"/>
              <w:jc w:val="both"/>
              <w:rPr>
                <w:i/>
                <w:szCs w:val="21"/>
                <w:lang w:eastAsia="zh-CN"/>
              </w:rPr>
            </w:pPr>
            <w:r>
              <w:rPr>
                <w:rFonts w:hint="eastAsia"/>
                <w:iCs/>
                <w:szCs w:val="21"/>
                <w:lang w:eastAsia="zh-CN"/>
              </w:rPr>
              <w:t>验证包括计划、系统评估、风险评估、DQ、FAT、SAT、IQ、OQ、RTM、VSR文件与服务，供应商必须派出具备该类系统验证工程师开展验证工作。供应商协助完成PQ。</w:t>
            </w:r>
          </w:p>
        </w:tc>
        <w:tc>
          <w:tcPr>
            <w:tcW w:w="2125" w:type="dxa"/>
            <w:shd w:val="clear" w:color="auto" w:fill="auto"/>
            <w:vAlign w:val="center"/>
          </w:tcPr>
          <w:p>
            <w:pPr>
              <w:jc w:val="both"/>
              <w:rPr>
                <w:szCs w:val="21"/>
                <w:lang w:eastAsia="zh-CN"/>
              </w:rPr>
            </w:pPr>
            <w:r>
              <w:rPr>
                <w:szCs w:val="21"/>
                <w:lang w:eastAsia="zh-CN"/>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0" w:edGrp="everyone"/>
          </w:p>
        </w:tc>
        <w:tc>
          <w:tcPr>
            <w:tcW w:w="7128" w:type="dxa"/>
            <w:shd w:val="clear" w:color="auto" w:fill="auto"/>
            <w:vAlign w:val="center"/>
          </w:tcPr>
          <w:p>
            <w:pPr>
              <w:spacing w:line="276" w:lineRule="auto"/>
              <w:jc w:val="both"/>
              <w:rPr>
                <w:szCs w:val="21"/>
                <w:lang w:eastAsia="zh-CN"/>
              </w:rPr>
            </w:pPr>
            <w:r>
              <w:rPr>
                <w:rFonts w:hint="eastAsia"/>
                <w:iCs/>
                <w:szCs w:val="21"/>
                <w:lang w:eastAsia="zh-CN"/>
              </w:rPr>
              <w:t>投标方按GMP规范完成IQ、OQ工作，并提供符合本公司QA要求的相应文件。验证开始前验证方案需经过本公司相关部门审核，质量保证部批准。</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iCs/>
                <w:szCs w:val="21"/>
                <w:lang w:eastAsia="zh-CN"/>
              </w:rPr>
              <w:t>验证工作应按时保质完成，供应商需提供验证工作计划表。</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iCs/>
                <w:szCs w:val="21"/>
                <w:lang w:eastAsia="zh-CN"/>
              </w:rPr>
              <w:t>验证项目应包含法规要求的测试项目，以及本公司提出的测试项目。</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iCs/>
                <w:szCs w:val="21"/>
                <w:lang w:eastAsia="zh-CN"/>
              </w:rPr>
              <w:t>验证工作完成后，验证记录经本公司相关部门审核，并经质量保证部批准。</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iCs/>
                <w:szCs w:val="21"/>
                <w:lang w:eastAsia="zh-CN"/>
              </w:rPr>
              <w:t>验收前，验证工作已成功完成，验证最终报告已经本公司相关部门审核，并经质量保证部批准。</w:t>
            </w:r>
          </w:p>
        </w:tc>
        <w:tc>
          <w:tcPr>
            <w:tcW w:w="2125" w:type="dxa"/>
            <w:shd w:val="clear" w:color="auto" w:fill="auto"/>
            <w:vAlign w:val="center"/>
          </w:tcPr>
          <w:p>
            <w:pPr>
              <w:jc w:val="both"/>
              <w:rPr>
                <w:szCs w:val="21"/>
                <w:lang w:eastAsia="zh-CN"/>
              </w:rPr>
            </w:pPr>
            <w:r>
              <w:rPr>
                <w:szCs w:val="21"/>
                <w:lang w:eastAsia="zh-CN"/>
              </w:rPr>
              <w:t>关键</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1" w:edGrp="everyone"/>
          </w:p>
        </w:tc>
        <w:tc>
          <w:tcPr>
            <w:tcW w:w="7128" w:type="dxa"/>
            <w:shd w:val="clear" w:color="auto" w:fill="auto"/>
            <w:vAlign w:val="center"/>
          </w:tcPr>
          <w:p>
            <w:pPr>
              <w:spacing w:line="276" w:lineRule="auto"/>
              <w:jc w:val="both"/>
              <w:rPr>
                <w:szCs w:val="21"/>
                <w:lang w:eastAsia="zh-CN"/>
              </w:rPr>
            </w:pPr>
            <w:r>
              <w:rPr>
                <w:szCs w:val="21"/>
                <w:lang w:eastAsia="zh-CN"/>
              </w:rPr>
              <w:t>设备保质期从</w:t>
            </w:r>
            <w:r>
              <w:rPr>
                <w:rFonts w:hint="eastAsia"/>
                <w:szCs w:val="21"/>
                <w:lang w:eastAsia="zh-CN"/>
              </w:rPr>
              <w:t>完成IQ/OQ</w:t>
            </w:r>
            <w:r>
              <w:rPr>
                <w:szCs w:val="21"/>
                <w:lang w:eastAsia="zh-CN"/>
              </w:rPr>
              <w:t>验证始计算。</w:t>
            </w:r>
            <w:r>
              <w:rPr>
                <w:rFonts w:hint="eastAsia"/>
                <w:szCs w:val="21"/>
                <w:lang w:eastAsia="zh-CN"/>
              </w:rPr>
              <w:t>设备质保期为一年，一年内免费保修，一年后应提供良好的售后服务。</w:t>
            </w:r>
          </w:p>
        </w:tc>
        <w:tc>
          <w:tcPr>
            <w:tcW w:w="2125" w:type="dxa"/>
            <w:shd w:val="clear" w:color="auto" w:fill="auto"/>
            <w:vAlign w:val="center"/>
          </w:tcPr>
          <w:p>
            <w:pPr>
              <w:jc w:val="both"/>
              <w:rPr>
                <w:szCs w:val="21"/>
                <w:lang w:eastAsia="zh-CN"/>
              </w:rPr>
            </w:pPr>
            <w:r>
              <w:rPr>
                <w:szCs w:val="21"/>
                <w:lang w:eastAsia="zh-CN"/>
              </w:rPr>
              <w:t>关键</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2" w:edGrp="everyone"/>
          </w:p>
        </w:tc>
        <w:tc>
          <w:tcPr>
            <w:tcW w:w="7128" w:type="dxa"/>
            <w:shd w:val="clear" w:color="auto" w:fill="auto"/>
            <w:vAlign w:val="center"/>
          </w:tcPr>
          <w:p>
            <w:pPr>
              <w:spacing w:line="276" w:lineRule="auto"/>
              <w:jc w:val="both"/>
              <w:rPr>
                <w:lang w:eastAsia="zh-CN"/>
              </w:rPr>
            </w:pPr>
            <w:r>
              <w:rPr>
                <w:rFonts w:hint="eastAsia"/>
                <w:szCs w:val="21"/>
                <w:lang w:eastAsia="zh-CN"/>
              </w:rPr>
              <w:t>售后服务必须响应及时，要求设备出现须厂家维修的故障后，应在4小时内明确答复，当电话沟通无法解决时，须24小时内派人至现场解决。</w:t>
            </w:r>
          </w:p>
        </w:tc>
        <w:tc>
          <w:tcPr>
            <w:tcW w:w="2125" w:type="dxa"/>
            <w:shd w:val="clear" w:color="auto" w:fill="auto"/>
            <w:vAlign w:val="center"/>
          </w:tcPr>
          <w:p>
            <w:pPr>
              <w:jc w:val="both"/>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一年免费保修期后，厂家应终生提供及时的维修、维护，厂家应定期回访，解决设备运行当中可能出现的疑问，排除潜在故障。</w:t>
            </w:r>
          </w:p>
        </w:tc>
        <w:tc>
          <w:tcPr>
            <w:tcW w:w="2125" w:type="dxa"/>
            <w:shd w:val="clear" w:color="auto" w:fill="auto"/>
            <w:vAlign w:val="center"/>
          </w:tcPr>
          <w:p>
            <w:pPr>
              <w:jc w:val="both"/>
              <w:rPr>
                <w:iCs/>
                <w:szCs w:val="21"/>
                <w:lang w:eastAsia="zh-CN"/>
              </w:rPr>
            </w:pPr>
            <w:r>
              <w:rPr>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厂家应提供合格的备件，用于设备相应部件的维修、更换。</w:t>
            </w:r>
          </w:p>
        </w:tc>
        <w:tc>
          <w:tcPr>
            <w:tcW w:w="2125" w:type="dxa"/>
            <w:shd w:val="clear" w:color="auto" w:fill="auto"/>
            <w:vAlign w:val="center"/>
          </w:tcPr>
          <w:p>
            <w:pPr>
              <w:jc w:val="both"/>
              <w:rPr>
                <w:iCs/>
                <w:szCs w:val="21"/>
                <w:lang w:eastAsia="zh-CN"/>
              </w:rPr>
            </w:pPr>
            <w:r>
              <w:rPr>
                <w:iCs/>
                <w:szCs w:val="21"/>
                <w:lang w:eastAsia="zh-CN"/>
              </w:rPr>
              <w:t>关键</w:t>
            </w:r>
          </w:p>
        </w:tc>
      </w:tr>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3" w:edGrp="everyone"/>
          </w:p>
        </w:tc>
        <w:tc>
          <w:tcPr>
            <w:tcW w:w="7128" w:type="dxa"/>
            <w:shd w:val="clear" w:color="auto" w:fill="auto"/>
            <w:vAlign w:val="center"/>
          </w:tcPr>
          <w:p>
            <w:pPr>
              <w:spacing w:line="276" w:lineRule="auto"/>
              <w:jc w:val="both"/>
              <w:rPr>
                <w:szCs w:val="21"/>
                <w:lang w:eastAsia="zh-CN"/>
              </w:rPr>
            </w:pPr>
            <w:r>
              <w:rPr>
                <w:rFonts w:hint="eastAsia"/>
                <w:szCs w:val="21"/>
                <w:lang w:eastAsia="zh-CN"/>
              </w:rPr>
              <w:t>货物到达买方使用现场后，由买卖双方共同验收，卖方工程师免费为买方提供调试。供应商进厂安装需遵守安全和施工规定。确认试车验收合格后，买卖双方签订验收报告。</w:t>
            </w:r>
          </w:p>
        </w:tc>
        <w:tc>
          <w:tcPr>
            <w:tcW w:w="2125" w:type="dxa"/>
            <w:shd w:val="clear" w:color="auto" w:fill="auto"/>
            <w:vAlign w:val="center"/>
          </w:tcPr>
          <w:p>
            <w:pPr>
              <w:jc w:val="both"/>
              <w:rPr>
                <w:iCs/>
                <w:szCs w:val="21"/>
                <w:lang w:eastAsia="zh-CN"/>
              </w:rPr>
            </w:pPr>
            <w:r>
              <w:rPr>
                <w:iCs/>
                <w:szCs w:val="21"/>
                <w:lang w:eastAsia="zh-CN"/>
              </w:rPr>
              <w:t>关键</w:t>
            </w:r>
          </w:p>
        </w:tc>
      </w:tr>
      <w:permEnd w:id="43"/>
    </w:tbl>
    <w:p/>
    <w:p>
      <w:pPr>
        <w:pStyle w:val="31"/>
        <w:numPr>
          <w:ilvl w:val="0"/>
          <w:numId w:val="3"/>
        </w:numPr>
        <w:spacing w:after="158" w:afterLines="50"/>
        <w:ind w:left="426" w:hanging="426" w:hangingChars="202"/>
        <w:outlineLvl w:val="0"/>
        <w:rPr>
          <w:rFonts w:ascii="Times New Roman" w:hAnsi="Times New Roman"/>
          <w:b/>
        </w:rPr>
      </w:pPr>
      <w:bookmarkStart w:id="47" w:name="_Toc522107746"/>
      <w:bookmarkStart w:id="48" w:name="_Toc522716126"/>
      <w:r>
        <w:rPr>
          <w:rFonts w:ascii="Times New Roman" w:hAnsi="Times New Roman"/>
          <w:b/>
        </w:rPr>
        <w:t>附件</w:t>
      </w:r>
      <w:bookmarkEnd w:id="47"/>
      <w:bookmarkEnd w:id="48"/>
    </w:p>
    <w:bookmarkEnd w:id="31"/>
    <w:bookmarkEnd w:id="32"/>
    <w:bookmarkEnd w:id="33"/>
    <w:bookmarkEnd w:id="34"/>
    <w:bookmarkEnd w:id="35"/>
    <w:bookmarkEnd w:id="36"/>
    <w:bookmarkEnd w:id="37"/>
    <w:bookmarkEnd w:id="38"/>
    <w:bookmarkEnd w:id="39"/>
    <w:bookmarkEnd w:id="40"/>
    <w:bookmarkEnd w:id="41"/>
    <w:bookmarkEnd w:id="42"/>
    <w:p>
      <w:pPr>
        <w:pStyle w:val="41"/>
        <w:spacing w:before="0" w:line="360" w:lineRule="auto"/>
        <w:jc w:val="left"/>
        <w:rPr>
          <w:szCs w:val="21"/>
          <w:lang w:val="en-GB" w:eastAsia="zh-CN"/>
        </w:rPr>
      </w:pPr>
      <w:permStart w:id="44" w:edGrp="everyone"/>
      <w:r>
        <w:rPr>
          <w:szCs w:val="21"/>
          <w:lang w:val="en-GB" w:eastAsia="zh-CN"/>
        </w:rPr>
        <w:t>N/A</w:t>
      </w:r>
      <w:permEnd w:id="44"/>
    </w:p>
    <w:sectPr>
      <w:footerReference r:id="rId3"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PMingLiU">
    <w:altName w:val="Microsoft JhengHei UI"/>
    <w:panose1 w:val="02010601000101010101"/>
    <w:charset w:val="88"/>
    <w:family w:val="roman"/>
    <w:pitch w:val="default"/>
    <w:sig w:usb0="00000000" w:usb1="00000000" w:usb2="00000016" w:usb3="00000000" w:csb0="00100001"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right" w:pos="9356"/>
        <w:tab w:val="clear" w:pos="8640"/>
      </w:tabs>
      <w:ind w:right="-285"/>
      <w:rPr>
        <w:sz w:val="18"/>
        <w:szCs w:val="18"/>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2689A"/>
    <w:multiLevelType w:val="multilevel"/>
    <w:tmpl w:val="0892689A"/>
    <w:lvl w:ilvl="0" w:tentative="0">
      <w:start w:val="1"/>
      <w:numFmt w:val="decimal"/>
      <w:lvlText w:val="6.%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8FC583D"/>
    <w:multiLevelType w:val="multilevel"/>
    <w:tmpl w:val="08FC583D"/>
    <w:lvl w:ilvl="0" w:tentative="0">
      <w:start w:val="1"/>
      <w:numFmt w:val="decimal"/>
      <w:pStyle w:val="2"/>
      <w:lvlText w:val="%1."/>
      <w:lvlJc w:val="left"/>
      <w:pPr>
        <w:tabs>
          <w:tab w:val="left" w:pos="425"/>
        </w:tabs>
        <w:ind w:left="425" w:hanging="425"/>
      </w:pPr>
      <w:rPr>
        <w:rFonts w:hint="default"/>
        <w:sz w:val="22"/>
      </w:rPr>
    </w:lvl>
    <w:lvl w:ilvl="1" w:tentative="0">
      <w:start w:val="1"/>
      <w:numFmt w:val="decimal"/>
      <w:lvlText w:val="%1.%2."/>
      <w:lvlJc w:val="left"/>
      <w:pPr>
        <w:tabs>
          <w:tab w:val="left" w:pos="567"/>
        </w:tabs>
        <w:ind w:left="567" w:hanging="567"/>
      </w:pPr>
      <w:rPr>
        <w:rFonts w:hint="default"/>
        <w:sz w:val="22"/>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2">
    <w:nsid w:val="0BB07E03"/>
    <w:multiLevelType w:val="multilevel"/>
    <w:tmpl w:val="0BB07E03"/>
    <w:lvl w:ilvl="0" w:tentative="0">
      <w:start w:val="1"/>
      <w:numFmt w:val="decimal"/>
      <w:lvlText w:val="9.%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1273409"/>
    <w:multiLevelType w:val="multilevel"/>
    <w:tmpl w:val="11273409"/>
    <w:lvl w:ilvl="0" w:tentative="0">
      <w:start w:val="1"/>
      <w:numFmt w:val="decimal"/>
      <w:lvlText w:val="7.%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6D341CC"/>
    <w:multiLevelType w:val="multilevel"/>
    <w:tmpl w:val="16D341CC"/>
    <w:lvl w:ilvl="0" w:tentative="0">
      <w:start w:val="1"/>
      <w:numFmt w:val="decimal"/>
      <w:lvlText w:val="URS %1"/>
      <w:lvlJc w:val="left"/>
      <w:pPr>
        <w:ind w:left="1555" w:hanging="420"/>
      </w:pPr>
      <w:rPr>
        <w:rFonts w:hint="eastAsia"/>
      </w:rPr>
    </w:lvl>
    <w:lvl w:ilvl="1" w:tentative="0">
      <w:start w:val="2"/>
      <w:numFmt w:val="decimal"/>
      <w:lvlText w:val="（%2）"/>
      <w:lvlJc w:val="left"/>
      <w:pPr>
        <w:ind w:left="1740" w:hanging="720"/>
      </w:pPr>
      <w:rPr>
        <w:rFonts w:hint="default"/>
      </w:r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5">
    <w:nsid w:val="1E85127E"/>
    <w:multiLevelType w:val="multilevel"/>
    <w:tmpl w:val="1E85127E"/>
    <w:lvl w:ilvl="0" w:tentative="0">
      <w:start w:val="1"/>
      <w:numFmt w:val="bullet"/>
      <w:lvlText w:val=""/>
      <w:lvlJc w:val="left"/>
      <w:pPr>
        <w:ind w:left="988" w:hanging="420"/>
      </w:pPr>
      <w:rPr>
        <w:rFonts w:hint="default" w:ascii="Wingdings" w:hAnsi="Wingdings"/>
        <w:color w:val="000000"/>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6">
    <w:nsid w:val="23693724"/>
    <w:multiLevelType w:val="multilevel"/>
    <w:tmpl w:val="23693724"/>
    <w:lvl w:ilvl="0" w:tentative="0">
      <w:start w:val="1"/>
      <w:numFmt w:val="decimal"/>
      <w:lvlText w:val="%1"/>
      <w:lvlJc w:val="left"/>
      <w:pPr>
        <w:ind w:left="425" w:hanging="425"/>
      </w:pPr>
      <w:rPr>
        <w:rFonts w:asciiTheme="majorEastAsia" w:hAnsiTheme="majorEastAsia" w:eastAsiaTheme="majorEastAsia"/>
        <w:b/>
        <w:i w:val="0"/>
        <w:color w:val="auto"/>
      </w:r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7">
    <w:nsid w:val="320B1F6D"/>
    <w:multiLevelType w:val="multilevel"/>
    <w:tmpl w:val="320B1F6D"/>
    <w:lvl w:ilvl="0" w:tentative="0">
      <w:start w:val="1"/>
      <w:numFmt w:val="decimal"/>
      <w:lvlText w:val="8.%1"/>
      <w:lvlJc w:val="left"/>
      <w:pPr>
        <w:ind w:left="777" w:hanging="420"/>
      </w:pPr>
      <w:rPr>
        <w:rFonts w:hint="eastAsia"/>
      </w:rPr>
    </w:lvl>
    <w:lvl w:ilvl="1" w:tentative="0">
      <w:start w:val="1"/>
      <w:numFmt w:val="lowerLetter"/>
      <w:lvlText w:val="%2)"/>
      <w:lvlJc w:val="left"/>
      <w:pPr>
        <w:ind w:left="840" w:hanging="420"/>
      </w:pPr>
    </w:lvl>
    <w:lvl w:ilvl="2" w:tentative="0">
      <w:start w:val="1"/>
      <w:numFmt w:val="decimal"/>
      <w:lvlText w:val="8.%3"/>
      <w:lvlJc w:val="righ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49A640C"/>
    <w:multiLevelType w:val="multilevel"/>
    <w:tmpl w:val="549A640C"/>
    <w:lvl w:ilvl="0" w:tentative="0">
      <w:start w:val="1"/>
      <w:numFmt w:val="decimal"/>
      <w:lvlText w:val="12.%1"/>
      <w:lvlJc w:val="left"/>
      <w:pPr>
        <w:ind w:left="84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29402F4"/>
    <w:multiLevelType w:val="multilevel"/>
    <w:tmpl w:val="629402F4"/>
    <w:lvl w:ilvl="0" w:tentative="0">
      <w:start w:val="1"/>
      <w:numFmt w:val="decimal"/>
      <w:lvlText w:val="3.%1"/>
      <w:lvlJc w:val="left"/>
      <w:pPr>
        <w:ind w:left="777"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86546ED"/>
    <w:multiLevelType w:val="multilevel"/>
    <w:tmpl w:val="686546ED"/>
    <w:lvl w:ilvl="0" w:tentative="0">
      <w:start w:val="1"/>
      <w:numFmt w:val="decimal"/>
      <w:pStyle w:val="37"/>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10"/>
  </w:num>
  <w:num w:numId="3">
    <w:abstractNumId w:val="6"/>
  </w:num>
  <w:num w:numId="4">
    <w:abstractNumId w:val="9"/>
  </w:num>
  <w:num w:numId="5">
    <w:abstractNumId w:val="5"/>
  </w:num>
  <w:num w:numId="6">
    <w:abstractNumId w:val="0"/>
  </w:num>
  <w:num w:numId="7">
    <w:abstractNumId w:val="4"/>
  </w:num>
  <w:num w:numId="8">
    <w:abstractNumId w:val="3"/>
  </w:num>
  <w:num w:numId="9">
    <w:abstractNumId w:val="7"/>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rawingGridVerticalSpacing w:val="158"/>
  <w:displayHorizontalDrawingGridEvery w:val="0"/>
  <w:displayVerticalDrawingGridEvery w:val="0"/>
  <w:characterSpacingControl w:val="doNotCompress"/>
  <w:compat>
    <w:useFELayout/>
    <w:compatSetting w:name="compatibilityMode" w:uri="http://schemas.microsoft.com/office/word" w:val="12"/>
  </w:compat>
  <w:rsids>
    <w:rsidRoot w:val="00391016"/>
    <w:rsid w:val="00001AE0"/>
    <w:rsid w:val="000021A6"/>
    <w:rsid w:val="00002F06"/>
    <w:rsid w:val="000038A4"/>
    <w:rsid w:val="0000520B"/>
    <w:rsid w:val="000059AD"/>
    <w:rsid w:val="00005CB9"/>
    <w:rsid w:val="00005E76"/>
    <w:rsid w:val="00006273"/>
    <w:rsid w:val="00006FD5"/>
    <w:rsid w:val="0001160E"/>
    <w:rsid w:val="000117C7"/>
    <w:rsid w:val="000123A0"/>
    <w:rsid w:val="000169DD"/>
    <w:rsid w:val="00020FEA"/>
    <w:rsid w:val="00022818"/>
    <w:rsid w:val="000233DE"/>
    <w:rsid w:val="00023B07"/>
    <w:rsid w:val="00023CAD"/>
    <w:rsid w:val="0002457E"/>
    <w:rsid w:val="0002521B"/>
    <w:rsid w:val="000275E7"/>
    <w:rsid w:val="000303D0"/>
    <w:rsid w:val="00031243"/>
    <w:rsid w:val="00031900"/>
    <w:rsid w:val="00033C02"/>
    <w:rsid w:val="000355F3"/>
    <w:rsid w:val="00036C49"/>
    <w:rsid w:val="00037987"/>
    <w:rsid w:val="00037F15"/>
    <w:rsid w:val="00037F55"/>
    <w:rsid w:val="000404F1"/>
    <w:rsid w:val="00041104"/>
    <w:rsid w:val="00041A2A"/>
    <w:rsid w:val="00041D89"/>
    <w:rsid w:val="00044DFD"/>
    <w:rsid w:val="00044FEC"/>
    <w:rsid w:val="000467C2"/>
    <w:rsid w:val="00046B5E"/>
    <w:rsid w:val="00047038"/>
    <w:rsid w:val="00047BA8"/>
    <w:rsid w:val="00047CAF"/>
    <w:rsid w:val="00051FA4"/>
    <w:rsid w:val="00052CD3"/>
    <w:rsid w:val="00053A4C"/>
    <w:rsid w:val="00054BB1"/>
    <w:rsid w:val="00055ED6"/>
    <w:rsid w:val="00056478"/>
    <w:rsid w:val="000567A2"/>
    <w:rsid w:val="00056AE2"/>
    <w:rsid w:val="00056E9E"/>
    <w:rsid w:val="00056F77"/>
    <w:rsid w:val="00057046"/>
    <w:rsid w:val="000576C2"/>
    <w:rsid w:val="00063572"/>
    <w:rsid w:val="00063B90"/>
    <w:rsid w:val="00064A43"/>
    <w:rsid w:val="000662D2"/>
    <w:rsid w:val="00071DD4"/>
    <w:rsid w:val="00072340"/>
    <w:rsid w:val="00072945"/>
    <w:rsid w:val="00073B81"/>
    <w:rsid w:val="0007673E"/>
    <w:rsid w:val="00077AE1"/>
    <w:rsid w:val="000818AC"/>
    <w:rsid w:val="00082C13"/>
    <w:rsid w:val="00083D58"/>
    <w:rsid w:val="000844A8"/>
    <w:rsid w:val="00084F90"/>
    <w:rsid w:val="00086205"/>
    <w:rsid w:val="00086CA0"/>
    <w:rsid w:val="00087002"/>
    <w:rsid w:val="00092C03"/>
    <w:rsid w:val="000941F4"/>
    <w:rsid w:val="00096510"/>
    <w:rsid w:val="00097A7D"/>
    <w:rsid w:val="00097CA2"/>
    <w:rsid w:val="000A1D9E"/>
    <w:rsid w:val="000A2664"/>
    <w:rsid w:val="000A2C3C"/>
    <w:rsid w:val="000A41DA"/>
    <w:rsid w:val="000A55CC"/>
    <w:rsid w:val="000A5CEE"/>
    <w:rsid w:val="000A6423"/>
    <w:rsid w:val="000A6661"/>
    <w:rsid w:val="000A6C4A"/>
    <w:rsid w:val="000B02ED"/>
    <w:rsid w:val="000B02FD"/>
    <w:rsid w:val="000B068C"/>
    <w:rsid w:val="000B2F13"/>
    <w:rsid w:val="000B417D"/>
    <w:rsid w:val="000B45E0"/>
    <w:rsid w:val="000B4EC4"/>
    <w:rsid w:val="000B5888"/>
    <w:rsid w:val="000B6884"/>
    <w:rsid w:val="000B748B"/>
    <w:rsid w:val="000C0A41"/>
    <w:rsid w:val="000C0DD3"/>
    <w:rsid w:val="000C0FA5"/>
    <w:rsid w:val="000C1D11"/>
    <w:rsid w:val="000C3C81"/>
    <w:rsid w:val="000C4051"/>
    <w:rsid w:val="000C41B6"/>
    <w:rsid w:val="000C7137"/>
    <w:rsid w:val="000D112B"/>
    <w:rsid w:val="000D1A79"/>
    <w:rsid w:val="000D3B24"/>
    <w:rsid w:val="000D3C41"/>
    <w:rsid w:val="000D43C9"/>
    <w:rsid w:val="000D4D8C"/>
    <w:rsid w:val="000D517D"/>
    <w:rsid w:val="000D5BCC"/>
    <w:rsid w:val="000D6D1E"/>
    <w:rsid w:val="000D6FF9"/>
    <w:rsid w:val="000D7C49"/>
    <w:rsid w:val="000E015B"/>
    <w:rsid w:val="000E0DDB"/>
    <w:rsid w:val="000E17B5"/>
    <w:rsid w:val="000E3C9F"/>
    <w:rsid w:val="000E41B5"/>
    <w:rsid w:val="000E51FF"/>
    <w:rsid w:val="000E557E"/>
    <w:rsid w:val="000E5684"/>
    <w:rsid w:val="000E5B57"/>
    <w:rsid w:val="000F0D08"/>
    <w:rsid w:val="000F10F3"/>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E69"/>
    <w:rsid w:val="00125CC1"/>
    <w:rsid w:val="001273B0"/>
    <w:rsid w:val="00127CB8"/>
    <w:rsid w:val="00130277"/>
    <w:rsid w:val="001313C3"/>
    <w:rsid w:val="00132F4C"/>
    <w:rsid w:val="00134C68"/>
    <w:rsid w:val="00135FD6"/>
    <w:rsid w:val="001374CF"/>
    <w:rsid w:val="00140A69"/>
    <w:rsid w:val="00143952"/>
    <w:rsid w:val="001442AB"/>
    <w:rsid w:val="0014477D"/>
    <w:rsid w:val="00144D00"/>
    <w:rsid w:val="00145034"/>
    <w:rsid w:val="00145DC7"/>
    <w:rsid w:val="00145F74"/>
    <w:rsid w:val="00146568"/>
    <w:rsid w:val="00150BCC"/>
    <w:rsid w:val="00153A3D"/>
    <w:rsid w:val="001541A9"/>
    <w:rsid w:val="001547A0"/>
    <w:rsid w:val="001549D1"/>
    <w:rsid w:val="00154CD3"/>
    <w:rsid w:val="001560AD"/>
    <w:rsid w:val="0015633E"/>
    <w:rsid w:val="0015752C"/>
    <w:rsid w:val="0016077F"/>
    <w:rsid w:val="00161486"/>
    <w:rsid w:val="0016194A"/>
    <w:rsid w:val="00161F7F"/>
    <w:rsid w:val="00162A78"/>
    <w:rsid w:val="0016338A"/>
    <w:rsid w:val="001633B3"/>
    <w:rsid w:val="00163A08"/>
    <w:rsid w:val="00164CDC"/>
    <w:rsid w:val="00164E0D"/>
    <w:rsid w:val="00166311"/>
    <w:rsid w:val="00166478"/>
    <w:rsid w:val="00167B0E"/>
    <w:rsid w:val="0017008A"/>
    <w:rsid w:val="00171A51"/>
    <w:rsid w:val="001746E7"/>
    <w:rsid w:val="001757AB"/>
    <w:rsid w:val="001769A8"/>
    <w:rsid w:val="001814FA"/>
    <w:rsid w:val="001815A9"/>
    <w:rsid w:val="00182A27"/>
    <w:rsid w:val="00184DDD"/>
    <w:rsid w:val="00184FFD"/>
    <w:rsid w:val="00185449"/>
    <w:rsid w:val="00186314"/>
    <w:rsid w:val="00187B04"/>
    <w:rsid w:val="00190000"/>
    <w:rsid w:val="001929C2"/>
    <w:rsid w:val="00192B8F"/>
    <w:rsid w:val="00193D66"/>
    <w:rsid w:val="00194BB7"/>
    <w:rsid w:val="001A1DE7"/>
    <w:rsid w:val="001A3BB0"/>
    <w:rsid w:val="001A4947"/>
    <w:rsid w:val="001A64C0"/>
    <w:rsid w:val="001A685F"/>
    <w:rsid w:val="001A7EB6"/>
    <w:rsid w:val="001A7FE4"/>
    <w:rsid w:val="001B0278"/>
    <w:rsid w:val="001B28C8"/>
    <w:rsid w:val="001B4654"/>
    <w:rsid w:val="001C017B"/>
    <w:rsid w:val="001C239E"/>
    <w:rsid w:val="001C2D7E"/>
    <w:rsid w:val="001C564D"/>
    <w:rsid w:val="001C5DDE"/>
    <w:rsid w:val="001D0387"/>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6EB"/>
    <w:rsid w:val="001E5F94"/>
    <w:rsid w:val="001E744F"/>
    <w:rsid w:val="001F065A"/>
    <w:rsid w:val="001F172D"/>
    <w:rsid w:val="001F1FE7"/>
    <w:rsid w:val="001F25DD"/>
    <w:rsid w:val="001F3552"/>
    <w:rsid w:val="001F473D"/>
    <w:rsid w:val="001F4BFD"/>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3C82"/>
    <w:rsid w:val="00214588"/>
    <w:rsid w:val="00216124"/>
    <w:rsid w:val="002168FE"/>
    <w:rsid w:val="00217048"/>
    <w:rsid w:val="002178C5"/>
    <w:rsid w:val="00220757"/>
    <w:rsid w:val="002228F9"/>
    <w:rsid w:val="00222993"/>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5088"/>
    <w:rsid w:val="00253242"/>
    <w:rsid w:val="002547BF"/>
    <w:rsid w:val="002548CA"/>
    <w:rsid w:val="0025531B"/>
    <w:rsid w:val="002560F9"/>
    <w:rsid w:val="00257517"/>
    <w:rsid w:val="00257FA9"/>
    <w:rsid w:val="0026126F"/>
    <w:rsid w:val="0026180C"/>
    <w:rsid w:val="00261CD0"/>
    <w:rsid w:val="00261F30"/>
    <w:rsid w:val="002637FB"/>
    <w:rsid w:val="00263CB5"/>
    <w:rsid w:val="0026571F"/>
    <w:rsid w:val="00265F8C"/>
    <w:rsid w:val="0027137F"/>
    <w:rsid w:val="002723D2"/>
    <w:rsid w:val="002732E5"/>
    <w:rsid w:val="002745D9"/>
    <w:rsid w:val="00274823"/>
    <w:rsid w:val="0027577D"/>
    <w:rsid w:val="00275F43"/>
    <w:rsid w:val="002770E7"/>
    <w:rsid w:val="002810E3"/>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547B"/>
    <w:rsid w:val="002A588E"/>
    <w:rsid w:val="002A7980"/>
    <w:rsid w:val="002B0A7C"/>
    <w:rsid w:val="002B14F3"/>
    <w:rsid w:val="002B480A"/>
    <w:rsid w:val="002B67A2"/>
    <w:rsid w:val="002B6854"/>
    <w:rsid w:val="002C1817"/>
    <w:rsid w:val="002C1DAB"/>
    <w:rsid w:val="002C2F8D"/>
    <w:rsid w:val="002C4FCF"/>
    <w:rsid w:val="002C527C"/>
    <w:rsid w:val="002C65D9"/>
    <w:rsid w:val="002D0253"/>
    <w:rsid w:val="002D03CD"/>
    <w:rsid w:val="002D2477"/>
    <w:rsid w:val="002D2AAB"/>
    <w:rsid w:val="002D691F"/>
    <w:rsid w:val="002D6A50"/>
    <w:rsid w:val="002D6D1C"/>
    <w:rsid w:val="002E0808"/>
    <w:rsid w:val="002E1D21"/>
    <w:rsid w:val="002E3B36"/>
    <w:rsid w:val="002E49D8"/>
    <w:rsid w:val="002E59BF"/>
    <w:rsid w:val="002E63F6"/>
    <w:rsid w:val="002E69A1"/>
    <w:rsid w:val="002F1C5E"/>
    <w:rsid w:val="002F1D63"/>
    <w:rsid w:val="002F340E"/>
    <w:rsid w:val="002F4392"/>
    <w:rsid w:val="002F4641"/>
    <w:rsid w:val="002F4B22"/>
    <w:rsid w:val="00300C2C"/>
    <w:rsid w:val="0030182A"/>
    <w:rsid w:val="00302176"/>
    <w:rsid w:val="00302AF8"/>
    <w:rsid w:val="00304F96"/>
    <w:rsid w:val="00306131"/>
    <w:rsid w:val="003110D6"/>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357"/>
    <w:rsid w:val="0033695C"/>
    <w:rsid w:val="00341B2F"/>
    <w:rsid w:val="00342915"/>
    <w:rsid w:val="00344B04"/>
    <w:rsid w:val="00345847"/>
    <w:rsid w:val="00347576"/>
    <w:rsid w:val="00347772"/>
    <w:rsid w:val="00347A51"/>
    <w:rsid w:val="00347B19"/>
    <w:rsid w:val="00352D7B"/>
    <w:rsid w:val="003531FA"/>
    <w:rsid w:val="0035416F"/>
    <w:rsid w:val="003549FE"/>
    <w:rsid w:val="00355AAC"/>
    <w:rsid w:val="00355D7D"/>
    <w:rsid w:val="00362780"/>
    <w:rsid w:val="003647CA"/>
    <w:rsid w:val="00370514"/>
    <w:rsid w:val="0037056A"/>
    <w:rsid w:val="003726DF"/>
    <w:rsid w:val="0037345A"/>
    <w:rsid w:val="00373FFA"/>
    <w:rsid w:val="0037455F"/>
    <w:rsid w:val="00374D9E"/>
    <w:rsid w:val="00376C31"/>
    <w:rsid w:val="00380EB7"/>
    <w:rsid w:val="003810F5"/>
    <w:rsid w:val="00381C39"/>
    <w:rsid w:val="00381CF6"/>
    <w:rsid w:val="00382030"/>
    <w:rsid w:val="0038326A"/>
    <w:rsid w:val="0038367F"/>
    <w:rsid w:val="00383FFE"/>
    <w:rsid w:val="00387B81"/>
    <w:rsid w:val="00391016"/>
    <w:rsid w:val="00393529"/>
    <w:rsid w:val="00393B6A"/>
    <w:rsid w:val="00394109"/>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7E5"/>
    <w:rsid w:val="003E32F4"/>
    <w:rsid w:val="003E49F8"/>
    <w:rsid w:val="003E5109"/>
    <w:rsid w:val="003E60EE"/>
    <w:rsid w:val="003E6B48"/>
    <w:rsid w:val="003E748F"/>
    <w:rsid w:val="003F3F47"/>
    <w:rsid w:val="003F6E0C"/>
    <w:rsid w:val="004003A8"/>
    <w:rsid w:val="0040240E"/>
    <w:rsid w:val="00402756"/>
    <w:rsid w:val="00405B3A"/>
    <w:rsid w:val="004074DC"/>
    <w:rsid w:val="004111CC"/>
    <w:rsid w:val="00411A97"/>
    <w:rsid w:val="004122A3"/>
    <w:rsid w:val="00416E8B"/>
    <w:rsid w:val="00420273"/>
    <w:rsid w:val="00420AA0"/>
    <w:rsid w:val="0042116C"/>
    <w:rsid w:val="00422D19"/>
    <w:rsid w:val="00422DFE"/>
    <w:rsid w:val="0042303D"/>
    <w:rsid w:val="00424D83"/>
    <w:rsid w:val="00424E29"/>
    <w:rsid w:val="00426910"/>
    <w:rsid w:val="00427D22"/>
    <w:rsid w:val="00427E2D"/>
    <w:rsid w:val="00430381"/>
    <w:rsid w:val="00431B00"/>
    <w:rsid w:val="00432568"/>
    <w:rsid w:val="00436C7C"/>
    <w:rsid w:val="00437440"/>
    <w:rsid w:val="004377F6"/>
    <w:rsid w:val="00440378"/>
    <w:rsid w:val="00442B53"/>
    <w:rsid w:val="00443256"/>
    <w:rsid w:val="00444D2D"/>
    <w:rsid w:val="004510B1"/>
    <w:rsid w:val="00451C5D"/>
    <w:rsid w:val="00451D74"/>
    <w:rsid w:val="00452E73"/>
    <w:rsid w:val="004565EF"/>
    <w:rsid w:val="00457FF9"/>
    <w:rsid w:val="004601ED"/>
    <w:rsid w:val="00460711"/>
    <w:rsid w:val="004608EE"/>
    <w:rsid w:val="0046108B"/>
    <w:rsid w:val="00467AE6"/>
    <w:rsid w:val="00467EC9"/>
    <w:rsid w:val="00476B0C"/>
    <w:rsid w:val="00477791"/>
    <w:rsid w:val="00480286"/>
    <w:rsid w:val="00480C3B"/>
    <w:rsid w:val="00480FE3"/>
    <w:rsid w:val="00481C94"/>
    <w:rsid w:val="00482170"/>
    <w:rsid w:val="0048418D"/>
    <w:rsid w:val="00484A8D"/>
    <w:rsid w:val="00486A4E"/>
    <w:rsid w:val="00486B09"/>
    <w:rsid w:val="004903EB"/>
    <w:rsid w:val="00490415"/>
    <w:rsid w:val="0049139F"/>
    <w:rsid w:val="0049224E"/>
    <w:rsid w:val="00494F07"/>
    <w:rsid w:val="00495D99"/>
    <w:rsid w:val="00496116"/>
    <w:rsid w:val="004965A0"/>
    <w:rsid w:val="00497335"/>
    <w:rsid w:val="004A05A7"/>
    <w:rsid w:val="004A2600"/>
    <w:rsid w:val="004A3F98"/>
    <w:rsid w:val="004A5532"/>
    <w:rsid w:val="004A5958"/>
    <w:rsid w:val="004A76DF"/>
    <w:rsid w:val="004B0A75"/>
    <w:rsid w:val="004B2190"/>
    <w:rsid w:val="004B69B2"/>
    <w:rsid w:val="004B7507"/>
    <w:rsid w:val="004B7DC4"/>
    <w:rsid w:val="004B7F85"/>
    <w:rsid w:val="004C0831"/>
    <w:rsid w:val="004C099B"/>
    <w:rsid w:val="004C0A2E"/>
    <w:rsid w:val="004C42AE"/>
    <w:rsid w:val="004C49B0"/>
    <w:rsid w:val="004C4F53"/>
    <w:rsid w:val="004C4F7F"/>
    <w:rsid w:val="004C592E"/>
    <w:rsid w:val="004D050F"/>
    <w:rsid w:val="004D0E3A"/>
    <w:rsid w:val="004D1A73"/>
    <w:rsid w:val="004D48C2"/>
    <w:rsid w:val="004D67B1"/>
    <w:rsid w:val="004D7128"/>
    <w:rsid w:val="004D751D"/>
    <w:rsid w:val="004D7894"/>
    <w:rsid w:val="004E05C2"/>
    <w:rsid w:val="004E0B02"/>
    <w:rsid w:val="004E0C0D"/>
    <w:rsid w:val="004E255F"/>
    <w:rsid w:val="004E4C2D"/>
    <w:rsid w:val="004F0539"/>
    <w:rsid w:val="004F10A4"/>
    <w:rsid w:val="004F342E"/>
    <w:rsid w:val="004F4C63"/>
    <w:rsid w:val="004F5AE6"/>
    <w:rsid w:val="004F5C19"/>
    <w:rsid w:val="004F66CB"/>
    <w:rsid w:val="004F69D8"/>
    <w:rsid w:val="004F7B6A"/>
    <w:rsid w:val="0050090F"/>
    <w:rsid w:val="0050208D"/>
    <w:rsid w:val="0050284B"/>
    <w:rsid w:val="00502F99"/>
    <w:rsid w:val="00504B71"/>
    <w:rsid w:val="00507991"/>
    <w:rsid w:val="00507C94"/>
    <w:rsid w:val="00507EB2"/>
    <w:rsid w:val="00510111"/>
    <w:rsid w:val="00511AB4"/>
    <w:rsid w:val="00512690"/>
    <w:rsid w:val="00512A4E"/>
    <w:rsid w:val="00513317"/>
    <w:rsid w:val="00513E8A"/>
    <w:rsid w:val="00514EA4"/>
    <w:rsid w:val="005164BE"/>
    <w:rsid w:val="00516BB4"/>
    <w:rsid w:val="00517007"/>
    <w:rsid w:val="00517A5D"/>
    <w:rsid w:val="00517E1E"/>
    <w:rsid w:val="005210F4"/>
    <w:rsid w:val="005217E8"/>
    <w:rsid w:val="005220FE"/>
    <w:rsid w:val="005247DE"/>
    <w:rsid w:val="00530B8F"/>
    <w:rsid w:val="00531434"/>
    <w:rsid w:val="00531754"/>
    <w:rsid w:val="00534840"/>
    <w:rsid w:val="00534D08"/>
    <w:rsid w:val="00536973"/>
    <w:rsid w:val="00536C6B"/>
    <w:rsid w:val="00542709"/>
    <w:rsid w:val="00544652"/>
    <w:rsid w:val="0054625B"/>
    <w:rsid w:val="00551539"/>
    <w:rsid w:val="0055211B"/>
    <w:rsid w:val="00552EFE"/>
    <w:rsid w:val="00553DFF"/>
    <w:rsid w:val="00554ABB"/>
    <w:rsid w:val="0055552D"/>
    <w:rsid w:val="00555668"/>
    <w:rsid w:val="0055679E"/>
    <w:rsid w:val="0056090D"/>
    <w:rsid w:val="00561E9C"/>
    <w:rsid w:val="00565C7A"/>
    <w:rsid w:val="00567E14"/>
    <w:rsid w:val="005705A7"/>
    <w:rsid w:val="0057277E"/>
    <w:rsid w:val="00572F0E"/>
    <w:rsid w:val="00573E52"/>
    <w:rsid w:val="00574D60"/>
    <w:rsid w:val="00575318"/>
    <w:rsid w:val="00577142"/>
    <w:rsid w:val="005773E5"/>
    <w:rsid w:val="00581AD5"/>
    <w:rsid w:val="00581C4E"/>
    <w:rsid w:val="00582DB0"/>
    <w:rsid w:val="00584B8E"/>
    <w:rsid w:val="00586EFD"/>
    <w:rsid w:val="00587AC1"/>
    <w:rsid w:val="00587DE8"/>
    <w:rsid w:val="005903B0"/>
    <w:rsid w:val="00590694"/>
    <w:rsid w:val="00590AA6"/>
    <w:rsid w:val="00591A29"/>
    <w:rsid w:val="00591A70"/>
    <w:rsid w:val="00592624"/>
    <w:rsid w:val="00593AF8"/>
    <w:rsid w:val="00593EC9"/>
    <w:rsid w:val="005964B1"/>
    <w:rsid w:val="005965FD"/>
    <w:rsid w:val="00597FCC"/>
    <w:rsid w:val="005A132A"/>
    <w:rsid w:val="005A337C"/>
    <w:rsid w:val="005A34B0"/>
    <w:rsid w:val="005A3ECF"/>
    <w:rsid w:val="005A6821"/>
    <w:rsid w:val="005B2393"/>
    <w:rsid w:val="005B750A"/>
    <w:rsid w:val="005C2B89"/>
    <w:rsid w:val="005C2FA7"/>
    <w:rsid w:val="005C386F"/>
    <w:rsid w:val="005C42AC"/>
    <w:rsid w:val="005C4D05"/>
    <w:rsid w:val="005C506B"/>
    <w:rsid w:val="005C71BF"/>
    <w:rsid w:val="005C723D"/>
    <w:rsid w:val="005C7601"/>
    <w:rsid w:val="005D1094"/>
    <w:rsid w:val="005D3394"/>
    <w:rsid w:val="005D3989"/>
    <w:rsid w:val="005D42FF"/>
    <w:rsid w:val="005D5678"/>
    <w:rsid w:val="005E2725"/>
    <w:rsid w:val="005E65FA"/>
    <w:rsid w:val="005F19CE"/>
    <w:rsid w:val="005F28F4"/>
    <w:rsid w:val="005F43BB"/>
    <w:rsid w:val="005F503E"/>
    <w:rsid w:val="005F6503"/>
    <w:rsid w:val="005F6CB3"/>
    <w:rsid w:val="005F7612"/>
    <w:rsid w:val="005F7663"/>
    <w:rsid w:val="005F7D63"/>
    <w:rsid w:val="00607170"/>
    <w:rsid w:val="006071C6"/>
    <w:rsid w:val="00607408"/>
    <w:rsid w:val="00610AEE"/>
    <w:rsid w:val="00614388"/>
    <w:rsid w:val="00616BAC"/>
    <w:rsid w:val="00620598"/>
    <w:rsid w:val="00620FEC"/>
    <w:rsid w:val="006214DC"/>
    <w:rsid w:val="006215E2"/>
    <w:rsid w:val="0062168F"/>
    <w:rsid w:val="006221A2"/>
    <w:rsid w:val="00622F4D"/>
    <w:rsid w:val="00623881"/>
    <w:rsid w:val="00627113"/>
    <w:rsid w:val="0062715F"/>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6797"/>
    <w:rsid w:val="006571EC"/>
    <w:rsid w:val="0066086B"/>
    <w:rsid w:val="00660A8C"/>
    <w:rsid w:val="006632B2"/>
    <w:rsid w:val="00664084"/>
    <w:rsid w:val="0066445E"/>
    <w:rsid w:val="00665035"/>
    <w:rsid w:val="00667045"/>
    <w:rsid w:val="00670A00"/>
    <w:rsid w:val="00670C23"/>
    <w:rsid w:val="00672B86"/>
    <w:rsid w:val="00673031"/>
    <w:rsid w:val="00673EB3"/>
    <w:rsid w:val="00680BE8"/>
    <w:rsid w:val="00683B45"/>
    <w:rsid w:val="00686409"/>
    <w:rsid w:val="00686D19"/>
    <w:rsid w:val="0068777F"/>
    <w:rsid w:val="00693018"/>
    <w:rsid w:val="006A0059"/>
    <w:rsid w:val="006A24BE"/>
    <w:rsid w:val="006A6EAC"/>
    <w:rsid w:val="006A7425"/>
    <w:rsid w:val="006B058A"/>
    <w:rsid w:val="006B1299"/>
    <w:rsid w:val="006B26D9"/>
    <w:rsid w:val="006B310C"/>
    <w:rsid w:val="006B664C"/>
    <w:rsid w:val="006C1125"/>
    <w:rsid w:val="006C1C83"/>
    <w:rsid w:val="006C2DF3"/>
    <w:rsid w:val="006C318E"/>
    <w:rsid w:val="006C3E78"/>
    <w:rsid w:val="006C54E6"/>
    <w:rsid w:val="006C5762"/>
    <w:rsid w:val="006C690D"/>
    <w:rsid w:val="006D149F"/>
    <w:rsid w:val="006D3396"/>
    <w:rsid w:val="006D5812"/>
    <w:rsid w:val="006D5AFF"/>
    <w:rsid w:val="006D6329"/>
    <w:rsid w:val="006E050C"/>
    <w:rsid w:val="006E13D5"/>
    <w:rsid w:val="006E152B"/>
    <w:rsid w:val="006E36D1"/>
    <w:rsid w:val="006E4002"/>
    <w:rsid w:val="006E4DB6"/>
    <w:rsid w:val="006E622E"/>
    <w:rsid w:val="006E759C"/>
    <w:rsid w:val="006E7938"/>
    <w:rsid w:val="006E79FB"/>
    <w:rsid w:val="006F229A"/>
    <w:rsid w:val="006F3BB9"/>
    <w:rsid w:val="006F4AA6"/>
    <w:rsid w:val="007007FA"/>
    <w:rsid w:val="0070223D"/>
    <w:rsid w:val="007036CA"/>
    <w:rsid w:val="00704118"/>
    <w:rsid w:val="007041CB"/>
    <w:rsid w:val="00705090"/>
    <w:rsid w:val="00705102"/>
    <w:rsid w:val="00705DDB"/>
    <w:rsid w:val="0070675E"/>
    <w:rsid w:val="00706A0E"/>
    <w:rsid w:val="00710573"/>
    <w:rsid w:val="00710808"/>
    <w:rsid w:val="007116CB"/>
    <w:rsid w:val="0071211E"/>
    <w:rsid w:val="00712B1B"/>
    <w:rsid w:val="00715C73"/>
    <w:rsid w:val="0071622D"/>
    <w:rsid w:val="007168CC"/>
    <w:rsid w:val="007176BB"/>
    <w:rsid w:val="00717811"/>
    <w:rsid w:val="00720A17"/>
    <w:rsid w:val="00720D4B"/>
    <w:rsid w:val="00721730"/>
    <w:rsid w:val="00723A0F"/>
    <w:rsid w:val="00726CB6"/>
    <w:rsid w:val="00727255"/>
    <w:rsid w:val="0072779B"/>
    <w:rsid w:val="00727CCF"/>
    <w:rsid w:val="007308DC"/>
    <w:rsid w:val="00732411"/>
    <w:rsid w:val="0073446D"/>
    <w:rsid w:val="007349FF"/>
    <w:rsid w:val="00734B45"/>
    <w:rsid w:val="00736FFB"/>
    <w:rsid w:val="00740080"/>
    <w:rsid w:val="00741A30"/>
    <w:rsid w:val="00745286"/>
    <w:rsid w:val="007504DC"/>
    <w:rsid w:val="0075142F"/>
    <w:rsid w:val="00751965"/>
    <w:rsid w:val="007524EF"/>
    <w:rsid w:val="00752689"/>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6ACA"/>
    <w:rsid w:val="0077746F"/>
    <w:rsid w:val="007775FE"/>
    <w:rsid w:val="00780A5F"/>
    <w:rsid w:val="0078292D"/>
    <w:rsid w:val="00783EBF"/>
    <w:rsid w:val="00784913"/>
    <w:rsid w:val="00785B90"/>
    <w:rsid w:val="0078639C"/>
    <w:rsid w:val="007913D3"/>
    <w:rsid w:val="00792ADC"/>
    <w:rsid w:val="00792BC3"/>
    <w:rsid w:val="0079790C"/>
    <w:rsid w:val="007A102A"/>
    <w:rsid w:val="007A15E6"/>
    <w:rsid w:val="007A194B"/>
    <w:rsid w:val="007A4BCD"/>
    <w:rsid w:val="007A5714"/>
    <w:rsid w:val="007A5EFA"/>
    <w:rsid w:val="007A6609"/>
    <w:rsid w:val="007A6821"/>
    <w:rsid w:val="007A6933"/>
    <w:rsid w:val="007A75EF"/>
    <w:rsid w:val="007B03B6"/>
    <w:rsid w:val="007B1257"/>
    <w:rsid w:val="007B139F"/>
    <w:rsid w:val="007B33CC"/>
    <w:rsid w:val="007B4133"/>
    <w:rsid w:val="007B49F4"/>
    <w:rsid w:val="007B7011"/>
    <w:rsid w:val="007B75C6"/>
    <w:rsid w:val="007B7AB4"/>
    <w:rsid w:val="007C2405"/>
    <w:rsid w:val="007C2810"/>
    <w:rsid w:val="007C2A54"/>
    <w:rsid w:val="007C2B69"/>
    <w:rsid w:val="007C2DC1"/>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0328"/>
    <w:rsid w:val="007E0358"/>
    <w:rsid w:val="007E3532"/>
    <w:rsid w:val="007E5FE3"/>
    <w:rsid w:val="007E64DF"/>
    <w:rsid w:val="007E657D"/>
    <w:rsid w:val="007E7119"/>
    <w:rsid w:val="007E71BB"/>
    <w:rsid w:val="007E7803"/>
    <w:rsid w:val="007E7B90"/>
    <w:rsid w:val="007E7C13"/>
    <w:rsid w:val="007F2464"/>
    <w:rsid w:val="007F3132"/>
    <w:rsid w:val="007F4A64"/>
    <w:rsid w:val="007F4ADE"/>
    <w:rsid w:val="007F5A5A"/>
    <w:rsid w:val="007F5EDC"/>
    <w:rsid w:val="00800AFD"/>
    <w:rsid w:val="00800C1B"/>
    <w:rsid w:val="0080239D"/>
    <w:rsid w:val="00803CF3"/>
    <w:rsid w:val="00804571"/>
    <w:rsid w:val="00806EAB"/>
    <w:rsid w:val="00810E52"/>
    <w:rsid w:val="00811CA7"/>
    <w:rsid w:val="008130C9"/>
    <w:rsid w:val="0081636E"/>
    <w:rsid w:val="00820140"/>
    <w:rsid w:val="0082112E"/>
    <w:rsid w:val="00822F2B"/>
    <w:rsid w:val="00823D9A"/>
    <w:rsid w:val="00827EA4"/>
    <w:rsid w:val="008301D6"/>
    <w:rsid w:val="008305B7"/>
    <w:rsid w:val="00830C78"/>
    <w:rsid w:val="00830FB9"/>
    <w:rsid w:val="0083118B"/>
    <w:rsid w:val="00834968"/>
    <w:rsid w:val="00834B53"/>
    <w:rsid w:val="0083508B"/>
    <w:rsid w:val="0083758D"/>
    <w:rsid w:val="00840298"/>
    <w:rsid w:val="00841BE4"/>
    <w:rsid w:val="00845A53"/>
    <w:rsid w:val="00847891"/>
    <w:rsid w:val="00847E8C"/>
    <w:rsid w:val="008505E1"/>
    <w:rsid w:val="00850B19"/>
    <w:rsid w:val="00852488"/>
    <w:rsid w:val="0085405E"/>
    <w:rsid w:val="008571DD"/>
    <w:rsid w:val="0085772E"/>
    <w:rsid w:val="00860344"/>
    <w:rsid w:val="00860679"/>
    <w:rsid w:val="00860E2C"/>
    <w:rsid w:val="0086131E"/>
    <w:rsid w:val="00864BC6"/>
    <w:rsid w:val="00865EE6"/>
    <w:rsid w:val="00870D23"/>
    <w:rsid w:val="0087181F"/>
    <w:rsid w:val="00872B72"/>
    <w:rsid w:val="00873022"/>
    <w:rsid w:val="00876468"/>
    <w:rsid w:val="008767E1"/>
    <w:rsid w:val="00876CC7"/>
    <w:rsid w:val="008823E4"/>
    <w:rsid w:val="008837C4"/>
    <w:rsid w:val="008849F3"/>
    <w:rsid w:val="00884E78"/>
    <w:rsid w:val="0088673B"/>
    <w:rsid w:val="008871B9"/>
    <w:rsid w:val="00887265"/>
    <w:rsid w:val="00887500"/>
    <w:rsid w:val="008905AD"/>
    <w:rsid w:val="008920F2"/>
    <w:rsid w:val="0089348A"/>
    <w:rsid w:val="00894E9F"/>
    <w:rsid w:val="00895424"/>
    <w:rsid w:val="00896CEC"/>
    <w:rsid w:val="0089715E"/>
    <w:rsid w:val="008A06BC"/>
    <w:rsid w:val="008A0AA3"/>
    <w:rsid w:val="008A0EAA"/>
    <w:rsid w:val="008A149F"/>
    <w:rsid w:val="008A19FD"/>
    <w:rsid w:val="008A1A25"/>
    <w:rsid w:val="008A4E05"/>
    <w:rsid w:val="008A56DB"/>
    <w:rsid w:val="008A6CFC"/>
    <w:rsid w:val="008B2125"/>
    <w:rsid w:val="008B25D4"/>
    <w:rsid w:val="008B38E5"/>
    <w:rsid w:val="008B58C4"/>
    <w:rsid w:val="008B6CD2"/>
    <w:rsid w:val="008B72DD"/>
    <w:rsid w:val="008B76D3"/>
    <w:rsid w:val="008C050B"/>
    <w:rsid w:val="008C1132"/>
    <w:rsid w:val="008C302A"/>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2D65"/>
    <w:rsid w:val="008E41D3"/>
    <w:rsid w:val="008E43F1"/>
    <w:rsid w:val="008E594F"/>
    <w:rsid w:val="008E7312"/>
    <w:rsid w:val="008F297F"/>
    <w:rsid w:val="008F3D87"/>
    <w:rsid w:val="008F447E"/>
    <w:rsid w:val="00901B50"/>
    <w:rsid w:val="00901C26"/>
    <w:rsid w:val="00904BA9"/>
    <w:rsid w:val="00904E7E"/>
    <w:rsid w:val="00906ED1"/>
    <w:rsid w:val="0091086B"/>
    <w:rsid w:val="00911129"/>
    <w:rsid w:val="00912C4F"/>
    <w:rsid w:val="00912EA3"/>
    <w:rsid w:val="00914B6E"/>
    <w:rsid w:val="009156A2"/>
    <w:rsid w:val="0091579A"/>
    <w:rsid w:val="0091615D"/>
    <w:rsid w:val="00923F7E"/>
    <w:rsid w:val="00924C96"/>
    <w:rsid w:val="00925030"/>
    <w:rsid w:val="00925B32"/>
    <w:rsid w:val="00927CC4"/>
    <w:rsid w:val="00930A64"/>
    <w:rsid w:val="00930BE5"/>
    <w:rsid w:val="00931403"/>
    <w:rsid w:val="00934991"/>
    <w:rsid w:val="00934ABF"/>
    <w:rsid w:val="009351A7"/>
    <w:rsid w:val="009426B9"/>
    <w:rsid w:val="00944E85"/>
    <w:rsid w:val="0094634C"/>
    <w:rsid w:val="009463AB"/>
    <w:rsid w:val="00950239"/>
    <w:rsid w:val="00950332"/>
    <w:rsid w:val="00951B93"/>
    <w:rsid w:val="00954BF4"/>
    <w:rsid w:val="00955899"/>
    <w:rsid w:val="00955A03"/>
    <w:rsid w:val="0096203D"/>
    <w:rsid w:val="0096224A"/>
    <w:rsid w:val="00963289"/>
    <w:rsid w:val="00964A78"/>
    <w:rsid w:val="009656B4"/>
    <w:rsid w:val="00966250"/>
    <w:rsid w:val="00966CA0"/>
    <w:rsid w:val="00966D74"/>
    <w:rsid w:val="00967F9D"/>
    <w:rsid w:val="00970275"/>
    <w:rsid w:val="00970ABF"/>
    <w:rsid w:val="009710E2"/>
    <w:rsid w:val="00972E9C"/>
    <w:rsid w:val="0097391E"/>
    <w:rsid w:val="00973DF3"/>
    <w:rsid w:val="009742DA"/>
    <w:rsid w:val="009743BE"/>
    <w:rsid w:val="009753A0"/>
    <w:rsid w:val="00976AE7"/>
    <w:rsid w:val="00977437"/>
    <w:rsid w:val="00977C89"/>
    <w:rsid w:val="00980AB3"/>
    <w:rsid w:val="009848CB"/>
    <w:rsid w:val="00984D10"/>
    <w:rsid w:val="0098600B"/>
    <w:rsid w:val="009861C1"/>
    <w:rsid w:val="00987177"/>
    <w:rsid w:val="00987F11"/>
    <w:rsid w:val="0099128D"/>
    <w:rsid w:val="009917F1"/>
    <w:rsid w:val="00991CF0"/>
    <w:rsid w:val="00991E37"/>
    <w:rsid w:val="00991E74"/>
    <w:rsid w:val="009926A6"/>
    <w:rsid w:val="00992B0A"/>
    <w:rsid w:val="00992C3F"/>
    <w:rsid w:val="0099415E"/>
    <w:rsid w:val="009948BF"/>
    <w:rsid w:val="00996996"/>
    <w:rsid w:val="00997844"/>
    <w:rsid w:val="009978C2"/>
    <w:rsid w:val="00997D2C"/>
    <w:rsid w:val="009A345F"/>
    <w:rsid w:val="009A4AE5"/>
    <w:rsid w:val="009A5218"/>
    <w:rsid w:val="009A6806"/>
    <w:rsid w:val="009B1717"/>
    <w:rsid w:val="009B22D2"/>
    <w:rsid w:val="009B2839"/>
    <w:rsid w:val="009B4C17"/>
    <w:rsid w:val="009B5BF6"/>
    <w:rsid w:val="009C1C79"/>
    <w:rsid w:val="009C339C"/>
    <w:rsid w:val="009C33B8"/>
    <w:rsid w:val="009C4CE8"/>
    <w:rsid w:val="009C7191"/>
    <w:rsid w:val="009D07A0"/>
    <w:rsid w:val="009D107D"/>
    <w:rsid w:val="009D1871"/>
    <w:rsid w:val="009D2985"/>
    <w:rsid w:val="009D3033"/>
    <w:rsid w:val="009D549C"/>
    <w:rsid w:val="009D5770"/>
    <w:rsid w:val="009D6AF5"/>
    <w:rsid w:val="009D6CF1"/>
    <w:rsid w:val="009D74BA"/>
    <w:rsid w:val="009E0874"/>
    <w:rsid w:val="009E1A16"/>
    <w:rsid w:val="009E2045"/>
    <w:rsid w:val="009E366C"/>
    <w:rsid w:val="009E4A84"/>
    <w:rsid w:val="009E6973"/>
    <w:rsid w:val="009F0466"/>
    <w:rsid w:val="009F389A"/>
    <w:rsid w:val="009F4200"/>
    <w:rsid w:val="009F4933"/>
    <w:rsid w:val="009F5FD0"/>
    <w:rsid w:val="009F608F"/>
    <w:rsid w:val="009F6DD5"/>
    <w:rsid w:val="009F7B12"/>
    <w:rsid w:val="00A020A2"/>
    <w:rsid w:val="00A0297B"/>
    <w:rsid w:val="00A0358E"/>
    <w:rsid w:val="00A049F9"/>
    <w:rsid w:val="00A0529B"/>
    <w:rsid w:val="00A0729D"/>
    <w:rsid w:val="00A0766F"/>
    <w:rsid w:val="00A10713"/>
    <w:rsid w:val="00A1252C"/>
    <w:rsid w:val="00A13B8B"/>
    <w:rsid w:val="00A151B7"/>
    <w:rsid w:val="00A16F47"/>
    <w:rsid w:val="00A21225"/>
    <w:rsid w:val="00A2139C"/>
    <w:rsid w:val="00A218F9"/>
    <w:rsid w:val="00A21E37"/>
    <w:rsid w:val="00A23314"/>
    <w:rsid w:val="00A235BB"/>
    <w:rsid w:val="00A23F10"/>
    <w:rsid w:val="00A23F72"/>
    <w:rsid w:val="00A26AB8"/>
    <w:rsid w:val="00A27725"/>
    <w:rsid w:val="00A27F6D"/>
    <w:rsid w:val="00A322BF"/>
    <w:rsid w:val="00A3373F"/>
    <w:rsid w:val="00A33F51"/>
    <w:rsid w:val="00A3492C"/>
    <w:rsid w:val="00A349DF"/>
    <w:rsid w:val="00A362BA"/>
    <w:rsid w:val="00A40311"/>
    <w:rsid w:val="00A41032"/>
    <w:rsid w:val="00A4106C"/>
    <w:rsid w:val="00A428E7"/>
    <w:rsid w:val="00A43E49"/>
    <w:rsid w:val="00A44018"/>
    <w:rsid w:val="00A44256"/>
    <w:rsid w:val="00A45DE9"/>
    <w:rsid w:val="00A47471"/>
    <w:rsid w:val="00A47E22"/>
    <w:rsid w:val="00A47ED0"/>
    <w:rsid w:val="00A509EA"/>
    <w:rsid w:val="00A51476"/>
    <w:rsid w:val="00A515BC"/>
    <w:rsid w:val="00A51720"/>
    <w:rsid w:val="00A526D2"/>
    <w:rsid w:val="00A526E4"/>
    <w:rsid w:val="00A54412"/>
    <w:rsid w:val="00A5498B"/>
    <w:rsid w:val="00A550C8"/>
    <w:rsid w:val="00A5564C"/>
    <w:rsid w:val="00A559EC"/>
    <w:rsid w:val="00A569F8"/>
    <w:rsid w:val="00A56E60"/>
    <w:rsid w:val="00A571B3"/>
    <w:rsid w:val="00A61166"/>
    <w:rsid w:val="00A626B5"/>
    <w:rsid w:val="00A62DF0"/>
    <w:rsid w:val="00A63620"/>
    <w:rsid w:val="00A63ECE"/>
    <w:rsid w:val="00A66342"/>
    <w:rsid w:val="00A665C8"/>
    <w:rsid w:val="00A6749E"/>
    <w:rsid w:val="00A70D88"/>
    <w:rsid w:val="00A71142"/>
    <w:rsid w:val="00A72895"/>
    <w:rsid w:val="00A72F0A"/>
    <w:rsid w:val="00A74589"/>
    <w:rsid w:val="00A74E1B"/>
    <w:rsid w:val="00A7513A"/>
    <w:rsid w:val="00A75AC9"/>
    <w:rsid w:val="00A75B25"/>
    <w:rsid w:val="00A76AEE"/>
    <w:rsid w:val="00A801B4"/>
    <w:rsid w:val="00A82075"/>
    <w:rsid w:val="00A82192"/>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C73D2"/>
    <w:rsid w:val="00AD3559"/>
    <w:rsid w:val="00AD3B05"/>
    <w:rsid w:val="00AD3C8E"/>
    <w:rsid w:val="00AD470D"/>
    <w:rsid w:val="00AD5193"/>
    <w:rsid w:val="00AD7390"/>
    <w:rsid w:val="00AD7504"/>
    <w:rsid w:val="00AD7E6F"/>
    <w:rsid w:val="00AE1BD8"/>
    <w:rsid w:val="00AE2817"/>
    <w:rsid w:val="00AE304B"/>
    <w:rsid w:val="00AE3D3E"/>
    <w:rsid w:val="00AE49B2"/>
    <w:rsid w:val="00AE6BEB"/>
    <w:rsid w:val="00AE7789"/>
    <w:rsid w:val="00AF32EA"/>
    <w:rsid w:val="00AF3DED"/>
    <w:rsid w:val="00AF48B1"/>
    <w:rsid w:val="00AF4FB8"/>
    <w:rsid w:val="00AF5DCA"/>
    <w:rsid w:val="00AF6713"/>
    <w:rsid w:val="00AF6BD6"/>
    <w:rsid w:val="00AF6E6A"/>
    <w:rsid w:val="00AF753A"/>
    <w:rsid w:val="00B021ED"/>
    <w:rsid w:val="00B0250D"/>
    <w:rsid w:val="00B032B1"/>
    <w:rsid w:val="00B03F46"/>
    <w:rsid w:val="00B059B8"/>
    <w:rsid w:val="00B07418"/>
    <w:rsid w:val="00B1092F"/>
    <w:rsid w:val="00B11547"/>
    <w:rsid w:val="00B11EF0"/>
    <w:rsid w:val="00B1226C"/>
    <w:rsid w:val="00B12311"/>
    <w:rsid w:val="00B14F05"/>
    <w:rsid w:val="00B15D01"/>
    <w:rsid w:val="00B167D8"/>
    <w:rsid w:val="00B20EBF"/>
    <w:rsid w:val="00B24BDB"/>
    <w:rsid w:val="00B24F44"/>
    <w:rsid w:val="00B25428"/>
    <w:rsid w:val="00B255BB"/>
    <w:rsid w:val="00B25E24"/>
    <w:rsid w:val="00B2609A"/>
    <w:rsid w:val="00B27EF5"/>
    <w:rsid w:val="00B301B1"/>
    <w:rsid w:val="00B353E7"/>
    <w:rsid w:val="00B35759"/>
    <w:rsid w:val="00B3619A"/>
    <w:rsid w:val="00B365B7"/>
    <w:rsid w:val="00B40BCA"/>
    <w:rsid w:val="00B4308D"/>
    <w:rsid w:val="00B435E3"/>
    <w:rsid w:val="00B440DA"/>
    <w:rsid w:val="00B4415A"/>
    <w:rsid w:val="00B503CD"/>
    <w:rsid w:val="00B548AB"/>
    <w:rsid w:val="00B54BBE"/>
    <w:rsid w:val="00B553F8"/>
    <w:rsid w:val="00B560B6"/>
    <w:rsid w:val="00B5630E"/>
    <w:rsid w:val="00B62FB6"/>
    <w:rsid w:val="00B635BF"/>
    <w:rsid w:val="00B63B73"/>
    <w:rsid w:val="00B7050A"/>
    <w:rsid w:val="00B70904"/>
    <w:rsid w:val="00B70A42"/>
    <w:rsid w:val="00B72436"/>
    <w:rsid w:val="00B74791"/>
    <w:rsid w:val="00B76AF9"/>
    <w:rsid w:val="00B8115B"/>
    <w:rsid w:val="00B81AE2"/>
    <w:rsid w:val="00B82D30"/>
    <w:rsid w:val="00B83982"/>
    <w:rsid w:val="00B87F62"/>
    <w:rsid w:val="00B90BF4"/>
    <w:rsid w:val="00B914A4"/>
    <w:rsid w:val="00B92497"/>
    <w:rsid w:val="00B92D41"/>
    <w:rsid w:val="00B93679"/>
    <w:rsid w:val="00B9422D"/>
    <w:rsid w:val="00B95A1D"/>
    <w:rsid w:val="00B9634B"/>
    <w:rsid w:val="00BA5072"/>
    <w:rsid w:val="00BA5B65"/>
    <w:rsid w:val="00BA67B5"/>
    <w:rsid w:val="00BA7BFE"/>
    <w:rsid w:val="00BB0ECA"/>
    <w:rsid w:val="00BB246B"/>
    <w:rsid w:val="00BB4F49"/>
    <w:rsid w:val="00BB60F7"/>
    <w:rsid w:val="00BB6B2D"/>
    <w:rsid w:val="00BB6BEA"/>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6F3"/>
    <w:rsid w:val="00BE7ECD"/>
    <w:rsid w:val="00BF1682"/>
    <w:rsid w:val="00BF241A"/>
    <w:rsid w:val="00BF3AFB"/>
    <w:rsid w:val="00BF3DD2"/>
    <w:rsid w:val="00BF4344"/>
    <w:rsid w:val="00BF6970"/>
    <w:rsid w:val="00BF69C6"/>
    <w:rsid w:val="00BF72B7"/>
    <w:rsid w:val="00C005D8"/>
    <w:rsid w:val="00C01221"/>
    <w:rsid w:val="00C02F31"/>
    <w:rsid w:val="00C048F2"/>
    <w:rsid w:val="00C04DA5"/>
    <w:rsid w:val="00C050FC"/>
    <w:rsid w:val="00C05D40"/>
    <w:rsid w:val="00C0732A"/>
    <w:rsid w:val="00C11905"/>
    <w:rsid w:val="00C12D7C"/>
    <w:rsid w:val="00C14462"/>
    <w:rsid w:val="00C16542"/>
    <w:rsid w:val="00C16AFF"/>
    <w:rsid w:val="00C174DE"/>
    <w:rsid w:val="00C22382"/>
    <w:rsid w:val="00C2355B"/>
    <w:rsid w:val="00C24412"/>
    <w:rsid w:val="00C274A6"/>
    <w:rsid w:val="00C30D70"/>
    <w:rsid w:val="00C34201"/>
    <w:rsid w:val="00C35A38"/>
    <w:rsid w:val="00C35EC9"/>
    <w:rsid w:val="00C36807"/>
    <w:rsid w:val="00C37392"/>
    <w:rsid w:val="00C41545"/>
    <w:rsid w:val="00C4209D"/>
    <w:rsid w:val="00C432B3"/>
    <w:rsid w:val="00C471C5"/>
    <w:rsid w:val="00C4771E"/>
    <w:rsid w:val="00C47D15"/>
    <w:rsid w:val="00C50279"/>
    <w:rsid w:val="00C505EC"/>
    <w:rsid w:val="00C50A37"/>
    <w:rsid w:val="00C5165A"/>
    <w:rsid w:val="00C51CB3"/>
    <w:rsid w:val="00C52841"/>
    <w:rsid w:val="00C54FC6"/>
    <w:rsid w:val="00C56F88"/>
    <w:rsid w:val="00C57B7E"/>
    <w:rsid w:val="00C60217"/>
    <w:rsid w:val="00C66D15"/>
    <w:rsid w:val="00C671D0"/>
    <w:rsid w:val="00C70449"/>
    <w:rsid w:val="00C7071B"/>
    <w:rsid w:val="00C7089C"/>
    <w:rsid w:val="00C70A49"/>
    <w:rsid w:val="00C7200B"/>
    <w:rsid w:val="00C73904"/>
    <w:rsid w:val="00C73BAE"/>
    <w:rsid w:val="00C73D8F"/>
    <w:rsid w:val="00C73F7B"/>
    <w:rsid w:val="00C74055"/>
    <w:rsid w:val="00C7421D"/>
    <w:rsid w:val="00C76481"/>
    <w:rsid w:val="00C76812"/>
    <w:rsid w:val="00C77A5A"/>
    <w:rsid w:val="00C80A92"/>
    <w:rsid w:val="00C83D88"/>
    <w:rsid w:val="00C84961"/>
    <w:rsid w:val="00C84B06"/>
    <w:rsid w:val="00C84CAA"/>
    <w:rsid w:val="00C87100"/>
    <w:rsid w:val="00C87492"/>
    <w:rsid w:val="00C87CAC"/>
    <w:rsid w:val="00C9072B"/>
    <w:rsid w:val="00C913A1"/>
    <w:rsid w:val="00C950D6"/>
    <w:rsid w:val="00C963AA"/>
    <w:rsid w:val="00C96DB1"/>
    <w:rsid w:val="00C97646"/>
    <w:rsid w:val="00C97672"/>
    <w:rsid w:val="00CA55BD"/>
    <w:rsid w:val="00CB0837"/>
    <w:rsid w:val="00CB2BFA"/>
    <w:rsid w:val="00CB33A5"/>
    <w:rsid w:val="00CB3888"/>
    <w:rsid w:val="00CB400E"/>
    <w:rsid w:val="00CB48F6"/>
    <w:rsid w:val="00CB5F04"/>
    <w:rsid w:val="00CB67F1"/>
    <w:rsid w:val="00CB7DC8"/>
    <w:rsid w:val="00CC0EC0"/>
    <w:rsid w:val="00CC34DB"/>
    <w:rsid w:val="00CC4112"/>
    <w:rsid w:val="00CC51AC"/>
    <w:rsid w:val="00CC609D"/>
    <w:rsid w:val="00CC6E7E"/>
    <w:rsid w:val="00CC7044"/>
    <w:rsid w:val="00CD11FF"/>
    <w:rsid w:val="00CD15E7"/>
    <w:rsid w:val="00CD6DB1"/>
    <w:rsid w:val="00CE07A9"/>
    <w:rsid w:val="00CE1012"/>
    <w:rsid w:val="00CE32BE"/>
    <w:rsid w:val="00CE419E"/>
    <w:rsid w:val="00CE5011"/>
    <w:rsid w:val="00CE574A"/>
    <w:rsid w:val="00CE5DC5"/>
    <w:rsid w:val="00CE629E"/>
    <w:rsid w:val="00CE66CE"/>
    <w:rsid w:val="00CE77AA"/>
    <w:rsid w:val="00CE7B59"/>
    <w:rsid w:val="00CF352C"/>
    <w:rsid w:val="00CF4570"/>
    <w:rsid w:val="00CF53C0"/>
    <w:rsid w:val="00CF58EE"/>
    <w:rsid w:val="00D00811"/>
    <w:rsid w:val="00D02A43"/>
    <w:rsid w:val="00D04518"/>
    <w:rsid w:val="00D05489"/>
    <w:rsid w:val="00D05CA1"/>
    <w:rsid w:val="00D061CB"/>
    <w:rsid w:val="00D0741C"/>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304DC"/>
    <w:rsid w:val="00D30EEA"/>
    <w:rsid w:val="00D31534"/>
    <w:rsid w:val="00D32C1F"/>
    <w:rsid w:val="00D33FC2"/>
    <w:rsid w:val="00D37394"/>
    <w:rsid w:val="00D46699"/>
    <w:rsid w:val="00D47345"/>
    <w:rsid w:val="00D5073F"/>
    <w:rsid w:val="00D51017"/>
    <w:rsid w:val="00D51573"/>
    <w:rsid w:val="00D5399A"/>
    <w:rsid w:val="00D5444F"/>
    <w:rsid w:val="00D54E0D"/>
    <w:rsid w:val="00D54F7D"/>
    <w:rsid w:val="00D57528"/>
    <w:rsid w:val="00D57C2F"/>
    <w:rsid w:val="00D602CA"/>
    <w:rsid w:val="00D60DD8"/>
    <w:rsid w:val="00D64C6C"/>
    <w:rsid w:val="00D65E77"/>
    <w:rsid w:val="00D66D42"/>
    <w:rsid w:val="00D71734"/>
    <w:rsid w:val="00D7244A"/>
    <w:rsid w:val="00D72BCC"/>
    <w:rsid w:val="00D746C0"/>
    <w:rsid w:val="00D74723"/>
    <w:rsid w:val="00D75D41"/>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963A1"/>
    <w:rsid w:val="00DA070D"/>
    <w:rsid w:val="00DA3B2F"/>
    <w:rsid w:val="00DA4731"/>
    <w:rsid w:val="00DA5040"/>
    <w:rsid w:val="00DA7D5F"/>
    <w:rsid w:val="00DB053E"/>
    <w:rsid w:val="00DB11B2"/>
    <w:rsid w:val="00DB161E"/>
    <w:rsid w:val="00DB31B5"/>
    <w:rsid w:val="00DB5BBA"/>
    <w:rsid w:val="00DB5FF6"/>
    <w:rsid w:val="00DB7894"/>
    <w:rsid w:val="00DC03DB"/>
    <w:rsid w:val="00DC1206"/>
    <w:rsid w:val="00DC2863"/>
    <w:rsid w:val="00DC2BE8"/>
    <w:rsid w:val="00DC2BEC"/>
    <w:rsid w:val="00DC3256"/>
    <w:rsid w:val="00DC35A6"/>
    <w:rsid w:val="00DD090A"/>
    <w:rsid w:val="00DD2421"/>
    <w:rsid w:val="00DD3222"/>
    <w:rsid w:val="00DD3D81"/>
    <w:rsid w:val="00DD571C"/>
    <w:rsid w:val="00DD64E1"/>
    <w:rsid w:val="00DE039A"/>
    <w:rsid w:val="00DE0403"/>
    <w:rsid w:val="00DE4811"/>
    <w:rsid w:val="00DE5458"/>
    <w:rsid w:val="00DE5D8A"/>
    <w:rsid w:val="00DE5EE6"/>
    <w:rsid w:val="00DE77EA"/>
    <w:rsid w:val="00DF0ABA"/>
    <w:rsid w:val="00DF1934"/>
    <w:rsid w:val="00DF1EEE"/>
    <w:rsid w:val="00DF6C58"/>
    <w:rsid w:val="00E001C1"/>
    <w:rsid w:val="00E0156A"/>
    <w:rsid w:val="00E039F3"/>
    <w:rsid w:val="00E03C30"/>
    <w:rsid w:val="00E078BD"/>
    <w:rsid w:val="00E078F8"/>
    <w:rsid w:val="00E1142B"/>
    <w:rsid w:val="00E11F10"/>
    <w:rsid w:val="00E157E4"/>
    <w:rsid w:val="00E15950"/>
    <w:rsid w:val="00E16522"/>
    <w:rsid w:val="00E1750C"/>
    <w:rsid w:val="00E178A6"/>
    <w:rsid w:val="00E20545"/>
    <w:rsid w:val="00E223C6"/>
    <w:rsid w:val="00E2443D"/>
    <w:rsid w:val="00E24789"/>
    <w:rsid w:val="00E25611"/>
    <w:rsid w:val="00E26615"/>
    <w:rsid w:val="00E26F37"/>
    <w:rsid w:val="00E33928"/>
    <w:rsid w:val="00E33C90"/>
    <w:rsid w:val="00E34D15"/>
    <w:rsid w:val="00E35E86"/>
    <w:rsid w:val="00E36B45"/>
    <w:rsid w:val="00E37BF1"/>
    <w:rsid w:val="00E428B3"/>
    <w:rsid w:val="00E44D19"/>
    <w:rsid w:val="00E51372"/>
    <w:rsid w:val="00E51CAF"/>
    <w:rsid w:val="00E51E95"/>
    <w:rsid w:val="00E51F9D"/>
    <w:rsid w:val="00E5202F"/>
    <w:rsid w:val="00E5211A"/>
    <w:rsid w:val="00E52B44"/>
    <w:rsid w:val="00E53A9F"/>
    <w:rsid w:val="00E549AF"/>
    <w:rsid w:val="00E573B2"/>
    <w:rsid w:val="00E60540"/>
    <w:rsid w:val="00E61B03"/>
    <w:rsid w:val="00E61C74"/>
    <w:rsid w:val="00E63D8F"/>
    <w:rsid w:val="00E706B6"/>
    <w:rsid w:val="00E76FF1"/>
    <w:rsid w:val="00E774FE"/>
    <w:rsid w:val="00E809A0"/>
    <w:rsid w:val="00E80AF7"/>
    <w:rsid w:val="00E80C89"/>
    <w:rsid w:val="00E84407"/>
    <w:rsid w:val="00E85E54"/>
    <w:rsid w:val="00E86146"/>
    <w:rsid w:val="00E86A76"/>
    <w:rsid w:val="00E87A90"/>
    <w:rsid w:val="00E904D1"/>
    <w:rsid w:val="00E92425"/>
    <w:rsid w:val="00E92AD3"/>
    <w:rsid w:val="00E94A99"/>
    <w:rsid w:val="00E959EA"/>
    <w:rsid w:val="00E96237"/>
    <w:rsid w:val="00E965D7"/>
    <w:rsid w:val="00E96D30"/>
    <w:rsid w:val="00E96E5D"/>
    <w:rsid w:val="00EA1327"/>
    <w:rsid w:val="00EA623C"/>
    <w:rsid w:val="00EA6395"/>
    <w:rsid w:val="00EB044B"/>
    <w:rsid w:val="00EB067C"/>
    <w:rsid w:val="00EB3C66"/>
    <w:rsid w:val="00EB3D32"/>
    <w:rsid w:val="00EB4B03"/>
    <w:rsid w:val="00EB5277"/>
    <w:rsid w:val="00EB5DEE"/>
    <w:rsid w:val="00EB64CB"/>
    <w:rsid w:val="00EB6D46"/>
    <w:rsid w:val="00EC07F3"/>
    <w:rsid w:val="00EC3194"/>
    <w:rsid w:val="00EC518D"/>
    <w:rsid w:val="00EC71D3"/>
    <w:rsid w:val="00ED02FE"/>
    <w:rsid w:val="00ED1EC9"/>
    <w:rsid w:val="00ED3737"/>
    <w:rsid w:val="00ED3856"/>
    <w:rsid w:val="00ED3E2E"/>
    <w:rsid w:val="00ED4CC8"/>
    <w:rsid w:val="00ED6A08"/>
    <w:rsid w:val="00EE05EE"/>
    <w:rsid w:val="00EE0AE2"/>
    <w:rsid w:val="00EE30F9"/>
    <w:rsid w:val="00EE35B4"/>
    <w:rsid w:val="00EE5643"/>
    <w:rsid w:val="00EE7CEC"/>
    <w:rsid w:val="00EF056E"/>
    <w:rsid w:val="00EF09B3"/>
    <w:rsid w:val="00EF0A3E"/>
    <w:rsid w:val="00EF1F28"/>
    <w:rsid w:val="00EF5EC6"/>
    <w:rsid w:val="00EF646F"/>
    <w:rsid w:val="00EF791E"/>
    <w:rsid w:val="00EF7A63"/>
    <w:rsid w:val="00F00D58"/>
    <w:rsid w:val="00F0226C"/>
    <w:rsid w:val="00F02522"/>
    <w:rsid w:val="00F02AE0"/>
    <w:rsid w:val="00F02BFF"/>
    <w:rsid w:val="00F034DC"/>
    <w:rsid w:val="00F03953"/>
    <w:rsid w:val="00F04841"/>
    <w:rsid w:val="00F0579A"/>
    <w:rsid w:val="00F05999"/>
    <w:rsid w:val="00F0674D"/>
    <w:rsid w:val="00F10287"/>
    <w:rsid w:val="00F1070C"/>
    <w:rsid w:val="00F10C82"/>
    <w:rsid w:val="00F11EA5"/>
    <w:rsid w:val="00F127B4"/>
    <w:rsid w:val="00F13B2E"/>
    <w:rsid w:val="00F176A0"/>
    <w:rsid w:val="00F20174"/>
    <w:rsid w:val="00F22098"/>
    <w:rsid w:val="00F223BC"/>
    <w:rsid w:val="00F23780"/>
    <w:rsid w:val="00F26185"/>
    <w:rsid w:val="00F3178C"/>
    <w:rsid w:val="00F33DE5"/>
    <w:rsid w:val="00F34B8F"/>
    <w:rsid w:val="00F36D7F"/>
    <w:rsid w:val="00F37186"/>
    <w:rsid w:val="00F42FCF"/>
    <w:rsid w:val="00F44A83"/>
    <w:rsid w:val="00F478FC"/>
    <w:rsid w:val="00F51743"/>
    <w:rsid w:val="00F529D4"/>
    <w:rsid w:val="00F54F27"/>
    <w:rsid w:val="00F55FC8"/>
    <w:rsid w:val="00F604E3"/>
    <w:rsid w:val="00F610E6"/>
    <w:rsid w:val="00F61FCC"/>
    <w:rsid w:val="00F625B0"/>
    <w:rsid w:val="00F634C2"/>
    <w:rsid w:val="00F64AA8"/>
    <w:rsid w:val="00F66036"/>
    <w:rsid w:val="00F6689D"/>
    <w:rsid w:val="00F67E23"/>
    <w:rsid w:val="00F71601"/>
    <w:rsid w:val="00F72322"/>
    <w:rsid w:val="00F72C75"/>
    <w:rsid w:val="00F74033"/>
    <w:rsid w:val="00F7585E"/>
    <w:rsid w:val="00F759EB"/>
    <w:rsid w:val="00F772F7"/>
    <w:rsid w:val="00F77BB1"/>
    <w:rsid w:val="00F81334"/>
    <w:rsid w:val="00F81A81"/>
    <w:rsid w:val="00F81CC5"/>
    <w:rsid w:val="00F853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087A"/>
    <w:rsid w:val="00FB3F33"/>
    <w:rsid w:val="00FB43E4"/>
    <w:rsid w:val="00FB4889"/>
    <w:rsid w:val="00FB676C"/>
    <w:rsid w:val="00FB67CC"/>
    <w:rsid w:val="00FB6D5D"/>
    <w:rsid w:val="00FB7245"/>
    <w:rsid w:val="00FB728E"/>
    <w:rsid w:val="00FC0ADE"/>
    <w:rsid w:val="00FC0FF1"/>
    <w:rsid w:val="00FC1FDF"/>
    <w:rsid w:val="00FC3360"/>
    <w:rsid w:val="00FC3E27"/>
    <w:rsid w:val="00FC493B"/>
    <w:rsid w:val="00FC63E5"/>
    <w:rsid w:val="00FD0E54"/>
    <w:rsid w:val="00FD2B71"/>
    <w:rsid w:val="00FD3033"/>
    <w:rsid w:val="00FD3576"/>
    <w:rsid w:val="00FD52D6"/>
    <w:rsid w:val="00FD56FC"/>
    <w:rsid w:val="00FD752B"/>
    <w:rsid w:val="00FD7DD7"/>
    <w:rsid w:val="00FD7E7C"/>
    <w:rsid w:val="00FD7EB3"/>
    <w:rsid w:val="00FE033E"/>
    <w:rsid w:val="00FE0D2F"/>
    <w:rsid w:val="00FE157E"/>
    <w:rsid w:val="00FE1623"/>
    <w:rsid w:val="00FE2194"/>
    <w:rsid w:val="00FE31C6"/>
    <w:rsid w:val="00FE4A65"/>
    <w:rsid w:val="00FE51E8"/>
    <w:rsid w:val="00FE602F"/>
    <w:rsid w:val="00FE7611"/>
    <w:rsid w:val="00FF0769"/>
    <w:rsid w:val="00FF0DB8"/>
    <w:rsid w:val="00FF1A76"/>
    <w:rsid w:val="00FF1C1D"/>
    <w:rsid w:val="00FF2B61"/>
    <w:rsid w:val="00FF3330"/>
    <w:rsid w:val="00FF4080"/>
    <w:rsid w:val="00FF40A5"/>
    <w:rsid w:val="00FF445A"/>
    <w:rsid w:val="00FF48DA"/>
    <w:rsid w:val="00FF5E19"/>
    <w:rsid w:val="00FF61AD"/>
    <w:rsid w:val="00FF76BD"/>
    <w:rsid w:val="295A4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nhideWhenUsed="0" w:uiPriority="0" w:name="annotation text"/>
    <w:lsdException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nhideWhenUsed="0" w:uiPriority="0" w:name="annotation reference"/>
    <w:lsdException w:uiPriority="0" w:name="line number"/>
    <w:lsdException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unhideWhenUsed="0" w:uiPriority="0" w:semiHidden="0" w:name="Body Text Indent 2"/>
    <w:lsdException w:uiPriority="0" w:name="Body Text Indent 3"/>
    <w:lsdException w:uiPriority="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val="en-GB"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6">
    <w:name w:val="annotation text"/>
    <w:basedOn w:val="1"/>
    <w:link w:val="32"/>
    <w:semiHidden/>
    <w:uiPriority w:val="0"/>
  </w:style>
  <w:style w:type="paragraph" w:styleId="7">
    <w:name w:val="Body Text 3"/>
    <w:basedOn w:val="1"/>
    <w:qFormat/>
    <w:uiPriority w:val="0"/>
    <w:pPr>
      <w:spacing w:after="120"/>
    </w:pPr>
    <w:rPr>
      <w:sz w:val="16"/>
      <w:szCs w:val="16"/>
    </w:rPr>
  </w:style>
  <w:style w:type="paragraph" w:styleId="8">
    <w:name w:val="Body Text"/>
    <w:basedOn w:val="1"/>
    <w:uiPriority w:val="0"/>
    <w:pPr>
      <w:ind w:right="56"/>
    </w:pPr>
    <w:rPr>
      <w:b/>
      <w:sz w:val="22"/>
    </w:rPr>
  </w:style>
  <w:style w:type="paragraph" w:styleId="9">
    <w:name w:val="Body Text Indent"/>
    <w:basedOn w:val="1"/>
    <w:uiPriority w:val="0"/>
    <w:pPr>
      <w:spacing w:after="120"/>
      <w:ind w:left="420" w:leftChars="200"/>
    </w:pPr>
  </w:style>
  <w:style w:type="paragraph" w:styleId="10">
    <w:name w:val="toc 3"/>
    <w:basedOn w:val="1"/>
    <w:next w:val="1"/>
    <w:uiPriority w:val="39"/>
    <w:pPr>
      <w:tabs>
        <w:tab w:val="right" w:leader="dot" w:pos="8302"/>
        <w:tab w:val="right" w:leader="dot" w:pos="8835"/>
      </w:tabs>
      <w:spacing w:line="360" w:lineRule="auto"/>
      <w:ind w:left="300" w:leftChars="300"/>
    </w:pPr>
    <w:rPr>
      <w:sz w:val="20"/>
    </w:rPr>
  </w:style>
  <w:style w:type="paragraph" w:styleId="11">
    <w:name w:val="Body Text Indent 2"/>
    <w:basedOn w:val="1"/>
    <w:uiPriority w:val="0"/>
    <w:pPr>
      <w:spacing w:after="120" w:line="480" w:lineRule="auto"/>
      <w:ind w:left="420" w:leftChars="200"/>
    </w:pPr>
  </w:style>
  <w:style w:type="paragraph" w:styleId="12">
    <w:name w:val="Balloon Text"/>
    <w:basedOn w:val="1"/>
    <w:semiHidden/>
    <w:uiPriority w:val="0"/>
    <w:rPr>
      <w:sz w:val="18"/>
      <w:szCs w:val="18"/>
    </w:rPr>
  </w:style>
  <w:style w:type="paragraph" w:styleId="13">
    <w:name w:val="footer"/>
    <w:basedOn w:val="1"/>
    <w:link w:val="34"/>
    <w:uiPriority w:val="99"/>
    <w:pPr>
      <w:tabs>
        <w:tab w:val="center" w:pos="4320"/>
        <w:tab w:val="right" w:pos="8640"/>
      </w:tabs>
    </w:pPr>
  </w:style>
  <w:style w:type="paragraph" w:styleId="14">
    <w:name w:val="header"/>
    <w:basedOn w:val="1"/>
    <w:link w:val="26"/>
    <w:uiPriority w:val="0"/>
    <w:pPr>
      <w:tabs>
        <w:tab w:val="center" w:pos="4320"/>
        <w:tab w:val="right" w:pos="8640"/>
      </w:tabs>
    </w:pPr>
  </w:style>
  <w:style w:type="paragraph" w:styleId="15">
    <w:name w:val="toc 1"/>
    <w:basedOn w:val="1"/>
    <w:next w:val="1"/>
    <w:uiPriority w:val="39"/>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16">
    <w:name w:val="toc 2"/>
    <w:basedOn w:val="1"/>
    <w:next w:val="1"/>
    <w:uiPriority w:val="39"/>
    <w:pPr>
      <w:widowControl w:val="0"/>
      <w:tabs>
        <w:tab w:val="right" w:leader="dot" w:pos="8302"/>
      </w:tabs>
      <w:overflowPunct/>
      <w:autoSpaceDE/>
      <w:autoSpaceDN/>
      <w:adjustRightInd/>
      <w:spacing w:line="360" w:lineRule="auto"/>
      <w:ind w:left="200" w:leftChars="200"/>
      <w:textAlignment w:val="auto"/>
    </w:pPr>
    <w:rPr>
      <w:rFonts w:eastAsia="Times New Roman"/>
      <w:kern w:val="2"/>
      <w:lang w:val="en-US" w:eastAsia="zh-CN"/>
    </w:rPr>
  </w:style>
  <w:style w:type="paragraph" w:styleId="17">
    <w:name w:val="Title"/>
    <w:basedOn w:val="1"/>
    <w:next w:val="1"/>
    <w:link w:val="44"/>
    <w:qFormat/>
    <w:uiPriority w:val="0"/>
    <w:pPr>
      <w:spacing w:before="240" w:after="60"/>
      <w:jc w:val="center"/>
      <w:outlineLvl w:val="0"/>
    </w:pPr>
    <w:rPr>
      <w:rFonts w:ascii="Calibri Light" w:hAnsi="Calibri Light"/>
      <w:b/>
      <w:bCs/>
      <w:sz w:val="32"/>
      <w:szCs w:val="32"/>
    </w:rPr>
  </w:style>
  <w:style w:type="paragraph" w:styleId="18">
    <w:name w:val="annotation subject"/>
    <w:basedOn w:val="6"/>
    <w:next w:val="6"/>
    <w:semiHidden/>
    <w:uiPriority w:val="0"/>
    <w:rPr>
      <w:b/>
      <w:bCs/>
    </w:rPr>
  </w:style>
  <w:style w:type="table" w:styleId="20">
    <w:name w:val="Table Grid"/>
    <w:basedOn w:val="19"/>
    <w:uiPriority w:val="59"/>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uiPriority w:val="0"/>
  </w:style>
  <w:style w:type="character" w:styleId="23">
    <w:name w:val="Hyperlink"/>
    <w:uiPriority w:val="99"/>
    <w:rPr>
      <w:color w:val="0000FF"/>
      <w:u w:val="single"/>
    </w:rPr>
  </w:style>
  <w:style w:type="character" w:styleId="24">
    <w:name w:val="annotation reference"/>
    <w:semiHidden/>
    <w:uiPriority w:val="0"/>
    <w:rPr>
      <w:sz w:val="21"/>
      <w:szCs w:val="21"/>
    </w:rPr>
  </w:style>
  <w:style w:type="paragraph" w:customStyle="1" w:styleId="25">
    <w:name w:val="Table"/>
    <w:basedOn w:val="1"/>
    <w:uiPriority w:val="0"/>
    <w:pPr>
      <w:keepLines/>
      <w:tabs>
        <w:tab w:val="left" w:pos="284"/>
      </w:tabs>
      <w:overflowPunct/>
      <w:autoSpaceDE/>
      <w:autoSpaceDN/>
      <w:adjustRightInd/>
      <w:spacing w:before="40" w:after="20"/>
      <w:textAlignment w:val="auto"/>
    </w:pPr>
    <w:rPr>
      <w:rFonts w:ascii="Arial" w:hAnsi="Arial"/>
      <w:sz w:val="20"/>
      <w:lang w:val="en-US"/>
    </w:rPr>
  </w:style>
  <w:style w:type="character" w:customStyle="1" w:styleId="26">
    <w:name w:val="页眉 字符"/>
    <w:link w:val="14"/>
    <w:uiPriority w:val="0"/>
    <w:rPr>
      <w:rFonts w:eastAsia="宋体"/>
      <w:sz w:val="24"/>
      <w:lang w:val="en-GB" w:eastAsia="en-US" w:bidi="ar-SA"/>
    </w:rPr>
  </w:style>
  <w:style w:type="paragraph" w:customStyle="1" w:styleId="27">
    <w:name w:val="Default Text"/>
    <w:basedOn w:val="1"/>
    <w:uiPriority w:val="0"/>
    <w:pPr>
      <w:overflowPunct/>
      <w:textAlignment w:val="auto"/>
    </w:pPr>
    <w:rPr>
      <w:rFonts w:ascii="Arial" w:hAnsi="Arial"/>
      <w:szCs w:val="24"/>
      <w:lang w:val="en-US"/>
    </w:rPr>
  </w:style>
  <w:style w:type="paragraph" w:customStyle="1" w:styleId="28">
    <w:name w:val="Style"/>
    <w:basedOn w:val="1"/>
    <w:uiPriority w:val="0"/>
    <w:pPr>
      <w:overflowPunct/>
      <w:textAlignment w:val="auto"/>
    </w:pPr>
    <w:rPr>
      <w:rFonts w:ascii="Arial" w:hAnsi="Arial"/>
      <w:szCs w:val="24"/>
      <w:lang w:val="en-US"/>
    </w:rPr>
  </w:style>
  <w:style w:type="paragraph" w:customStyle="1" w:styleId="29">
    <w:name w:val="正文1"/>
    <w:basedOn w:val="1"/>
    <w:uiPriority w:val="0"/>
    <w:pPr>
      <w:overflowPunct/>
      <w:textAlignment w:val="auto"/>
    </w:pPr>
    <w:rPr>
      <w:rFonts w:ascii="Arial" w:hAnsi="Arial"/>
      <w:sz w:val="20"/>
      <w:lang w:val="en-US"/>
    </w:rPr>
  </w:style>
  <w:style w:type="paragraph" w:customStyle="1" w:styleId="30">
    <w:name w:val="Revision"/>
    <w:hidden/>
    <w:semiHidden/>
    <w:uiPriority w:val="99"/>
    <w:rPr>
      <w:rFonts w:ascii="Times New Roman" w:hAnsi="Times New Roman" w:eastAsia="宋体" w:cs="Times New Roman"/>
      <w:sz w:val="24"/>
      <w:lang w:val="en-GB" w:eastAsia="en-US" w:bidi="ar-SA"/>
    </w:rPr>
  </w:style>
  <w:style w:type="paragraph" w:styleId="31">
    <w:name w:val="List Paragraph"/>
    <w:basedOn w:val="1"/>
    <w:qFormat/>
    <w:uiPriority w:val="34"/>
    <w:pPr>
      <w:widowControl w:val="0"/>
      <w:overflowPunct/>
      <w:autoSpaceDE/>
      <w:autoSpaceDN/>
      <w:adjustRightInd/>
      <w:ind w:firstLine="420" w:firstLineChars="200"/>
      <w:jc w:val="both"/>
      <w:textAlignment w:val="auto"/>
    </w:pPr>
    <w:rPr>
      <w:rFonts w:ascii="Calibri" w:hAnsi="Calibri"/>
      <w:kern w:val="2"/>
      <w:szCs w:val="22"/>
      <w:lang w:val="en-US" w:eastAsia="zh-CN"/>
    </w:rPr>
  </w:style>
  <w:style w:type="character" w:customStyle="1" w:styleId="32">
    <w:name w:val="批注文字 字符"/>
    <w:link w:val="6"/>
    <w:semiHidden/>
    <w:uiPriority w:val="0"/>
    <w:rPr>
      <w:sz w:val="24"/>
      <w:lang w:val="en-GB" w:eastAsia="en-US"/>
    </w:rPr>
  </w:style>
  <w:style w:type="paragraph" w:customStyle="1" w:styleId="33">
    <w:name w:val="TOC Heading"/>
    <w:basedOn w:val="2"/>
    <w:next w:val="1"/>
    <w:qFormat/>
    <w:uiPriority w:val="39"/>
    <w:pPr>
      <w:numPr>
        <w:numId w:val="0"/>
      </w:numPr>
      <w:outlineLvl w:val="9"/>
    </w:pPr>
  </w:style>
  <w:style w:type="character" w:customStyle="1" w:styleId="34">
    <w:name w:val="页脚 字符"/>
    <w:link w:val="13"/>
    <w:uiPriority w:val="99"/>
    <w:rPr>
      <w:sz w:val="24"/>
      <w:lang w:val="en-GB" w:eastAsia="en-US"/>
    </w:rPr>
  </w:style>
  <w:style w:type="character" w:customStyle="1" w:styleId="35">
    <w:name w:val="instruction standard blue"/>
    <w:qFormat/>
    <w:uiPriority w:val="1"/>
    <w:rPr>
      <w:rFonts w:cs="Arial"/>
      <w:i/>
      <w:color w:val="0070C0"/>
    </w:rPr>
  </w:style>
  <w:style w:type="character" w:customStyle="1" w:styleId="36">
    <w:name w:val="keyword"/>
    <w:basedOn w:val="21"/>
    <w:uiPriority w:val="0"/>
  </w:style>
  <w:style w:type="paragraph" w:customStyle="1" w:styleId="37">
    <w:name w:val="numbering blue"/>
    <w:basedOn w:val="1"/>
    <w:link w:val="38"/>
    <w:qFormat/>
    <w:uiPriority w:val="0"/>
    <w:pPr>
      <w:numPr>
        <w:ilvl w:val="0"/>
        <w:numId w:val="2"/>
      </w:numPr>
      <w:overflowPunct/>
      <w:autoSpaceDE/>
      <w:autoSpaceDN/>
      <w:adjustRightInd/>
      <w:spacing w:after="120"/>
      <w:ind w:left="357" w:hanging="357"/>
      <w:contextualSpacing/>
      <w:textAlignment w:val="auto"/>
    </w:pPr>
    <w:rPr>
      <w:rFonts w:ascii="Arial" w:hAnsi="Arial" w:eastAsia="PMingLiU"/>
      <w:color w:val="0070C0"/>
      <w:sz w:val="20"/>
      <w:lang w:eastAsia="zh-TW"/>
    </w:rPr>
  </w:style>
  <w:style w:type="character" w:customStyle="1" w:styleId="38">
    <w:name w:val="numbering blue Zchn"/>
    <w:link w:val="37"/>
    <w:qFormat/>
    <w:uiPriority w:val="0"/>
    <w:rPr>
      <w:rFonts w:ascii="Arial" w:hAnsi="Arial" w:eastAsia="PMingLiU"/>
      <w:color w:val="0070C0"/>
      <w:lang w:eastAsia="zh-TW"/>
    </w:rPr>
  </w:style>
  <w:style w:type="paragraph" w:customStyle="1" w:styleId="39">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character" w:customStyle="1" w:styleId="40">
    <w:name w:val="Text Char"/>
    <w:link w:val="41"/>
    <w:qFormat/>
    <w:locked/>
    <w:uiPriority w:val="0"/>
    <w:rPr>
      <w:sz w:val="24"/>
      <w:lang w:eastAsia="en-US"/>
    </w:rPr>
  </w:style>
  <w:style w:type="paragraph" w:customStyle="1" w:styleId="41">
    <w:name w:val="Text"/>
    <w:basedOn w:val="1"/>
    <w:link w:val="40"/>
    <w:qFormat/>
    <w:uiPriority w:val="0"/>
    <w:pPr>
      <w:overflowPunct/>
      <w:autoSpaceDE/>
      <w:autoSpaceDN/>
      <w:adjustRightInd/>
      <w:spacing w:before="120"/>
      <w:jc w:val="both"/>
      <w:textAlignment w:val="auto"/>
    </w:pPr>
    <w:rPr>
      <w:lang w:val="en-US"/>
    </w:rPr>
  </w:style>
  <w:style w:type="character" w:customStyle="1" w:styleId="42">
    <w:name w:val="ordinary-span-edit2"/>
    <w:qFormat/>
    <w:uiPriority w:val="0"/>
  </w:style>
  <w:style w:type="character" w:customStyle="1" w:styleId="43">
    <w:name w:val="apple-converted-space"/>
    <w:basedOn w:val="21"/>
    <w:qFormat/>
    <w:uiPriority w:val="0"/>
  </w:style>
  <w:style w:type="character" w:customStyle="1" w:styleId="44">
    <w:name w:val="标题 字符"/>
    <w:link w:val="17"/>
    <w:qFormat/>
    <w:uiPriority w:val="0"/>
    <w:rPr>
      <w:rFonts w:ascii="Calibri Light" w:hAnsi="Calibri Light" w:cs="Times New Roman"/>
      <w:b/>
      <w:bCs/>
      <w:sz w:val="32"/>
      <w:szCs w:val="32"/>
      <w:lang w:val="en-GB" w:eastAsia="en-US"/>
    </w:rPr>
  </w:style>
  <w:style w:type="paragraph" w:customStyle="1" w:styleId="45">
    <w:name w:val="Table text"/>
    <w:basedOn w:val="1"/>
    <w:qFormat/>
    <w:uiPriority w:val="0"/>
    <w:pPr>
      <w:overflowPunct/>
      <w:autoSpaceDE/>
      <w:autoSpaceDN/>
      <w:adjustRightInd/>
      <w:spacing w:before="120" w:after="120"/>
      <w:jc w:val="both"/>
      <w:textAlignment w:val="auto"/>
    </w:pPr>
    <w:rPr>
      <w:lang w:val="en-US"/>
    </w:rPr>
  </w:style>
  <w:style w:type="character" w:customStyle="1" w:styleId="46">
    <w:name w:val="Footer Char"/>
    <w:basedOn w:val="21"/>
    <w:semiHidden/>
    <w:qFormat/>
    <w:locked/>
    <w:uiPriority w:val="0"/>
    <w:rPr>
      <w:rFonts w:cs="Times New Roman"/>
      <w:sz w:val="18"/>
      <w:szCs w:val="18"/>
    </w:rPr>
  </w:style>
  <w:style w:type="paragraph" w:customStyle="1" w:styleId="47">
    <w:name w:val="列出段落1"/>
    <w:basedOn w:val="1"/>
    <w:qFormat/>
    <w:uiPriority w:val="34"/>
    <w:pPr>
      <w:widowControl w:val="0"/>
      <w:adjustRightInd/>
      <w:ind w:firstLine="420" w:firstLineChars="200"/>
      <w:jc w:val="both"/>
      <w:textAlignment w:val="auto"/>
    </w:pPr>
    <w:rPr>
      <w:rFonts w:ascii="Calibri" w:hAnsi="Calibri"/>
      <w:kern w:val="2"/>
      <w:szCs w:val="22"/>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C6EABF-1372-4579-9AAF-6E21AF4528D1}">
  <ds:schemaRefs/>
</ds:datastoreItem>
</file>

<file path=docProps/app.xml><?xml version="1.0" encoding="utf-8"?>
<Properties xmlns="http://schemas.openxmlformats.org/officeDocument/2006/extended-properties" xmlns:vt="http://schemas.openxmlformats.org/officeDocument/2006/docPropsVTypes">
  <Template>Normal</Template>
  <Pages>13</Pages>
  <Words>1362</Words>
  <Characters>7767</Characters>
  <Lines>64</Lines>
  <Paragraphs>18</Paragraphs>
  <TotalTime>2424</TotalTime>
  <ScaleCrop>false</ScaleCrop>
  <LinksUpToDate>false</LinksUpToDate>
  <CharactersWithSpaces>9111</CharactersWithSpaces>
  <Application>WPS Office_11.8.2.10229_F1E327BC-269C-435d-A152-05C5408002CA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2018-12-24T07:58:00Z</dcterms:created>
  <dc:creator>Lilly</dc:creator>
  <cp:lastModifiedBy>汪洋</cp:lastModifiedBy>
  <cp:lastPrinted>2022-03-21T02:47:00Z</cp:lastPrinted>
  <dcterms:modified xsi:type="dcterms:W3CDTF">2022-05-23T06:04:12Z</dcterms:modified>
  <dc:title>生效期：</dc:title>
  <cp:revision>211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