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400307"/>
      <w:bookmarkStart w:id="2" w:name="_Toc484532399"/>
      <w:bookmarkStart w:id="3" w:name="_Toc483227223"/>
      <w:bookmarkStart w:id="4" w:name="_Toc483666358"/>
    </w:p>
    <w:p>
      <w:pPr>
        <w:spacing w:after="158" w:afterLines="50"/>
        <w:jc w:val="center"/>
        <w:rPr>
          <w:b/>
          <w:szCs w:val="21"/>
          <w:lang w:eastAsia="zh-CN"/>
        </w:rPr>
      </w:pPr>
      <w:permStart w:id="0" w:edGrp="everyone"/>
      <w:r>
        <w:rPr>
          <w:rFonts w:hint="eastAsia"/>
          <w:b/>
          <w:sz w:val="28"/>
          <w:szCs w:val="28"/>
          <w:lang w:eastAsia="zh-CN"/>
        </w:rPr>
        <w:t>工程技术部气溶胶稀释器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4"/>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rPr>
          <w:rFonts w:hint="eastAsia"/>
          <w:lang w:val="en-US" w:eastAsia="zh-CN"/>
        </w:rPr>
        <w:t>8</w:t>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rPr>
          <w:rFonts w:hint="eastAsia"/>
        </w:rPr>
        <w:t>8</w:t>
      </w:r>
      <w:r>
        <w:rPr>
          <w:rFonts w:hint="eastAsia"/>
        </w:rPr>
        <w:fldChar w:fldCharType="end"/>
      </w:r>
    </w:p>
    <w:p>
      <w:pPr>
        <w:pStyle w:val="15"/>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rPr>
          <w:rFonts w:hint="eastAsia"/>
          <w:lang w:val="en-US" w:eastAsia="zh-CN"/>
        </w:rPr>
        <w:t>9</w:t>
      </w:r>
      <w:r>
        <w:rPr>
          <w:rFonts w:hint="eastAsia"/>
        </w:rPr>
        <w:fldChar w:fldCharType="end"/>
      </w:r>
    </w:p>
    <w:p>
      <w:pPr>
        <w:pStyle w:val="15"/>
        <w:rPr>
          <w:rFonts w:hint="eastAsia" w:eastAsia="宋体"/>
          <w:b w:val="0"/>
          <w:bCs w:val="0"/>
          <w:caps w:val="0"/>
          <w:szCs w:val="22"/>
          <w:lang w:val="en-US" w:eastAsia="zh-CN"/>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rPr>
          <w:rFonts w:hint="eastAsia"/>
          <w:lang w:val="en-US" w:eastAsia="zh-CN"/>
        </w:rPr>
        <w:t>1</w:t>
      </w:r>
      <w:r>
        <w:fldChar w:fldCharType="end"/>
      </w:r>
      <w:r>
        <w:rPr>
          <w:rFonts w:hint="eastAsia"/>
          <w:lang w:val="en-US" w:eastAsia="zh-CN"/>
        </w:rPr>
        <w:t>1</w:t>
      </w:r>
    </w:p>
    <w:p>
      <w:r>
        <w:fldChar w:fldCharType="end"/>
      </w:r>
      <w:permEnd w:id="2"/>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2"/>
        <w:spacing w:before="0" w:line="360" w:lineRule="auto"/>
        <w:ind w:left="357"/>
        <w:jc w:val="left"/>
        <w:rPr>
          <w:szCs w:val="21"/>
          <w:lang w:eastAsia="zh-CN"/>
        </w:rPr>
      </w:pPr>
      <w:bookmarkStart w:id="7" w:name="_Toc482370757"/>
      <w:bookmarkStart w:id="8" w:name="_Toc482370141"/>
      <w:bookmarkStart w:id="9" w:name="_Toc481702475"/>
      <w:bookmarkStart w:id="10" w:name="_Toc482359936"/>
      <w:bookmarkStart w:id="11" w:name="_Toc482370349"/>
      <w:bookmarkStart w:id="12" w:name="_Toc482369805"/>
      <w:bookmarkStart w:id="13" w:name="_Toc482625279"/>
      <w:bookmarkStart w:id="14" w:name="_Toc482360281"/>
      <w:bookmarkStart w:id="15" w:name="_Toc482370061"/>
      <w:r>
        <w:rPr>
          <w:szCs w:val="21"/>
          <w:lang w:eastAsia="zh-CN"/>
        </w:rPr>
        <w:t>本文件的目的是描述武汉生物制品研究所有限责任公司</w:t>
      </w:r>
      <w:permStart w:id="3" w:edGrp="everyone"/>
      <w:r>
        <w:rPr>
          <w:rFonts w:hint="eastAsia" w:ascii="宋体" w:hAnsi="宋体"/>
          <w:b w:val="0"/>
          <w:color w:val="000000"/>
          <w:sz w:val="21"/>
          <w:szCs w:val="21"/>
          <w:lang w:eastAsia="zh-CN"/>
        </w:rPr>
        <w:t>工程技术部气溶胶稀释器</w:t>
      </w:r>
      <w:permEnd w:id="3"/>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ascii="宋体" w:hAnsi="宋体"/>
          <w:b w:val="0"/>
          <w:color w:val="000000"/>
          <w:sz w:val="21"/>
          <w:szCs w:val="21"/>
          <w:lang w:eastAsia="zh-CN"/>
        </w:rPr>
        <w:t>工程技术部气溶胶稀释器</w:t>
      </w:r>
      <w:permEnd w:id="4"/>
      <w:r>
        <w:rPr>
          <w:szCs w:val="21"/>
          <w:lang w:eastAsia="zh-CN"/>
        </w:rPr>
        <w:t>。</w:t>
      </w:r>
      <w:bookmarkEnd w:id="7"/>
      <w:bookmarkEnd w:id="8"/>
      <w:bookmarkEnd w:id="9"/>
      <w:bookmarkEnd w:id="10"/>
      <w:bookmarkEnd w:id="11"/>
      <w:bookmarkEnd w:id="12"/>
      <w:bookmarkEnd w:id="13"/>
      <w:bookmarkEnd w:id="14"/>
      <w:bookmarkEnd w:id="15"/>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ind w:left="777"/>
        <w:jc w:val="left"/>
        <w:rPr>
          <w:szCs w:val="21"/>
          <w:lang w:eastAsia="zh-CN"/>
        </w:rPr>
      </w:pPr>
      <w:permStart w:id="5" w:edGrp="everyone"/>
      <w:r>
        <w:rPr>
          <w:rFonts w:hint="eastAsia"/>
          <w:szCs w:val="21"/>
          <w:lang w:eastAsia="zh-CN"/>
        </w:rPr>
        <w:t>《药品生产质量管理规范》（2010修订版）及附录</w:t>
      </w:r>
    </w:p>
    <w:p>
      <w:pPr>
        <w:pStyle w:val="42"/>
        <w:numPr>
          <w:ilvl w:val="0"/>
          <w:numId w:val="5"/>
        </w:numPr>
        <w:spacing w:before="0" w:line="360" w:lineRule="auto"/>
        <w:ind w:left="777"/>
        <w:jc w:val="left"/>
        <w:rPr>
          <w:szCs w:val="21"/>
          <w:lang w:eastAsia="zh-CN"/>
        </w:rPr>
      </w:pPr>
      <w:r>
        <w:rPr>
          <w:rFonts w:hint="eastAsia"/>
          <w:szCs w:val="21"/>
          <w:lang w:eastAsia="zh-CN"/>
        </w:rPr>
        <w:t>GB 50457-2008医药工业洁净厂房设计规范</w:t>
      </w:r>
    </w:p>
    <w:p>
      <w:pPr>
        <w:pStyle w:val="42"/>
        <w:numPr>
          <w:ilvl w:val="0"/>
          <w:numId w:val="5"/>
        </w:numPr>
        <w:spacing w:before="0" w:line="360" w:lineRule="auto"/>
        <w:ind w:left="777"/>
        <w:jc w:val="left"/>
        <w:rPr>
          <w:szCs w:val="21"/>
          <w:lang w:eastAsia="zh-CN"/>
        </w:rPr>
      </w:pPr>
      <w:r>
        <w:rPr>
          <w:rFonts w:hint="eastAsia"/>
          <w:szCs w:val="21"/>
          <w:lang w:eastAsia="zh-CN"/>
        </w:rPr>
        <w:t>GB 50073-2001 洁净厂房设计规范</w:t>
      </w:r>
    </w:p>
    <w:p>
      <w:pPr>
        <w:pStyle w:val="42"/>
        <w:numPr>
          <w:ilvl w:val="0"/>
          <w:numId w:val="5"/>
        </w:numPr>
        <w:spacing w:before="0" w:line="360" w:lineRule="auto"/>
        <w:ind w:left="777"/>
        <w:jc w:val="left"/>
        <w:rPr>
          <w:szCs w:val="21"/>
          <w:lang w:eastAsia="zh-CN"/>
        </w:rPr>
      </w:pPr>
      <w:r>
        <w:rPr>
          <w:rFonts w:hint="eastAsia"/>
          <w:szCs w:val="21"/>
          <w:lang w:eastAsia="zh-CN"/>
        </w:rPr>
        <w:t>ISO 14644-1 第1部分：空气洁净度等级</w:t>
      </w:r>
    </w:p>
    <w:p>
      <w:pPr>
        <w:pStyle w:val="42"/>
        <w:numPr>
          <w:ilvl w:val="0"/>
          <w:numId w:val="5"/>
        </w:numPr>
        <w:spacing w:before="0" w:line="360" w:lineRule="auto"/>
        <w:ind w:left="777"/>
        <w:jc w:val="left"/>
        <w:rPr>
          <w:szCs w:val="21"/>
          <w:lang w:eastAsia="zh-CN"/>
        </w:rPr>
      </w:pPr>
      <w:r>
        <w:rPr>
          <w:rFonts w:hint="eastAsia"/>
          <w:szCs w:val="21"/>
          <w:lang w:eastAsia="zh-CN"/>
        </w:rPr>
        <w:t>ISO 14644-2 第2部分：连续证明与ISO 14644-1相符的监测和监测术条件</w:t>
      </w:r>
    </w:p>
    <w:p>
      <w:pPr>
        <w:pStyle w:val="42"/>
        <w:numPr>
          <w:ilvl w:val="0"/>
          <w:numId w:val="5"/>
        </w:numPr>
        <w:spacing w:before="0" w:line="360" w:lineRule="auto"/>
        <w:ind w:left="777"/>
        <w:jc w:val="left"/>
        <w:rPr>
          <w:szCs w:val="21"/>
          <w:lang w:eastAsia="zh-CN"/>
        </w:rPr>
      </w:pPr>
      <w:r>
        <w:rPr>
          <w:rFonts w:hint="eastAsia"/>
          <w:szCs w:val="21"/>
          <w:lang w:eastAsia="zh-CN"/>
        </w:rPr>
        <w:t>ISO 14644-3 第3部分：测试方法</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numPr>
          <w:ilvl w:val="0"/>
          <w:numId w:val="5"/>
        </w:numPr>
        <w:spacing w:before="0" w:line="360" w:lineRule="auto"/>
        <w:ind w:left="777"/>
        <w:jc w:val="left"/>
        <w:rPr>
          <w:i/>
          <w:color w:val="0070C0"/>
          <w:szCs w:val="21"/>
          <w:lang w:eastAsia="zh-CN"/>
        </w:rPr>
      </w:pPr>
      <w:permStart w:id="6" w:edGrp="everyone"/>
      <w:r>
        <w:rPr>
          <w:szCs w:val="21"/>
          <w:lang w:eastAsia="zh-CN"/>
        </w:rPr>
        <w:t>GB4793.1</w:t>
      </w:r>
      <w:r>
        <w:rPr>
          <w:rFonts w:hint="eastAsia"/>
          <w:szCs w:val="21"/>
          <w:lang w:eastAsia="zh-CN"/>
        </w:rPr>
        <w:t>-2007测量、控制和实验室用电气设备的安全要求 第1部分：通用要求</w:t>
      </w:r>
    </w:p>
    <w:p>
      <w:pPr>
        <w:pStyle w:val="42"/>
        <w:numPr>
          <w:ilvl w:val="0"/>
          <w:numId w:val="5"/>
        </w:numPr>
        <w:spacing w:before="0" w:line="360" w:lineRule="auto"/>
        <w:ind w:left="777"/>
        <w:jc w:val="left"/>
        <w:rPr>
          <w:szCs w:val="21"/>
          <w:lang w:eastAsia="zh-CN"/>
        </w:rPr>
      </w:pPr>
      <w:r>
        <w:rPr>
          <w:rFonts w:hint="eastAsia"/>
          <w:szCs w:val="21"/>
          <w:lang w:eastAsia="zh-CN"/>
        </w:rPr>
        <w:t>GB4793.5-2008测量、控制和实验室用电气设备的安全要求 第5部分：电工测量和试验用手持探头组建的安全要求</w:t>
      </w:r>
      <w:permEnd w:id="6"/>
      <w:permStart w:id="7" w:edGrp="everyone"/>
    </w:p>
    <w:permEnd w:id="7"/>
    <w:p>
      <w:pPr>
        <w:pStyle w:val="32"/>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ascii="Times New Roman" w:hAnsi="Times New Roman"/>
          <w:b/>
        </w:rPr>
        <w:t>系统描述</w:t>
      </w:r>
      <w:bookmarkEnd w:id="20"/>
      <w:bookmarkEnd w:id="2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324" w:lineRule="atLeast"/>
        <w:ind w:left="0" w:right="0" w:firstLine="0"/>
        <w:jc w:val="left"/>
        <w:textAlignment w:val="baseline"/>
        <w:rPr>
          <w:i/>
          <w:color w:val="4472C4"/>
          <w:szCs w:val="21"/>
          <w:lang w:eastAsia="zh-CN"/>
        </w:rPr>
      </w:pPr>
      <w:permStart w:id="8" w:edGrp="everyone"/>
      <w:r>
        <w:rPr>
          <w:rFonts w:hint="default" w:ascii="宋体" w:hAnsi="宋体"/>
          <w:lang w:val="en-US" w:eastAsia="zh-CN"/>
        </w:rPr>
        <w:t>气溶胶稀释器是固定稀释比标准的仪器（1:100）。其主要通过一个细的毛细管采集一部分气溶胶颗粒，毛细管流动比率保持不变，其余部分的气溶胶通过旁路被 HEPA 过滤器过滤掉，然后将毛细管和旁路两股气流进行均匀混合，使得毛细管中颗粒浓度得以稀释。保持一定的毛细管与旁路的比率，就能形成固定的颗粒稀释比。</w:t>
      </w:r>
      <w:r>
        <w:rPr>
          <w:rFonts w:hint="eastAsia" w:ascii="宋体" w:hAnsi="宋体" w:cs="Arial"/>
          <w:szCs w:val="24"/>
          <w:lang w:val="it-IT" w:eastAsia="zh-CN"/>
        </w:rPr>
        <w:t>工程技术部将购买</w:t>
      </w:r>
      <w:r>
        <w:rPr>
          <w:rFonts w:ascii="宋体" w:hAnsi="宋体" w:cs="Arial"/>
          <w:szCs w:val="24"/>
          <w:lang w:val="it-IT" w:eastAsia="zh-CN"/>
        </w:rPr>
        <w:t>1</w:t>
      </w:r>
      <w:r>
        <w:rPr>
          <w:rFonts w:hint="eastAsia" w:ascii="宋体" w:hAnsi="宋体" w:cs="Arial"/>
          <w:szCs w:val="24"/>
          <w:lang w:val="it-IT" w:eastAsia="zh-CN"/>
        </w:rPr>
        <w:t>台气溶胶</w:t>
      </w:r>
      <w:r>
        <w:rPr>
          <w:rFonts w:hint="eastAsia" w:ascii="宋体" w:hAnsi="宋体" w:cs="Arial"/>
          <w:szCs w:val="24"/>
          <w:lang w:val="en-US" w:eastAsia="zh-CN"/>
        </w:rPr>
        <w:t>稀释器</w:t>
      </w:r>
      <w:r>
        <w:rPr>
          <w:rFonts w:hint="eastAsia" w:ascii="宋体" w:hAnsi="宋体" w:cs="Arial"/>
          <w:szCs w:val="24"/>
          <w:lang w:val="it-IT" w:eastAsia="zh-CN"/>
        </w:rPr>
        <w:t>，</w:t>
      </w:r>
      <w:r>
        <w:rPr>
          <w:rFonts w:hint="eastAsia" w:ascii="宋体" w:hAnsi="宋体"/>
          <w:lang w:eastAsia="zh-CN"/>
        </w:rPr>
        <w:t>用于空调净化系统高效过滤器检漏工作。</w:t>
      </w:r>
      <w:permEnd w:id="8"/>
    </w:p>
    <w:p>
      <w:pPr>
        <w:pStyle w:val="32"/>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permStart w:id="9" w:edGrp="everyone"/>
      <w:permEnd w:id="9"/>
      <w:bookmarkStart w:id="47" w:name="_GoBack"/>
      <w:bookmarkEnd w:id="47"/>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pStyle w:val="46"/>
              <w:spacing w:before="0" w:after="0"/>
              <w:ind w:right="-6"/>
              <w:rPr>
                <w:rFonts w:ascii="宋体" w:hAnsi="宋体"/>
                <w:color w:val="000000"/>
                <w:szCs w:val="21"/>
                <w:lang w:eastAsia="zh-CN"/>
              </w:rPr>
            </w:pPr>
            <w:r>
              <w:rPr>
                <w:rFonts w:hint="eastAsia" w:ascii="宋体" w:hAnsi="宋体"/>
                <w:lang w:eastAsia="zh-CN"/>
              </w:rPr>
              <w:t>该</w:t>
            </w:r>
            <w:r>
              <w:rPr>
                <w:rFonts w:hint="eastAsia" w:ascii="宋体" w:hAnsi="宋体" w:cs="Arial"/>
                <w:szCs w:val="24"/>
                <w:lang w:val="it-IT" w:eastAsia="zh-CN"/>
              </w:rPr>
              <w:t>气溶胶</w:t>
            </w:r>
            <w:r>
              <w:rPr>
                <w:rFonts w:hint="eastAsia" w:ascii="宋体" w:hAnsi="宋体" w:cs="Arial"/>
                <w:szCs w:val="24"/>
                <w:lang w:val="en-US" w:eastAsia="zh-CN"/>
              </w:rPr>
              <w:t>稀释器</w:t>
            </w:r>
            <w:r>
              <w:rPr>
                <w:rFonts w:hint="eastAsia" w:ascii="宋体" w:hAnsi="宋体"/>
                <w:lang w:eastAsia="zh-CN"/>
              </w:rPr>
              <w:t>放置在工程技术部</w:t>
            </w:r>
            <w:r>
              <w:rPr>
                <w:rFonts w:hint="eastAsia" w:ascii="宋体" w:hAnsi="宋体"/>
                <w:lang w:val="en-US" w:eastAsia="zh-CN"/>
              </w:rPr>
              <w:t>综合组</w:t>
            </w:r>
            <w:r>
              <w:rPr>
                <w:rFonts w:hint="eastAsia" w:ascii="宋体" w:hAnsi="宋体"/>
                <w:lang w:eastAsia="zh-CN"/>
              </w:rPr>
              <w:t>办公室。</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pStyle w:val="46"/>
              <w:spacing w:before="0" w:after="0"/>
              <w:ind w:right="-6"/>
              <w:rPr>
                <w:rFonts w:ascii="宋体" w:hAnsi="宋体"/>
                <w:color w:val="000000"/>
                <w:sz w:val="24"/>
                <w:lang w:eastAsia="zh-CN"/>
              </w:rPr>
            </w:pPr>
            <w:r>
              <w:rPr>
                <w:rFonts w:hint="eastAsia" w:ascii="宋体" w:hAnsi="宋体" w:cs="Arial"/>
                <w:szCs w:val="24"/>
                <w:lang w:val="it-IT" w:eastAsia="zh-CN"/>
              </w:rPr>
              <w:t>气溶胶</w:t>
            </w:r>
            <w:r>
              <w:rPr>
                <w:rFonts w:hint="eastAsia" w:ascii="宋体" w:hAnsi="宋体" w:cs="Arial"/>
                <w:szCs w:val="24"/>
                <w:lang w:val="en-US" w:eastAsia="zh-CN"/>
              </w:rPr>
              <w:t>稀释器</w:t>
            </w:r>
            <w:r>
              <w:rPr>
                <w:rFonts w:hint="eastAsia" w:ascii="宋体" w:hAnsi="宋体"/>
                <w:lang w:eastAsia="zh-CN"/>
              </w:rPr>
              <w:t>应易于携带，有利于进行检漏工作。</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pStyle w:val="46"/>
              <w:spacing w:before="0" w:after="0"/>
              <w:ind w:right="-6"/>
              <w:rPr>
                <w:rFonts w:ascii="宋体" w:hAnsi="宋体"/>
                <w:lang w:eastAsia="zh-CN"/>
              </w:rPr>
            </w:pPr>
            <w:r>
              <w:rPr>
                <w:rFonts w:hint="eastAsia" w:ascii="宋体" w:hAnsi="宋体" w:cs="Arial"/>
                <w:szCs w:val="24"/>
                <w:lang w:val="it-IT" w:eastAsia="zh-CN"/>
              </w:rPr>
              <w:t>气溶胶</w:t>
            </w:r>
            <w:r>
              <w:rPr>
                <w:rFonts w:hint="eastAsia" w:ascii="宋体" w:hAnsi="宋体" w:cs="Arial"/>
                <w:szCs w:val="24"/>
                <w:lang w:val="en-US" w:eastAsia="zh-CN"/>
              </w:rPr>
              <w:t>稀释器</w:t>
            </w:r>
            <w:r>
              <w:rPr>
                <w:rFonts w:hint="eastAsia" w:ascii="宋体" w:hAnsi="宋体"/>
                <w:lang w:eastAsia="zh-CN"/>
              </w:rPr>
              <w:t>的型号及尺寸应符合制造商说明书及技术文件规定的要求。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供应商必须给出选型方案及相应附件选型方案，并交给我公司使用部门审核。</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13"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14"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lang w:eastAsia="zh-CN"/>
              </w:rPr>
              <w:t>适应我公司</w:t>
            </w:r>
            <w:r>
              <w:rPr>
                <w:lang w:eastAsia="zh-CN"/>
              </w:rPr>
              <w:t>工作环境温度：能适应10</w:t>
            </w:r>
            <w:r>
              <w:rPr>
                <w:rFonts w:hint="eastAsia" w:ascii="宋体" w:hAnsi="宋体" w:cs="宋体"/>
                <w:lang w:eastAsia="zh-CN"/>
              </w:rPr>
              <w:t>℃</w:t>
            </w:r>
            <w:r>
              <w:rPr>
                <w:lang w:eastAsia="zh-CN"/>
              </w:rPr>
              <w:t>～32</w:t>
            </w:r>
            <w:r>
              <w:rPr>
                <w:rFonts w:hint="eastAsia" w:ascii="宋体" w:hAnsi="宋体" w:cs="宋体"/>
                <w:lang w:eastAsia="zh-CN"/>
              </w:rPr>
              <w:t>℃</w:t>
            </w:r>
            <w:r>
              <w:rPr>
                <w:lang w:eastAsia="zh-CN"/>
              </w:rPr>
              <w:t xml:space="preserve">环境 </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rFonts w:hint="eastAsia"/>
                <w:lang w:eastAsia="zh-CN"/>
              </w:rPr>
              <w:t>适应我公司</w:t>
            </w:r>
            <w:r>
              <w:rPr>
                <w:lang w:eastAsia="zh-CN"/>
              </w:rPr>
              <w:t>工作环境湿度：至少包括45%～65%</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rFonts w:hint="default"/>
                <w:color w:val="000000"/>
                <w:lang w:val="en-US" w:eastAsia="zh-CN"/>
              </w:rPr>
            </w:pPr>
            <w:r>
              <w:rPr>
                <w:rFonts w:hint="eastAsia"/>
                <w:lang w:eastAsia="zh-CN"/>
              </w:rPr>
              <w:t>适应我公司</w:t>
            </w:r>
            <w:r>
              <w:rPr>
                <w:color w:val="000000"/>
                <w:lang w:eastAsia="zh-CN"/>
              </w:rPr>
              <w:t>工作环境洁净级别：</w:t>
            </w:r>
            <w:r>
              <w:rPr>
                <w:lang w:eastAsia="zh-CN"/>
              </w:rPr>
              <w:t>A级</w:t>
            </w:r>
            <w:r>
              <w:rPr>
                <w:rFonts w:hint="eastAsia"/>
                <w:lang w:eastAsia="zh-CN"/>
              </w:rPr>
              <w:t>、</w:t>
            </w:r>
            <w:r>
              <w:rPr>
                <w:lang w:eastAsia="zh-CN"/>
              </w:rPr>
              <w:t>B级</w:t>
            </w:r>
            <w:r>
              <w:rPr>
                <w:rFonts w:hint="eastAsia"/>
                <w:lang w:eastAsia="zh-CN"/>
              </w:rPr>
              <w:t>、</w:t>
            </w:r>
            <w:r>
              <w:rPr>
                <w:lang w:eastAsia="zh-CN"/>
              </w:rPr>
              <w:t>C级</w:t>
            </w:r>
            <w:r>
              <w:rPr>
                <w:rFonts w:hint="eastAsia"/>
                <w:lang w:eastAsia="zh-CN"/>
              </w:rPr>
              <w:t>、</w:t>
            </w:r>
            <w:r>
              <w:rPr>
                <w:lang w:eastAsia="zh-CN"/>
              </w:rPr>
              <w:t>D级</w:t>
            </w:r>
            <w:r>
              <w:rPr>
                <w:rFonts w:hint="eastAsia"/>
                <w:lang w:val="en-US" w:eastAsia="zh-CN"/>
              </w:rPr>
              <w:t>及生物安全防护区域。</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lang w:eastAsia="zh-CN"/>
              </w:rPr>
            </w:pPr>
            <w:r>
              <w:rPr>
                <w:rFonts w:hint="eastAsia"/>
                <w:lang w:eastAsia="zh-CN"/>
              </w:rPr>
              <w:t>适应我公司</w:t>
            </w:r>
            <w:r>
              <w:rPr>
                <w:lang w:eastAsia="zh-CN"/>
              </w:rPr>
              <w:t>交流电电源：～220±10%V，50±1Hz</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i/>
                <w:color w:val="000000"/>
                <w:lang w:eastAsia="zh-CN"/>
              </w:rPr>
            </w:pPr>
            <w:r>
              <w:rPr>
                <w:color w:val="000000"/>
                <w:szCs w:val="21"/>
                <w:lang w:eastAsia="zh-CN"/>
              </w:rPr>
              <w:t>设备外观应端正、整齐，不得有明显的偏歪、毛刺和锈蚀等缺陷。形状便于放置在所需检测的位置。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color w:val="000000"/>
                <w:szCs w:val="21"/>
                <w:lang w:eastAsia="zh-CN"/>
              </w:rPr>
              <w:t>仪器的外壳是坚固的</w:t>
            </w:r>
            <w:r>
              <w:rPr>
                <w:rFonts w:hint="eastAsia"/>
                <w:color w:val="000000"/>
                <w:szCs w:val="21"/>
                <w:lang w:eastAsia="zh-CN"/>
              </w:rPr>
              <w:t>且</w:t>
            </w:r>
            <w:r>
              <w:rPr>
                <w:color w:val="000000"/>
                <w:szCs w:val="21"/>
                <w:lang w:eastAsia="zh-CN"/>
              </w:rPr>
              <w:t>耐受消毒剂消毒。当内部零件维修和再校准时，很容易组装。</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标识</w:t>
            </w:r>
            <w:r>
              <w:rPr>
                <w:rFonts w:hint="eastAsia"/>
                <w:szCs w:val="21"/>
                <w:lang w:eastAsia="zh-CN"/>
              </w:rPr>
              <w:t xml:space="preserve">：至少应有以下永久贴牢和清楚易认的标识： </w:t>
            </w:r>
          </w:p>
          <w:p>
            <w:pPr>
              <w:spacing w:line="276" w:lineRule="auto"/>
              <w:jc w:val="both"/>
              <w:rPr>
                <w:szCs w:val="21"/>
                <w:lang w:eastAsia="zh-CN"/>
              </w:rPr>
            </w:pPr>
            <w:r>
              <w:rPr>
                <w:rFonts w:hint="eastAsia"/>
                <w:szCs w:val="21"/>
                <w:lang w:eastAsia="zh-CN"/>
              </w:rPr>
              <w:t>（1）制造/供应单位；</w:t>
            </w:r>
          </w:p>
          <w:p>
            <w:pPr>
              <w:spacing w:line="276" w:lineRule="auto"/>
              <w:jc w:val="both"/>
              <w:rPr>
                <w:szCs w:val="21"/>
                <w:lang w:eastAsia="zh-CN"/>
              </w:rPr>
            </w:pPr>
            <w:r>
              <w:rPr>
                <w:rFonts w:hint="eastAsia"/>
                <w:szCs w:val="21"/>
                <w:lang w:eastAsia="zh-CN"/>
              </w:rPr>
              <w:t>（2）产品注册号；</w:t>
            </w:r>
          </w:p>
          <w:p>
            <w:pPr>
              <w:spacing w:line="276" w:lineRule="auto"/>
              <w:jc w:val="both"/>
              <w:rPr>
                <w:szCs w:val="21"/>
                <w:lang w:eastAsia="zh-CN"/>
              </w:rPr>
            </w:pPr>
            <w:r>
              <w:rPr>
                <w:rFonts w:hint="eastAsia"/>
                <w:szCs w:val="21"/>
                <w:lang w:eastAsia="zh-CN"/>
              </w:rPr>
              <w:t>（3）型号；</w:t>
            </w:r>
          </w:p>
          <w:p>
            <w:pPr>
              <w:spacing w:line="276" w:lineRule="auto"/>
              <w:jc w:val="both"/>
              <w:rPr>
                <w:szCs w:val="21"/>
                <w:lang w:eastAsia="zh-CN"/>
              </w:rPr>
            </w:pPr>
            <w:r>
              <w:rPr>
                <w:rFonts w:hint="eastAsia"/>
                <w:szCs w:val="21"/>
                <w:lang w:eastAsia="zh-CN"/>
              </w:rPr>
              <w:t>（4）生产日期或编号；</w:t>
            </w:r>
          </w:p>
          <w:p>
            <w:pPr>
              <w:spacing w:line="276" w:lineRule="auto"/>
              <w:jc w:val="both"/>
              <w:rPr>
                <w:szCs w:val="21"/>
                <w:lang w:eastAsia="zh-CN"/>
              </w:rPr>
            </w:pPr>
            <w:r>
              <w:rPr>
                <w:rFonts w:hint="eastAsia"/>
                <w:szCs w:val="21"/>
                <w:lang w:eastAsia="zh-CN"/>
              </w:rPr>
              <w:t>（5）对设备必要的说明；</w:t>
            </w:r>
          </w:p>
          <w:p>
            <w:pPr>
              <w:pStyle w:val="7"/>
              <w:spacing w:line="276" w:lineRule="auto"/>
              <w:rPr>
                <w:color w:val="0070C0"/>
                <w:sz w:val="21"/>
                <w:szCs w:val="21"/>
                <w:lang w:eastAsia="zh-CN"/>
              </w:rPr>
            </w:pPr>
            <w:r>
              <w:rPr>
                <w:rFonts w:hint="eastAsia"/>
                <w:sz w:val="21"/>
                <w:szCs w:val="21"/>
                <w:lang w:eastAsia="zh-CN"/>
              </w:rPr>
              <w:t>（6）安全标识。</w:t>
            </w:r>
          </w:p>
        </w:tc>
        <w:tc>
          <w:tcPr>
            <w:tcW w:w="2125" w:type="dxa"/>
            <w:shd w:val="clear" w:color="auto" w:fill="auto"/>
            <w:vAlign w:val="center"/>
          </w:tcPr>
          <w:p>
            <w:pPr>
              <w:jc w:val="center"/>
              <w:rPr>
                <w:szCs w:val="21"/>
                <w:lang w:eastAsia="zh-CN"/>
              </w:rPr>
            </w:pPr>
            <w:r>
              <w:rPr>
                <w:rFonts w:hint="eastAsia"/>
                <w:szCs w:val="21"/>
                <w:lang w:eastAsia="zh-CN"/>
              </w:rPr>
              <w:t>关键</w:t>
            </w:r>
          </w:p>
        </w:tc>
      </w:tr>
      <w:bookmarkEnd w:id="23"/>
      <w:bookmarkEnd w:id="24"/>
      <w:permEnd w:id="19"/>
    </w:tbl>
    <w:p>
      <w:pPr>
        <w:pStyle w:val="32"/>
        <w:spacing w:after="158" w:afterLines="50"/>
        <w:ind w:left="425" w:firstLine="0" w:firstLineChars="0"/>
        <w:rPr>
          <w:rFonts w:ascii="Times New Roman" w:hAnsi="Times New Roman"/>
          <w:szCs w:val="21"/>
        </w:rPr>
      </w:pPr>
    </w:p>
    <w:p>
      <w:pPr>
        <w:pStyle w:val="32"/>
        <w:spacing w:after="158" w:afterLines="50"/>
        <w:ind w:left="425" w:firstLine="0" w:firstLineChars="0"/>
        <w:rPr>
          <w:rFonts w:ascii="Times New Roman" w:hAnsi="Times New Roman"/>
          <w:szCs w:val="21"/>
        </w:rPr>
      </w:pPr>
    </w:p>
    <w:p>
      <w:pPr>
        <w:pStyle w:val="32"/>
        <w:spacing w:after="158" w:afterLines="50"/>
        <w:ind w:left="425" w:firstLine="0" w:firstLineChars="0"/>
        <w:rPr>
          <w:rFonts w:ascii="Times New Roman" w:hAnsi="Times New Roman"/>
          <w:szCs w:val="21"/>
        </w:rPr>
      </w:pPr>
    </w:p>
    <w:p>
      <w:pPr>
        <w:pStyle w:val="32"/>
        <w:spacing w:after="158" w:afterLines="50"/>
        <w:ind w:left="425" w:firstLine="0" w:firstLineChars="0"/>
        <w:rPr>
          <w:rFonts w:ascii="Times New Roman" w:hAnsi="Times New Roman"/>
          <w:szCs w:val="21"/>
        </w:rPr>
      </w:pPr>
    </w:p>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p>
      <w:pPr>
        <w:pStyle w:val="42"/>
        <w:spacing w:before="0" w:line="360" w:lineRule="auto"/>
        <w:ind w:left="357"/>
        <w:jc w:val="left"/>
        <w:rPr>
          <w:bCs/>
          <w:i/>
          <w:color w:val="4472C4"/>
          <w:kern w:val="44"/>
          <w:szCs w:val="21"/>
          <w:lang w:eastAsia="zh-CN"/>
        </w:rPr>
      </w:pPr>
      <w:permStart w:id="20" w:edGrp="everyone"/>
    </w:p>
    <w:permEnd w:id="20"/>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21" w:edGrp="everyone"/>
          </w:p>
        </w:tc>
        <w:tc>
          <w:tcPr>
            <w:tcW w:w="9253" w:type="dxa"/>
            <w:gridSpan w:val="2"/>
            <w:shd w:val="clear" w:color="auto" w:fill="auto"/>
            <w:vAlign w:val="center"/>
          </w:tcPr>
          <w:p>
            <w:pPr>
              <w:jc w:val="both"/>
              <w:rPr>
                <w:szCs w:val="21"/>
                <w:lang w:eastAsia="zh-CN"/>
              </w:rPr>
            </w:pPr>
            <w:r>
              <w:rPr>
                <w:rFonts w:hint="eastAsia"/>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22" w:edGrp="everyone"/>
          </w:p>
        </w:tc>
        <w:tc>
          <w:tcPr>
            <w:tcW w:w="9253" w:type="dxa"/>
            <w:gridSpan w:val="2"/>
            <w:shd w:val="clear" w:color="auto" w:fill="auto"/>
            <w:vAlign w:val="center"/>
          </w:tcPr>
          <w:p>
            <w:pPr>
              <w:jc w:val="both"/>
              <w:rPr>
                <w:szCs w:val="21"/>
                <w:lang w:eastAsia="zh-CN"/>
              </w:rPr>
            </w:pPr>
            <w:r>
              <w:rPr>
                <w:rFonts w:hint="eastAsia"/>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体积流量：28.3 或 56.6l/min。调整样品体积流量的精度：±5％</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rFonts w:hint="eastAsia" w:ascii="Times New Roman" w:hAnsi="Times New Roman" w:eastAsia="宋体" w:cs="Times New Roman"/>
                <w:sz w:val="21"/>
                <w:szCs w:val="21"/>
                <w:lang w:val="en-GB" w:eastAsia="zh-CN" w:bidi="ar-SA"/>
              </w:rPr>
            </w:pPr>
            <w:r>
              <w:rPr>
                <w:rFonts w:hint="eastAsia"/>
                <w:szCs w:val="21"/>
                <w:lang w:eastAsia="zh-CN"/>
              </w:rPr>
              <w:t>HEPA胶囊：过滤器效率99,97％@ 0.3μm颗粒</w:t>
            </w:r>
          </w:p>
        </w:tc>
        <w:tc>
          <w:tcPr>
            <w:tcW w:w="2125" w:type="dxa"/>
            <w:shd w:val="clear" w:color="auto" w:fill="auto"/>
            <w:vAlign w:val="center"/>
          </w:tcPr>
          <w:p>
            <w:pPr>
              <w:jc w:val="center"/>
              <w:rPr>
                <w:rFonts w:hint="eastAsia" w:ascii="Times New Roman" w:hAnsi="Times New Roman" w:eastAsia="宋体" w:cs="Times New Roman"/>
                <w:sz w:val="21"/>
                <w:szCs w:val="21"/>
                <w:lang w:val="en-GB" w:eastAsia="zh-CN" w:bidi="ar-SA"/>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rFonts w:hint="eastAsia" w:ascii="Times New Roman" w:hAnsi="Times New Roman" w:eastAsia="宋体" w:cs="Times New Roman"/>
                <w:sz w:val="21"/>
                <w:szCs w:val="21"/>
                <w:lang w:val="en-US" w:eastAsia="zh-CN" w:bidi="ar-SA"/>
              </w:rPr>
            </w:pPr>
            <w:r>
              <w:rPr>
                <w:rFonts w:hint="eastAsia"/>
                <w:szCs w:val="21"/>
                <w:lang w:eastAsia="zh-CN"/>
              </w:rPr>
              <w:t>应用压力范围：±30 kPa（300mbar）</w:t>
            </w:r>
            <w:r>
              <w:rPr>
                <w:rFonts w:hint="eastAsia"/>
                <w:szCs w:val="21"/>
                <w:lang w:val="en-US" w:eastAsia="zh-CN"/>
              </w:rPr>
              <w:t>。</w:t>
            </w:r>
          </w:p>
        </w:tc>
        <w:tc>
          <w:tcPr>
            <w:tcW w:w="2125" w:type="dxa"/>
            <w:shd w:val="clear" w:color="auto" w:fill="auto"/>
            <w:vAlign w:val="center"/>
          </w:tcPr>
          <w:p>
            <w:pPr>
              <w:jc w:val="center"/>
              <w:rPr>
                <w:rFonts w:hint="eastAsia" w:ascii="Times New Roman" w:hAnsi="Times New Roman" w:eastAsia="宋体" w:cs="Times New Roman"/>
                <w:sz w:val="21"/>
                <w:szCs w:val="21"/>
                <w:lang w:val="en-GB" w:eastAsia="zh-CN" w:bidi="ar-SA"/>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rFonts w:hint="eastAsia"/>
                <w:szCs w:val="21"/>
                <w:lang w:eastAsia="zh-CN"/>
              </w:rPr>
            </w:pPr>
            <w:r>
              <w:rPr>
                <w:rFonts w:hint="eastAsia" w:ascii="Times New Roman" w:hAnsi="Times New Roman" w:eastAsia="宋体" w:cs="Times New Roman"/>
                <w:kern w:val="0"/>
                <w:sz w:val="21"/>
                <w:szCs w:val="21"/>
                <w:lang w:val="en-GB" w:eastAsia="zh-CN" w:bidi="ar-SA"/>
              </w:rPr>
              <w:t>最小寿命为60000h保证在28l / min体积流量时，具有1000个颗粒/ cm3</w:t>
            </w:r>
            <w:r>
              <w:rPr>
                <w:rFonts w:hint="eastAsia" w:cs="Times New Roman"/>
                <w:kern w:val="0"/>
                <w:sz w:val="21"/>
                <w:szCs w:val="21"/>
                <w:lang w:val="en-GB" w:eastAsia="zh-CN" w:bidi="ar-SA"/>
              </w:rPr>
              <w:t>。</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rFonts w:hint="eastAsia"/>
                <w:szCs w:val="21"/>
                <w:lang w:eastAsia="zh-CN"/>
              </w:rPr>
            </w:pPr>
            <w:r>
              <w:rPr>
                <w:rFonts w:hint="eastAsia" w:ascii="Times New Roman" w:hAnsi="Times New Roman" w:eastAsia="宋体" w:cs="Times New Roman"/>
                <w:kern w:val="0"/>
                <w:sz w:val="21"/>
                <w:szCs w:val="21"/>
                <w:lang w:val="en-GB" w:eastAsia="zh-CN" w:bidi="ar-SA"/>
              </w:rPr>
              <w:t>气溶胶的垂直流动管道也保证对于粗颗粒的最小沉积</w:t>
            </w:r>
            <w:r>
              <w:rPr>
                <w:rFonts w:hint="eastAsia" w:cs="Times New Roman"/>
                <w:kern w:val="0"/>
                <w:sz w:val="21"/>
                <w:szCs w:val="21"/>
                <w:lang w:val="en-GB" w:eastAsia="zh-CN" w:bidi="ar-SA"/>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Times New Roman" w:hAnsi="Times New Roman" w:eastAsia="宋体" w:cs="Times New Roman"/>
                <w:kern w:val="0"/>
                <w:sz w:val="21"/>
                <w:szCs w:val="21"/>
                <w:lang w:val="en-GB" w:eastAsia="zh-CN" w:bidi="ar-SA"/>
              </w:rPr>
              <w:t>即使在变化的操作条件下，</w:t>
            </w:r>
            <w:r>
              <w:rPr>
                <w:rFonts w:hint="eastAsia" w:cs="Times New Roman"/>
                <w:kern w:val="0"/>
                <w:sz w:val="21"/>
                <w:szCs w:val="21"/>
                <w:lang w:val="en-US" w:eastAsia="zh-CN" w:bidi="ar-SA"/>
              </w:rPr>
              <w:t>可实现</w:t>
            </w:r>
            <w:r>
              <w:rPr>
                <w:rFonts w:hint="eastAsia" w:ascii="Times New Roman" w:hAnsi="Times New Roman" w:eastAsia="宋体" w:cs="Times New Roman"/>
                <w:kern w:val="0"/>
                <w:sz w:val="21"/>
                <w:szCs w:val="21"/>
                <w:lang w:val="en-GB" w:eastAsia="zh-CN" w:bidi="ar-SA"/>
              </w:rPr>
              <w:t>恒定和可重复的气溶胶稀释</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bookmarkStart w:id="27" w:name="_Toc522716122"/>
            <w:bookmarkStart w:id="28" w:name="_Toc522107742"/>
            <w:bookmarkStart w:id="29" w:name="_Toc482369815"/>
            <w:bookmarkStart w:id="30" w:name="_Toc482370071"/>
            <w:bookmarkStart w:id="31" w:name="_Toc482717202"/>
            <w:bookmarkStart w:id="32" w:name="_Toc483400317"/>
            <w:bookmarkStart w:id="33" w:name="_Toc482370151"/>
            <w:bookmarkStart w:id="34" w:name="_Toc482360291"/>
            <w:bookmarkStart w:id="35" w:name="_Toc483227237"/>
            <w:bookmarkStart w:id="36" w:name="_Toc482370767"/>
            <w:bookmarkStart w:id="37" w:name="_Toc482370359"/>
            <w:bookmarkStart w:id="38" w:name="_Toc482625289"/>
            <w:bookmarkStart w:id="39" w:name="_Toc481702480"/>
            <w:bookmarkStart w:id="40" w:name="_Toc482359946"/>
          </w:p>
        </w:tc>
        <w:tc>
          <w:tcPr>
            <w:tcW w:w="7128" w:type="dxa"/>
            <w:shd w:val="clear" w:color="auto" w:fill="auto"/>
            <w:vAlign w:val="center"/>
          </w:tcPr>
          <w:p>
            <w:pPr>
              <w:spacing w:line="276" w:lineRule="auto"/>
              <w:jc w:val="both"/>
              <w:rPr>
                <w:rFonts w:hint="eastAsia" w:ascii="Times New Roman" w:hAnsi="Times New Roman" w:eastAsia="宋体" w:cs="Times New Roman"/>
                <w:kern w:val="0"/>
                <w:sz w:val="21"/>
                <w:szCs w:val="21"/>
                <w:lang w:val="en-GB" w:eastAsia="zh-CN" w:bidi="ar-SA"/>
              </w:rPr>
            </w:pPr>
            <w:r>
              <w:rPr>
                <w:rFonts w:hint="eastAsia" w:ascii="Times New Roman" w:hAnsi="Times New Roman" w:eastAsia="宋体" w:cs="Times New Roman"/>
                <w:kern w:val="0"/>
                <w:sz w:val="21"/>
                <w:szCs w:val="21"/>
                <w:lang w:val="en-GB" w:eastAsia="zh-CN" w:bidi="ar-SA"/>
              </w:rPr>
              <w:t>长期使用寿命和可靠性，</w:t>
            </w:r>
            <w:r>
              <w:rPr>
                <w:rFonts w:hint="eastAsia" w:cs="Times New Roman"/>
                <w:kern w:val="0"/>
                <w:sz w:val="21"/>
                <w:szCs w:val="21"/>
                <w:lang w:val="en-US" w:eastAsia="zh-CN" w:bidi="ar-SA"/>
              </w:rPr>
              <w:t>降低</w:t>
            </w:r>
            <w:r>
              <w:rPr>
                <w:rFonts w:hint="eastAsia" w:ascii="Times New Roman" w:hAnsi="Times New Roman" w:eastAsia="宋体" w:cs="Times New Roman"/>
                <w:kern w:val="0"/>
                <w:sz w:val="21"/>
                <w:szCs w:val="21"/>
                <w:lang w:val="en-GB" w:eastAsia="zh-CN" w:bidi="ar-SA"/>
              </w:rPr>
              <w:t>维护要求</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Times New Roman" w:hAnsi="Times New Roman" w:eastAsia="宋体" w:cs="Times New Roman"/>
                <w:kern w:val="0"/>
                <w:sz w:val="21"/>
                <w:szCs w:val="21"/>
                <w:lang w:val="en-GB" w:eastAsia="zh-CN" w:bidi="ar-SA"/>
              </w:rPr>
            </w:pPr>
            <w:r>
              <w:rPr>
                <w:rFonts w:hint="eastAsia" w:ascii="Times New Roman" w:hAnsi="Times New Roman" w:eastAsia="宋体" w:cs="Times New Roman"/>
                <w:kern w:val="0"/>
                <w:sz w:val="21"/>
                <w:szCs w:val="21"/>
                <w:lang w:val="en-GB" w:eastAsia="zh-CN" w:bidi="ar-SA"/>
              </w:rPr>
              <w:t>在过压和欠压模式下的精确操作</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随着颗粒计数器自启动系统</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permEnd w:id="27"/>
    </w:tbl>
    <w:p>
      <w:pPr>
        <w:pStyle w:val="32"/>
        <w:numPr>
          <w:ilvl w:val="0"/>
          <w:numId w:val="0"/>
        </w:numPr>
        <w:spacing w:after="158" w:afterLines="50"/>
        <w:outlineLvl w:val="0"/>
        <w:rPr>
          <w:rFonts w:ascii="Times New Roman" w:hAnsi="Times New Roman"/>
          <w:b/>
        </w:rPr>
      </w:pPr>
    </w:p>
    <w:p>
      <w:pPr>
        <w:pStyle w:val="32"/>
        <w:numPr>
          <w:ilvl w:val="0"/>
          <w:numId w:val="0"/>
        </w:numPr>
        <w:spacing w:after="158" w:afterLines="50"/>
        <w:outlineLvl w:val="0"/>
        <w:rPr>
          <w:rFonts w:ascii="Times New Roman" w:hAnsi="Times New Roman"/>
          <w:b/>
        </w:rPr>
      </w:pPr>
    </w:p>
    <w:p>
      <w:pPr>
        <w:pStyle w:val="32"/>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27"/>
    </w:p>
    <w:p>
      <w:pPr>
        <w:pStyle w:val="42"/>
        <w:spacing w:before="0" w:line="360" w:lineRule="auto"/>
        <w:ind w:left="425"/>
        <w:jc w:val="left"/>
        <w:rPr>
          <w:i/>
          <w:color w:val="4472C4"/>
          <w:szCs w:val="21"/>
          <w:lang w:eastAsia="zh-CN"/>
        </w:rPr>
      </w:pPr>
      <w:permStart w:id="28" w:edGrp="everyone"/>
    </w:p>
    <w:permEnd w:id="28"/>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leftChars="0" w:hanging="120" w:firstLineChars="0"/>
              <w:rPr>
                <w:rFonts w:ascii="Times New Roman" w:hAnsi="Times New Roman"/>
                <w:szCs w:val="21"/>
              </w:rPr>
            </w:pPr>
            <w:permStart w:id="29" w:edGrp="everyone"/>
          </w:p>
        </w:tc>
        <w:tc>
          <w:tcPr>
            <w:tcW w:w="7128" w:type="dxa"/>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leftChars="0" w:right="0" w:rightChars="0"/>
              <w:jc w:val="left"/>
              <w:rPr>
                <w:szCs w:val="21"/>
                <w:lang w:val="en-US" w:eastAsia="zh-CN"/>
              </w:rPr>
            </w:pPr>
            <w:r>
              <w:rPr>
                <w:rFonts w:hint="eastAsia" w:ascii="Times New Roman" w:hAnsi="Times New Roman" w:eastAsia="宋体" w:cs="Times New Roman"/>
                <w:kern w:val="0"/>
                <w:sz w:val="21"/>
                <w:szCs w:val="21"/>
                <w:lang w:val="en-GB" w:eastAsia="zh-CN" w:bidi="ar-SA"/>
              </w:rPr>
              <w:t>连续控制和显示实际稀释比</w:t>
            </w:r>
            <w:r>
              <w:rPr>
                <w:rFonts w:hint="eastAsia" w:cs="Times New Roman"/>
                <w:kern w:val="0"/>
                <w:sz w:val="21"/>
                <w:szCs w:val="21"/>
                <w:lang w:val="en-GB" w:eastAsia="zh-CN" w:bidi="ar-SA"/>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leftChars="0" w:hanging="120" w:firstLineChars="0"/>
              <w:rPr>
                <w:rFonts w:ascii="Times New Roman" w:hAnsi="Times New Roman"/>
                <w:szCs w:val="21"/>
              </w:rPr>
            </w:pPr>
            <w:permStart w:id="30" w:edGrp="everyone"/>
          </w:p>
        </w:tc>
        <w:tc>
          <w:tcPr>
            <w:tcW w:w="7128" w:type="dxa"/>
            <w:shd w:val="clear" w:color="auto" w:fill="auto"/>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leftChars="0" w:right="0" w:rightChars="0"/>
              <w:jc w:val="left"/>
              <w:rPr>
                <w:rFonts w:hint="eastAsia" w:ascii="Times New Roman" w:hAnsi="Times New Roman" w:eastAsia="宋体" w:cs="Times New Roman"/>
                <w:kern w:val="0"/>
                <w:sz w:val="21"/>
                <w:szCs w:val="21"/>
                <w:lang w:val="en-GB" w:eastAsia="zh-CN" w:bidi="ar-SA"/>
              </w:rPr>
            </w:pPr>
            <w:r>
              <w:rPr>
                <w:rFonts w:hint="eastAsia" w:cs="Times New Roman"/>
                <w:kern w:val="0"/>
                <w:sz w:val="21"/>
                <w:szCs w:val="21"/>
                <w:lang w:val="en-US" w:eastAsia="zh-CN" w:bidi="ar-SA"/>
              </w:rPr>
              <w:t>能</w:t>
            </w:r>
            <w:r>
              <w:rPr>
                <w:rFonts w:hint="eastAsia" w:ascii="Times New Roman" w:hAnsi="Times New Roman" w:eastAsia="宋体" w:cs="Times New Roman"/>
                <w:kern w:val="0"/>
                <w:sz w:val="21"/>
                <w:szCs w:val="21"/>
                <w:lang w:val="en-GB" w:eastAsia="zh-CN" w:bidi="ar-SA"/>
              </w:rPr>
              <w:t>修改用户定义的要求（流速，稀释比）</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31"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31"/>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2"/>
        <w:spacing w:before="0" w:line="360" w:lineRule="auto"/>
        <w:ind w:left="357"/>
        <w:jc w:val="left"/>
        <w:rPr>
          <w:i/>
          <w:color w:val="4472C4"/>
          <w:szCs w:val="21"/>
          <w:lang w:eastAsia="zh-CN"/>
        </w:rPr>
      </w:pPr>
      <w:permStart w:id="32" w:edGrp="everyone"/>
    </w:p>
    <w:permEnd w:id="32"/>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33"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有断电保护措施，如果设备有故障或失效的情况，元件必须包含所有必要的保护装置以确保设备和物品保持在一个安全的状态；确保人员、设备和产品的安全状态。</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4"/>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p>
      <w:pPr>
        <w:pStyle w:val="42"/>
        <w:spacing w:before="0" w:line="360" w:lineRule="auto"/>
        <w:ind w:left="357"/>
        <w:jc w:val="left"/>
        <w:rPr>
          <w:i/>
          <w:szCs w:val="21"/>
          <w:lang w:eastAsia="zh-CN"/>
        </w:rPr>
      </w:pPr>
      <w:permStart w:id="35" w:edGrp="everyone"/>
    </w:p>
    <w:permEnd w:id="35"/>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jc w:val="both"/>
              <w:rPr>
                <w:szCs w:val="21"/>
                <w:lang w:eastAsia="zh-CN"/>
              </w:rPr>
            </w:pPr>
            <w:r>
              <w:rPr>
                <w:color w:val="000000"/>
                <w:szCs w:val="21"/>
                <w:lang w:eastAsia="zh-CN"/>
              </w:rPr>
              <w:t>投标文件、合同及订单。</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jc w:val="both"/>
              <w:rPr>
                <w:szCs w:val="21"/>
                <w:lang w:eastAsia="zh-CN"/>
              </w:rPr>
            </w:pPr>
            <w:r>
              <w:rPr>
                <w:color w:val="000000"/>
                <w:szCs w:val="21"/>
                <w:lang w:eastAsia="zh-CN"/>
              </w:rPr>
              <w:t>卖方发运清单及相关检验报告。</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color w:val="000000"/>
                <w:szCs w:val="21"/>
                <w:lang w:eastAsia="zh-CN"/>
              </w:rPr>
              <w:t>功能设计说明，配置清单与说明。</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color w:val="000000"/>
                <w:szCs w:val="21"/>
                <w:lang w:eastAsia="zh-CN"/>
              </w:rPr>
              <w:t>图纸：实物图；设备尺寸图、</w:t>
            </w:r>
            <w:r>
              <w:rPr>
                <w:szCs w:val="21"/>
                <w:lang w:eastAsia="zh-CN"/>
              </w:rPr>
              <w:t>必要的局部图及相关说明、</w:t>
            </w:r>
            <w:r>
              <w:rPr>
                <w:color w:val="000000"/>
                <w:szCs w:val="21"/>
                <w:lang w:eastAsia="zh-CN"/>
              </w:rPr>
              <w:t>图纸清单。</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color w:val="000000"/>
                <w:szCs w:val="21"/>
                <w:lang w:eastAsia="zh-CN"/>
              </w:rPr>
              <w:t>设备制造文件：工厂实验报告、材质（包括关键部件等）报告、合格证。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color w:val="000000"/>
                <w:szCs w:val="21"/>
                <w:lang w:eastAsia="zh-CN"/>
              </w:rPr>
              <w:t>材料清单及材料证书（写明材料有效期）。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color w:val="000000"/>
                <w:szCs w:val="21"/>
                <w:lang w:eastAsia="zh-CN"/>
              </w:rPr>
              <w:t>组件清单，包括名称、编号、对应厂家名称、生产地、规格及必要说明。</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fldChar w:fldCharType="begin"/>
            </w:r>
            <w:r>
              <w:instrText xml:space="preserve"> HYPERLINK "http://zhidao.baidu.com/question/476836105.html" \t "_blank" </w:instrText>
            </w:r>
            <w:r>
              <w:fldChar w:fldCharType="separate"/>
            </w:r>
            <w:r>
              <w:rPr>
                <w:color w:val="000000"/>
                <w:szCs w:val="21"/>
                <w:lang w:eastAsia="zh-CN"/>
              </w:rPr>
              <w:t>检定证书或校准证书或检测报告</w:t>
            </w:r>
            <w:r>
              <w:rPr>
                <w:color w:val="000000"/>
                <w:szCs w:val="21"/>
                <w:lang w:eastAsia="zh-CN"/>
              </w:rPr>
              <w:fldChar w:fldCharType="end"/>
            </w:r>
            <w:r>
              <w:rPr>
                <w:color w:val="000000"/>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color w:val="000000"/>
                <w:szCs w:val="21"/>
                <w:lang w:eastAsia="zh-CN"/>
              </w:rPr>
              <w:t>提供必要的设备及其零部件使用寿命说明并注明组件的保修期。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color w:val="000000"/>
                <w:szCs w:val="21"/>
                <w:lang w:eastAsia="zh-CN"/>
              </w:rPr>
              <w:t>使用操作说明书及维护保养说明书，所有技术、确认、说明文件均提供电子版。</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IQ、OQ、PQ文件</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permEnd w:id="37"/>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2"/>
        <w:spacing w:before="0" w:line="360" w:lineRule="auto"/>
        <w:ind w:left="357"/>
        <w:jc w:val="left"/>
        <w:rPr>
          <w:rFonts w:hint="default"/>
          <w:i/>
          <w:color w:val="4472C4"/>
          <w:szCs w:val="21"/>
          <w:lang w:val="en-US" w:eastAsia="zh-CN"/>
        </w:rPr>
      </w:pPr>
      <w:permStart w:id="38" w:edGrp="everyone"/>
    </w:p>
    <w:permEnd w:id="38"/>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11.1</w:t>
            </w: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11.2</w:t>
            </w:r>
            <w:permEnd w:id="41"/>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应配备可锁定的坚固运输箱，运输箱内部为聚合泡棉垫。</w:t>
            </w:r>
            <w:r>
              <w:rPr>
                <w:lang w:eastAsia="zh-CN"/>
              </w:rPr>
              <w:t>设备运输在运输途中需做好防护措施，不得有任何损伤。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11.3</w:t>
            </w:r>
            <w:permEnd w:id="42"/>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ermStart w:id="43" w:edGrp="everyone"/>
          </w:p>
        </w:tc>
        <w:tc>
          <w:tcPr>
            <w:tcW w:w="7128" w:type="dxa"/>
            <w:shd w:val="clear" w:color="auto" w:fill="auto"/>
            <w:vAlign w:val="center"/>
          </w:tcPr>
          <w:p>
            <w:pPr>
              <w:spacing w:line="360" w:lineRule="auto"/>
              <w:jc w:val="both"/>
              <w:rPr>
                <w:rFonts w:ascii="宋体" w:hAnsi="宋体"/>
                <w:szCs w:val="21"/>
                <w:lang w:eastAsia="zh-CN"/>
              </w:rPr>
            </w:pPr>
            <w:r>
              <w:rPr>
                <w:rFonts w:hint="eastAsia" w:ascii="宋体" w:hAnsi="宋体"/>
                <w:bCs/>
                <w:szCs w:val="21"/>
                <w:lang w:eastAsia="zh-CN"/>
              </w:rPr>
              <w:t>验证包括</w:t>
            </w:r>
            <w:r>
              <w:rPr>
                <w:rFonts w:hint="eastAsia" w:ascii="宋体" w:hAnsi="宋体"/>
                <w:bCs/>
                <w:color w:val="000000" w:themeColor="text1"/>
                <w:szCs w:val="21"/>
                <w:lang w:eastAsia="zh-CN"/>
              </w:rPr>
              <w:t>验证计划、系统评估、风险评估、</w:t>
            </w:r>
            <w:r>
              <w:rPr>
                <w:rFonts w:ascii="宋体" w:hAnsi="宋体"/>
                <w:bCs/>
                <w:color w:val="000000" w:themeColor="text1"/>
                <w:szCs w:val="21"/>
                <w:lang w:eastAsia="zh-CN"/>
              </w:rPr>
              <w:t>RTM</w:t>
            </w:r>
            <w:r>
              <w:rPr>
                <w:rFonts w:hint="eastAsia" w:ascii="宋体" w:hAnsi="宋体"/>
                <w:bCs/>
                <w:color w:val="000000" w:themeColor="text1"/>
                <w:szCs w:val="21"/>
                <w:lang w:eastAsia="zh-CN"/>
              </w:rPr>
              <w:t>、</w:t>
            </w:r>
            <w:r>
              <w:rPr>
                <w:rFonts w:ascii="宋体" w:hAnsi="宋体"/>
                <w:bCs/>
                <w:color w:val="000000" w:themeColor="text1"/>
                <w:szCs w:val="21"/>
                <w:lang w:eastAsia="zh-CN"/>
              </w:rPr>
              <w:t>VSR</w:t>
            </w:r>
            <w:r>
              <w:rPr>
                <w:rFonts w:hint="eastAsia" w:ascii="宋体" w:hAnsi="宋体"/>
                <w:bCs/>
                <w:color w:val="000000" w:themeColor="text1"/>
                <w:szCs w:val="21"/>
                <w:lang w:eastAsia="zh-CN"/>
              </w:rPr>
              <w:t>文件与服务，供应商必须派出具备该类系统验证经验，且熟悉验证相关文件编写及验证工作实施的验证工程师开展验证工作。</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hint="eastAsia" w:ascii="宋体" w:hAnsi="宋体"/>
                <w:bCs/>
                <w:szCs w:val="21"/>
                <w:lang w:eastAsia="zh-CN"/>
              </w:rPr>
            </w:pPr>
            <w:r>
              <w:rPr>
                <w:rFonts w:hint="eastAsia" w:ascii="宋体" w:hAnsi="宋体"/>
                <w:bCs/>
                <w:color w:val="000000" w:themeColor="text1"/>
                <w:szCs w:val="21"/>
                <w:lang w:val="en-US" w:eastAsia="zh-CN"/>
              </w:rPr>
              <w:t>DQ、</w:t>
            </w:r>
            <w:r>
              <w:rPr>
                <w:rFonts w:ascii="宋体" w:hAnsi="宋体"/>
                <w:bCs/>
                <w:color w:val="000000" w:themeColor="text1"/>
                <w:szCs w:val="21"/>
                <w:lang w:eastAsia="zh-CN"/>
              </w:rPr>
              <w:t>IQ</w:t>
            </w:r>
            <w:r>
              <w:rPr>
                <w:rFonts w:hint="eastAsia" w:ascii="宋体" w:hAnsi="宋体"/>
                <w:bCs/>
                <w:color w:val="000000" w:themeColor="text1"/>
                <w:szCs w:val="21"/>
                <w:lang w:eastAsia="zh-CN"/>
              </w:rPr>
              <w:t>、</w:t>
            </w:r>
            <w:r>
              <w:rPr>
                <w:rFonts w:ascii="宋体" w:hAnsi="宋体"/>
                <w:bCs/>
                <w:color w:val="000000" w:themeColor="text1"/>
                <w:szCs w:val="21"/>
                <w:lang w:eastAsia="zh-CN"/>
              </w:rPr>
              <w:t>OQ</w:t>
            </w:r>
            <w:r>
              <w:rPr>
                <w:rFonts w:hint="eastAsia" w:ascii="宋体" w:hAnsi="宋体"/>
                <w:bCs/>
                <w:color w:val="000000" w:themeColor="text1"/>
                <w:szCs w:val="21"/>
                <w:lang w:eastAsia="zh-CN"/>
              </w:rPr>
              <w:t>的验证工作，</w:t>
            </w:r>
            <w:r>
              <w:rPr>
                <w:rFonts w:hint="eastAsia" w:ascii="宋体" w:hAnsi="宋体"/>
                <w:bCs/>
                <w:color w:val="000000" w:themeColor="text1"/>
                <w:szCs w:val="21"/>
                <w:lang w:val="en-US" w:eastAsia="zh-CN"/>
              </w:rPr>
              <w:t>验证中必须包含计算机化系统验证。</w:t>
            </w:r>
          </w:p>
        </w:tc>
        <w:tc>
          <w:tcPr>
            <w:tcW w:w="2125" w:type="dxa"/>
            <w:shd w:val="clear" w:color="auto" w:fill="auto"/>
            <w:vAlign w:val="center"/>
          </w:tcPr>
          <w:p>
            <w:pPr>
              <w:spacing w:line="360" w:lineRule="auto"/>
              <w:jc w:val="center"/>
              <w:rPr>
                <w:rFonts w:hint="eastAsia"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投标方按</w:t>
            </w:r>
            <w:r>
              <w:rPr>
                <w:rFonts w:ascii="宋体" w:hAnsi="宋体"/>
                <w:bCs/>
                <w:szCs w:val="21"/>
                <w:lang w:eastAsia="zh-CN"/>
              </w:rPr>
              <w:t>GMP</w:t>
            </w:r>
            <w:r>
              <w:rPr>
                <w:rFonts w:hint="eastAsia" w:ascii="宋体" w:hAnsi="宋体"/>
                <w:bCs/>
                <w:szCs w:val="21"/>
                <w:lang w:eastAsia="zh-CN"/>
              </w:rPr>
              <w:t>规范完成</w:t>
            </w:r>
            <w:r>
              <w:rPr>
                <w:rFonts w:hint="eastAsia" w:ascii="宋体" w:hAnsi="宋体"/>
                <w:bCs/>
                <w:color w:val="000000" w:themeColor="text1"/>
                <w:szCs w:val="21"/>
                <w:lang w:eastAsia="zh-CN"/>
              </w:rPr>
              <w:t>所有验证</w:t>
            </w:r>
            <w:r>
              <w:rPr>
                <w:rFonts w:hint="eastAsia" w:ascii="宋体" w:hAnsi="宋体"/>
                <w:bCs/>
                <w:szCs w:val="21"/>
                <w:lang w:eastAsia="zh-CN"/>
              </w:rPr>
              <w:t>工作，并提供相应文件（文件必须符合我所</w:t>
            </w:r>
            <w:r>
              <w:rPr>
                <w:rFonts w:ascii="宋体" w:hAnsi="宋体"/>
                <w:bCs/>
                <w:szCs w:val="21"/>
                <w:lang w:eastAsia="zh-CN"/>
              </w:rPr>
              <w:t>QA</w:t>
            </w:r>
            <w:r>
              <w:rPr>
                <w:rFonts w:hint="eastAsia" w:ascii="宋体" w:hAnsi="宋体"/>
                <w:bCs/>
                <w:szCs w:val="21"/>
                <w:lang w:eastAsia="zh-CN"/>
              </w:rPr>
              <w:t>要求）。各验证工作开始前验证方案需经过本公司相关部门审核，并经质量保证部批准。</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验证工作应按时保质完成，供应商需提供验证工作计划表。</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验证项目应包含法规要求的测试项目，以及本公司提出的测试项目。</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验证工作完成后，验证记录经本公司相关部门审核，并经质量保证部批准。</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验收前，验证工作已成功完成，验证最终报告已经本公司相关部门审核，并经质量保证部批准。</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color w:val="FF0000"/>
                <w:szCs w:val="21"/>
              </w:rPr>
            </w:pPr>
          </w:p>
        </w:tc>
        <w:tc>
          <w:tcPr>
            <w:tcW w:w="7128" w:type="dxa"/>
            <w:shd w:val="clear" w:color="auto" w:fill="auto"/>
            <w:vAlign w:val="center"/>
          </w:tcPr>
          <w:p>
            <w:pPr>
              <w:spacing w:line="360" w:lineRule="auto"/>
              <w:jc w:val="both"/>
              <w:rPr>
                <w:rFonts w:ascii="宋体" w:hAnsi="宋体"/>
                <w:bCs/>
                <w:szCs w:val="21"/>
                <w:lang w:eastAsia="zh-CN"/>
              </w:rPr>
            </w:pPr>
            <w:r>
              <w:rPr>
                <w:rFonts w:hint="eastAsia" w:ascii="宋体" w:hAnsi="宋体"/>
                <w:bCs/>
                <w:szCs w:val="21"/>
                <w:lang w:eastAsia="zh-CN"/>
              </w:rPr>
              <w:t>验收前，验证工作已成功完成，验证最终报告已经本公司相关部门审核，并经质量保证部批准。</w:t>
            </w:r>
          </w:p>
        </w:tc>
        <w:tc>
          <w:tcPr>
            <w:tcW w:w="2125" w:type="dxa"/>
            <w:shd w:val="clear" w:color="auto" w:fill="auto"/>
            <w:vAlign w:val="center"/>
          </w:tcPr>
          <w:p>
            <w:pPr>
              <w:spacing w:line="360" w:lineRule="auto"/>
              <w:jc w:val="center"/>
              <w:rPr>
                <w:rFonts w:ascii="宋体" w:hAnsi="宋体"/>
                <w:szCs w:val="21"/>
                <w:lang w:eastAsia="zh-CN"/>
              </w:rPr>
            </w:pPr>
            <w:r>
              <w:rPr>
                <w:rFonts w:hint="eastAsia" w:ascii="宋体" w:hAnsi="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11.4</w:t>
            </w:r>
            <w:permEnd w:id="43"/>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设备保质期从确认验收的阶段开始计算。</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设备质保期至少为一年，一年内免费保修，一年后应提供良好的售后服务。</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售后服务必须响应及时，要求设备出现须厂家维修的故障后，应在4小时内明确答复，当电话沟通无法解决时，须24小时内派人至现场解决。</w:t>
            </w:r>
          </w:p>
        </w:tc>
        <w:tc>
          <w:tcPr>
            <w:tcW w:w="2125" w:type="dxa"/>
            <w:shd w:val="clear" w:color="auto" w:fill="auto"/>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厂家应提供合格的备件，用于设备相应部件的维修、更换。</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11.5</w:t>
            </w:r>
            <w:permEnd w:id="45"/>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货物到达使用现场后，由购买方（采购部、储运部、质量保证部、工程技术部四方一起验收入库）验收确认。</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7"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szCs w:val="21"/>
                <w:lang w:eastAsia="zh-CN"/>
              </w:rPr>
              <w:t>使用方检查确认数量、质量、外包装和相关资质证明是否符合本URS要求。若不符合按合同要求处理。</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7"/>
    </w:tbl>
    <w:p/>
    <w:p>
      <w:pPr>
        <w:pStyle w:val="32"/>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2"/>
        <w:spacing w:before="0" w:line="360" w:lineRule="auto"/>
        <w:ind w:left="357"/>
        <w:jc w:val="left"/>
        <w:rPr>
          <w:szCs w:val="21"/>
          <w:lang w:eastAsia="zh-CN"/>
        </w:rPr>
      </w:pPr>
      <w:permStart w:id="48" w:edGrp="everyone"/>
      <w:r>
        <w:rPr>
          <w:rFonts w:hint="eastAsia"/>
          <w:szCs w:val="21"/>
          <w:lang w:eastAsia="zh-CN"/>
        </w:rPr>
        <w:t>不适用</w:t>
      </w:r>
      <w:permEnd w:id="48"/>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3" w:hanging="420"/>
      </w:pPr>
      <w:rPr>
        <w:rFonts w:hint="eastAsia"/>
        <w:color w:val="auto"/>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5"/>
  </w:num>
  <w:num w:numId="6">
    <w:abstractNumId w:val="0"/>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5DA5"/>
    <w:rsid w:val="000169DD"/>
    <w:rsid w:val="00020FEA"/>
    <w:rsid w:val="00022818"/>
    <w:rsid w:val="000233DE"/>
    <w:rsid w:val="00023B07"/>
    <w:rsid w:val="00023CAD"/>
    <w:rsid w:val="0002457E"/>
    <w:rsid w:val="000275E7"/>
    <w:rsid w:val="000303D0"/>
    <w:rsid w:val="00031243"/>
    <w:rsid w:val="00031900"/>
    <w:rsid w:val="000355F3"/>
    <w:rsid w:val="00037846"/>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D1"/>
    <w:rsid w:val="00056AE2"/>
    <w:rsid w:val="00056E9E"/>
    <w:rsid w:val="00057046"/>
    <w:rsid w:val="000576C2"/>
    <w:rsid w:val="00063572"/>
    <w:rsid w:val="00063B90"/>
    <w:rsid w:val="00064A43"/>
    <w:rsid w:val="000662D2"/>
    <w:rsid w:val="00071DD4"/>
    <w:rsid w:val="00072340"/>
    <w:rsid w:val="00072945"/>
    <w:rsid w:val="00073B81"/>
    <w:rsid w:val="00074095"/>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39A"/>
    <w:rsid w:val="00121B6E"/>
    <w:rsid w:val="00122051"/>
    <w:rsid w:val="00124244"/>
    <w:rsid w:val="00124E69"/>
    <w:rsid w:val="00125CC1"/>
    <w:rsid w:val="001273B0"/>
    <w:rsid w:val="00127CB8"/>
    <w:rsid w:val="001313C3"/>
    <w:rsid w:val="00132F4C"/>
    <w:rsid w:val="00134C68"/>
    <w:rsid w:val="00135FD6"/>
    <w:rsid w:val="001374CF"/>
    <w:rsid w:val="001418E3"/>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67E6"/>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77AA4"/>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7309"/>
    <w:rsid w:val="001C017B"/>
    <w:rsid w:val="001C239E"/>
    <w:rsid w:val="001C2D7E"/>
    <w:rsid w:val="001C5190"/>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9AA"/>
    <w:rsid w:val="00240A09"/>
    <w:rsid w:val="00240B1E"/>
    <w:rsid w:val="00241437"/>
    <w:rsid w:val="0024371E"/>
    <w:rsid w:val="0024472D"/>
    <w:rsid w:val="00245088"/>
    <w:rsid w:val="00253242"/>
    <w:rsid w:val="002547BF"/>
    <w:rsid w:val="002548CA"/>
    <w:rsid w:val="0025531B"/>
    <w:rsid w:val="002560F9"/>
    <w:rsid w:val="00257517"/>
    <w:rsid w:val="00257FA9"/>
    <w:rsid w:val="00261154"/>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2BA"/>
    <w:rsid w:val="002A547B"/>
    <w:rsid w:val="002A588E"/>
    <w:rsid w:val="002A7980"/>
    <w:rsid w:val="002B0A7C"/>
    <w:rsid w:val="002B14F3"/>
    <w:rsid w:val="002B480A"/>
    <w:rsid w:val="002B67A2"/>
    <w:rsid w:val="002B6854"/>
    <w:rsid w:val="002C1817"/>
    <w:rsid w:val="002C1DAB"/>
    <w:rsid w:val="002C244E"/>
    <w:rsid w:val="002C2AA3"/>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37FE"/>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65419"/>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44E"/>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47723"/>
    <w:rsid w:val="00551539"/>
    <w:rsid w:val="00552EFE"/>
    <w:rsid w:val="00554ABB"/>
    <w:rsid w:val="0055552D"/>
    <w:rsid w:val="00555668"/>
    <w:rsid w:val="0055679E"/>
    <w:rsid w:val="0056090D"/>
    <w:rsid w:val="00561E9C"/>
    <w:rsid w:val="00565C7A"/>
    <w:rsid w:val="00567E14"/>
    <w:rsid w:val="005705A7"/>
    <w:rsid w:val="0057277E"/>
    <w:rsid w:val="00572F0E"/>
    <w:rsid w:val="005741DA"/>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6C57"/>
    <w:rsid w:val="005B2393"/>
    <w:rsid w:val="005B750A"/>
    <w:rsid w:val="005C049B"/>
    <w:rsid w:val="005C2B89"/>
    <w:rsid w:val="005C2FA7"/>
    <w:rsid w:val="005C386F"/>
    <w:rsid w:val="005C42AC"/>
    <w:rsid w:val="005C4D05"/>
    <w:rsid w:val="005C506B"/>
    <w:rsid w:val="005C5F48"/>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17E3"/>
    <w:rsid w:val="00607170"/>
    <w:rsid w:val="00607408"/>
    <w:rsid w:val="00610AEE"/>
    <w:rsid w:val="00616BAC"/>
    <w:rsid w:val="00620598"/>
    <w:rsid w:val="00620FEC"/>
    <w:rsid w:val="006214DC"/>
    <w:rsid w:val="006215E2"/>
    <w:rsid w:val="0062168F"/>
    <w:rsid w:val="006221A2"/>
    <w:rsid w:val="006259D1"/>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3AE3"/>
    <w:rsid w:val="00646987"/>
    <w:rsid w:val="006506CF"/>
    <w:rsid w:val="00650A76"/>
    <w:rsid w:val="00650CD0"/>
    <w:rsid w:val="00650DA4"/>
    <w:rsid w:val="00651DA5"/>
    <w:rsid w:val="00652D22"/>
    <w:rsid w:val="00656797"/>
    <w:rsid w:val="006571EC"/>
    <w:rsid w:val="00657606"/>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2CE8"/>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68A8"/>
    <w:rsid w:val="0077746F"/>
    <w:rsid w:val="007775FE"/>
    <w:rsid w:val="00780A5F"/>
    <w:rsid w:val="00784913"/>
    <w:rsid w:val="007854C9"/>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0AD1"/>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964"/>
    <w:rsid w:val="00827EA4"/>
    <w:rsid w:val="008301D6"/>
    <w:rsid w:val="008305B7"/>
    <w:rsid w:val="00830C78"/>
    <w:rsid w:val="00830FB9"/>
    <w:rsid w:val="00831273"/>
    <w:rsid w:val="00834968"/>
    <w:rsid w:val="00834B53"/>
    <w:rsid w:val="00840298"/>
    <w:rsid w:val="00840519"/>
    <w:rsid w:val="00841BE4"/>
    <w:rsid w:val="00845A53"/>
    <w:rsid w:val="00847E8C"/>
    <w:rsid w:val="008505E1"/>
    <w:rsid w:val="00850990"/>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2916"/>
    <w:rsid w:val="008B38E5"/>
    <w:rsid w:val="008B58C4"/>
    <w:rsid w:val="008B6CD2"/>
    <w:rsid w:val="008B72DD"/>
    <w:rsid w:val="008C050B"/>
    <w:rsid w:val="008C1132"/>
    <w:rsid w:val="008C302A"/>
    <w:rsid w:val="008C32D1"/>
    <w:rsid w:val="008C3E42"/>
    <w:rsid w:val="008C4B72"/>
    <w:rsid w:val="008C5279"/>
    <w:rsid w:val="008C527D"/>
    <w:rsid w:val="008C5C9F"/>
    <w:rsid w:val="008C6773"/>
    <w:rsid w:val="008C72BB"/>
    <w:rsid w:val="008D078D"/>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46AF5"/>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271C5"/>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2A9"/>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37289"/>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6A00"/>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015D"/>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8CB"/>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3AAB"/>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5563"/>
    <w:rsid w:val="00DA070D"/>
    <w:rsid w:val="00DA07C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C7817"/>
    <w:rsid w:val="00DD090A"/>
    <w:rsid w:val="00DD2421"/>
    <w:rsid w:val="00DD3222"/>
    <w:rsid w:val="00DD3D81"/>
    <w:rsid w:val="00DD571C"/>
    <w:rsid w:val="00DD64E1"/>
    <w:rsid w:val="00DE039A"/>
    <w:rsid w:val="00DE0403"/>
    <w:rsid w:val="00DE47AB"/>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1A31"/>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D75E1"/>
    <w:rsid w:val="00EE05EE"/>
    <w:rsid w:val="00EE0AE2"/>
    <w:rsid w:val="00EE35B4"/>
    <w:rsid w:val="00EE40CA"/>
    <w:rsid w:val="00EE5643"/>
    <w:rsid w:val="00EE7CEC"/>
    <w:rsid w:val="00EF056E"/>
    <w:rsid w:val="00EF08A8"/>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2CD"/>
    <w:rsid w:val="00F10C82"/>
    <w:rsid w:val="00F1319C"/>
    <w:rsid w:val="00F13B2E"/>
    <w:rsid w:val="00F176A0"/>
    <w:rsid w:val="00F20174"/>
    <w:rsid w:val="00F22098"/>
    <w:rsid w:val="00F223BC"/>
    <w:rsid w:val="00F23780"/>
    <w:rsid w:val="00F26185"/>
    <w:rsid w:val="00F3178C"/>
    <w:rsid w:val="00F33DE5"/>
    <w:rsid w:val="00F34B8F"/>
    <w:rsid w:val="00F34C51"/>
    <w:rsid w:val="00F36D7F"/>
    <w:rsid w:val="00F37186"/>
    <w:rsid w:val="00F42FCF"/>
    <w:rsid w:val="00F44A83"/>
    <w:rsid w:val="00F4534E"/>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B2B"/>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6BF"/>
    <w:rsid w:val="00FF48DA"/>
    <w:rsid w:val="00FF5E19"/>
    <w:rsid w:val="00FF61AD"/>
    <w:rsid w:val="00FF76BD"/>
    <w:rsid w:val="06F32FC7"/>
    <w:rsid w:val="0C040AF1"/>
    <w:rsid w:val="10853717"/>
    <w:rsid w:val="10D83278"/>
    <w:rsid w:val="16CC183F"/>
    <w:rsid w:val="1F592306"/>
    <w:rsid w:val="1FF96F32"/>
    <w:rsid w:val="2A38757B"/>
    <w:rsid w:val="2EB7261C"/>
    <w:rsid w:val="378B4FAA"/>
    <w:rsid w:val="38095977"/>
    <w:rsid w:val="56F66938"/>
    <w:rsid w:val="5713524B"/>
    <w:rsid w:val="6590143D"/>
    <w:rsid w:val="6944318A"/>
    <w:rsid w:val="6ADD1256"/>
    <w:rsid w:val="7D6E6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Char2"/>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Revision"/>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Char"/>
    <w:link w:val="6"/>
    <w:semiHidden/>
    <w:qFormat/>
    <w:uiPriority w:val="0"/>
    <w:rPr>
      <w:sz w:val="24"/>
      <w:lang w:val="en-GB" w:eastAsia="en-US"/>
    </w:rPr>
  </w:style>
  <w:style w:type="paragraph" w:customStyle="1" w:styleId="34">
    <w:name w:val="TOC Heading"/>
    <w:basedOn w:val="2"/>
    <w:next w:val="1"/>
    <w:qFormat/>
    <w:uiPriority w:val="39"/>
    <w:pPr>
      <w:numPr>
        <w:numId w:val="0"/>
      </w:numPr>
      <w:outlineLvl w:val="9"/>
    </w:pPr>
  </w:style>
  <w:style w:type="character" w:customStyle="1" w:styleId="35">
    <w:name w:val="页脚 Char"/>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Char"/>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0"/>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674</Words>
  <Characters>3844</Characters>
  <Lines>32</Lines>
  <Paragraphs>9</Paragraphs>
  <TotalTime>0</TotalTime>
  <ScaleCrop>false</ScaleCrop>
  <LinksUpToDate>false</LinksUpToDate>
  <CharactersWithSpaces>4509</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2022-02-18T06:09:00Z</cp:lastPrinted>
  <dcterms:modified xsi:type="dcterms:W3CDTF">2022-05-31T06:36:21Z</dcterms:modified>
  <dc:title>生效期：</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BA2D699267B646A38CED95BB27CC5640</vt:lpwstr>
  </property>
</Properties>
</file>