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400307"/>
      <w:bookmarkStart w:id="2" w:name="_Toc483666358"/>
      <w:bookmarkStart w:id="3" w:name="_Toc484532399"/>
      <w:bookmarkStart w:id="4" w:name="_Toc483227223"/>
    </w:p>
    <w:p>
      <w:pPr>
        <w:spacing w:after="158" w:afterLines="50"/>
        <w:jc w:val="center"/>
        <w:rPr>
          <w:b/>
          <w:szCs w:val="21"/>
          <w:lang w:eastAsia="zh-CN"/>
        </w:rPr>
      </w:pPr>
      <w:permStart w:id="0" w:edGrp="everyone"/>
      <w:r>
        <w:rPr>
          <w:rFonts w:hint="eastAsia"/>
          <w:b/>
          <w:sz w:val="28"/>
          <w:szCs w:val="28"/>
          <w:lang w:eastAsia="zh-CN"/>
        </w:rPr>
        <w:t>病毒性疫苗研究二室N</w:t>
      </w:r>
      <w:r>
        <w:rPr>
          <w:b/>
          <w:sz w:val="28"/>
          <w:szCs w:val="28"/>
          <w:lang w:eastAsia="zh-CN"/>
        </w:rPr>
        <w:t>ANO</w:t>
      </w:r>
      <w:r>
        <w:rPr>
          <w:rFonts w:hint="eastAsia"/>
          <w:b/>
          <w:sz w:val="28"/>
          <w:szCs w:val="28"/>
          <w:lang w:eastAsia="zh-CN"/>
        </w:rPr>
        <w:t>微射流均质机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1702475"/>
      <w:bookmarkStart w:id="8" w:name="_Toc482359936"/>
      <w:bookmarkStart w:id="9" w:name="_Toc482360281"/>
      <w:bookmarkStart w:id="10" w:name="_Toc482370141"/>
      <w:bookmarkStart w:id="11" w:name="_Toc482370349"/>
      <w:bookmarkStart w:id="12" w:name="_Toc482370061"/>
      <w:bookmarkStart w:id="13" w:name="_Toc482625279"/>
      <w:bookmarkStart w:id="14" w:name="_Toc482370757"/>
      <w:bookmarkStart w:id="15" w:name="_Toc482369805"/>
      <w:r>
        <w:rPr>
          <w:szCs w:val="21"/>
          <w:lang w:eastAsia="zh-CN"/>
        </w:rPr>
        <w:t>本文件的目的是描述武汉生物制品研究所有限责任公司</w:t>
      </w:r>
      <w:permStart w:id="3" w:edGrp="everyone"/>
      <w:r>
        <w:rPr>
          <w:rFonts w:hint="eastAsia"/>
          <w:color w:val="000000" w:themeColor="text1"/>
          <w:szCs w:val="21"/>
          <w:lang w:eastAsia="zh-CN"/>
          <w14:textFill>
            <w14:solidFill>
              <w14:schemeClr w14:val="tx1"/>
            </w14:solidFill>
          </w14:textFill>
        </w:rPr>
        <w:t>病毒性疫苗研究二室N</w:t>
      </w:r>
      <w:r>
        <w:rPr>
          <w:color w:val="000000" w:themeColor="text1"/>
          <w:szCs w:val="21"/>
          <w:lang w:eastAsia="zh-CN"/>
          <w14:textFill>
            <w14:solidFill>
              <w14:schemeClr w14:val="tx1"/>
            </w14:solidFill>
          </w14:textFill>
        </w:rPr>
        <w:t>ANO</w:t>
      </w:r>
      <w:r>
        <w:rPr>
          <w:rFonts w:hint="eastAsia"/>
          <w:color w:val="000000" w:themeColor="text1"/>
          <w:szCs w:val="21"/>
          <w:lang w:eastAsia="zh-CN"/>
          <w14:textFill>
            <w14:solidFill>
              <w14:schemeClr w14:val="tx1"/>
            </w14:solidFill>
          </w14:textFill>
        </w:rPr>
        <w:t>微射流均质机</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themeColor="text1"/>
          <w:szCs w:val="21"/>
          <w:lang w:eastAsia="zh-CN"/>
          <w14:textFill>
            <w14:solidFill>
              <w14:schemeClr w14:val="tx1"/>
            </w14:solidFill>
          </w14:textFill>
        </w:rPr>
        <w:t>病毒性疫苗研究二室N</w:t>
      </w:r>
      <w:r>
        <w:rPr>
          <w:color w:val="000000" w:themeColor="text1"/>
          <w:szCs w:val="21"/>
          <w:lang w:eastAsia="zh-CN"/>
          <w14:textFill>
            <w14:solidFill>
              <w14:schemeClr w14:val="tx1"/>
            </w14:solidFill>
          </w14:textFill>
        </w:rPr>
        <w:t>ANO</w:t>
      </w:r>
      <w:r>
        <w:rPr>
          <w:rFonts w:hint="eastAsia"/>
          <w:color w:val="000000" w:themeColor="text1"/>
          <w:szCs w:val="21"/>
          <w:lang w:eastAsia="zh-CN"/>
          <w14:textFill>
            <w14:solidFill>
              <w14:schemeClr w14:val="tx1"/>
            </w14:solidFill>
          </w14:textFill>
        </w:rPr>
        <w:t>微射流均质机</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 xml:space="preserve">中国药典 </w:t>
      </w:r>
      <w:r>
        <w:rPr>
          <w:color w:val="000000" w:themeColor="text1"/>
          <w:szCs w:val="21"/>
          <w14:textFill>
            <w14:solidFill>
              <w14:schemeClr w14:val="tx1"/>
            </w14:solidFill>
          </w14:textFill>
        </w:rPr>
        <w:t>20</w:t>
      </w:r>
      <w:r>
        <w:rPr>
          <w:rFonts w:hint="eastAsia"/>
          <w:color w:val="000000" w:themeColor="text1"/>
          <w:szCs w:val="21"/>
          <w:lang w:eastAsia="zh-CN"/>
          <w14:textFill>
            <w14:solidFill>
              <w14:schemeClr w14:val="tx1"/>
            </w14:solidFill>
          </w14:textFill>
        </w:rPr>
        <w:t>20</w:t>
      </w:r>
      <w:r>
        <w:rPr>
          <w:color w:val="000000" w:themeColor="text1"/>
          <w:szCs w:val="21"/>
          <w14:textFill>
            <w14:solidFill>
              <w14:schemeClr w14:val="tx1"/>
            </w14:solidFill>
          </w14:textFill>
        </w:rPr>
        <w:t>年版</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ascii="宋体" w:hAnsi="宋体"/>
          <w:lang w:eastAsia="zh-CN"/>
        </w:rPr>
        <w:t>药品生产质量管理规范（2010</w:t>
      </w:r>
      <w:r>
        <w:rPr>
          <w:rFonts w:ascii="宋体" w:hAnsi="宋体"/>
          <w:lang w:eastAsia="zh-CN"/>
        </w:rPr>
        <w:t xml:space="preserve"> </w:t>
      </w:r>
      <w:r>
        <w:rPr>
          <w:rFonts w:hint="eastAsia" w:ascii="宋体" w:hAnsi="宋体"/>
          <w:lang w:eastAsia="zh-CN"/>
        </w:rPr>
        <w:t>年修订版）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6" w:edGrp="everyone"/>
      <w:r>
        <w:rPr>
          <w:color w:val="000000" w:themeColor="text1"/>
          <w:szCs w:val="21"/>
          <w:lang w:eastAsia="zh-CN"/>
          <w14:textFill>
            <w14:solidFill>
              <w14:schemeClr w14:val="tx1"/>
            </w14:solidFill>
          </w14:textFill>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color w:val="000000" w:themeColor="text1"/>
          <w:szCs w:val="21"/>
          <w:lang w:eastAsia="zh-CN"/>
          <w14:textFill>
            <w14:solidFill>
              <w14:schemeClr w14:val="tx1"/>
            </w14:solidFill>
          </w14:textFill>
        </w:rPr>
        <w:t>病毒性疫苗研究二室拟购置一台</w:t>
      </w:r>
      <w:r>
        <w:rPr>
          <w:color w:val="000000" w:themeColor="text1"/>
          <w:szCs w:val="21"/>
          <w:lang w:eastAsia="zh-CN"/>
          <w14:textFill>
            <w14:solidFill>
              <w14:schemeClr w14:val="tx1"/>
            </w14:solidFill>
          </w14:textFill>
        </w:rPr>
        <w:t>NANO</w:t>
      </w:r>
      <w:r>
        <w:rPr>
          <w:rFonts w:hint="eastAsia"/>
          <w:color w:val="000000" w:themeColor="text1"/>
          <w:szCs w:val="21"/>
          <w:lang w:eastAsia="zh-CN"/>
          <w14:textFill>
            <w14:solidFill>
              <w14:schemeClr w14:val="tx1"/>
            </w14:solidFill>
          </w14:textFill>
        </w:rPr>
        <w:t>微射流均质机，用于纳米材料的制备。</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综合楼</w:t>
            </w:r>
            <w:r>
              <w:rPr>
                <w:rFonts w:hint="eastAsia"/>
                <w:color w:val="000000" w:themeColor="text1"/>
                <w:szCs w:val="21"/>
                <w:lang w:eastAsia="zh-CN"/>
                <w14:textFill>
                  <w14:solidFill>
                    <w14:schemeClr w14:val="tx1"/>
                  </w14:solidFill>
                </w14:textFill>
              </w:rPr>
              <w:t>A区一楼实验室</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color w:val="000000" w:themeColor="text1"/>
                <w:szCs w:val="21"/>
                <w:lang w:eastAsia="zh-CN"/>
                <w14:textFill>
                  <w14:solidFill>
                    <w14:schemeClr w14:val="tx1"/>
                  </w14:solidFill>
                </w14:textFill>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能安装在普通实验桌上</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设备重量不超过地面基本承重</w:t>
            </w:r>
            <w:r>
              <w:rPr>
                <w:rFonts w:hint="eastAsia"/>
                <w:color w:val="000000" w:themeColor="text1"/>
                <w:szCs w:val="21"/>
                <w:lang w:eastAsia="zh-CN"/>
                <w14:textFill>
                  <w14:solidFill>
                    <w14:schemeClr w14:val="tx1"/>
                  </w14:solidFill>
                </w14:textFill>
              </w:rPr>
              <w:t>。</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color w:val="000000" w:themeColor="text1"/>
                <w:szCs w:val="21"/>
                <w:lang w:eastAsia="zh-CN"/>
                <w14:textFill>
                  <w14:solidFill>
                    <w14:schemeClr w14:val="tx1"/>
                  </w14:solidFill>
                </w14:textFill>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工作环境温度：能适应</w:t>
            </w:r>
            <w:r>
              <w:rPr>
                <w:rFonts w:hint="eastAsia"/>
                <w:color w:val="000000" w:themeColor="text1"/>
                <w:lang w:eastAsia="zh-CN"/>
                <w14:textFill>
                  <w14:solidFill>
                    <w14:schemeClr w14:val="tx1"/>
                  </w14:solidFill>
                </w14:textFill>
              </w:rPr>
              <w:t>5</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w:t>
            </w:r>
            <w:r>
              <w:rPr>
                <w:rFonts w:hint="eastAsia"/>
                <w:color w:val="000000" w:themeColor="text1"/>
                <w:lang w:eastAsia="zh-CN"/>
                <w14:textFill>
                  <w14:solidFill>
                    <w14:schemeClr w14:val="tx1"/>
                  </w14:solidFill>
                </w14:textFill>
              </w:rPr>
              <w:t>40</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环境 </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color w:val="000000" w:themeColor="text1"/>
                <w:lang w:eastAsia="zh-CN"/>
                <w14:textFill>
                  <w14:solidFill>
                    <w14:schemeClr w14:val="tx1"/>
                  </w14:solidFill>
                </w14:textFill>
              </w:rPr>
              <w:t>45%～65%</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color w:val="000000" w:themeColor="text1"/>
                <w:lang w:eastAsia="zh-CN"/>
                <w14:textFill>
                  <w14:solidFill>
                    <w14:schemeClr w14:val="tx1"/>
                  </w14:solidFill>
                </w14:textFill>
              </w:rPr>
              <w:t xml:space="preserve">～220±10%V，50±1Hz </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设备外表面可耐受常规消毒环境，如臭氧、甲醛、过氧化氢、酒精、新洁尔灭等。</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接触产品的一次性耗材采用USP VI级，硅橡胶，C-Flex等适合于生物制品生产的材料。非一次性材料要求采用304不锈钢等耐腐蚀材料。密封材料使用高分子复合材料等耐磨耐腐蚀材料。</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所有与液体接触部分电解抛光。</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szCs w:val="21"/>
                <w:lang w:val="en-US" w:eastAsia="zh-CN"/>
              </w:rPr>
              <w:t>设备应易于清洁和消毒。</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val="en-US" w:eastAsia="zh-CN"/>
              </w:rPr>
            </w:pPr>
            <w:r>
              <w:rPr>
                <w:rFonts w:hint="eastAsia" w:ascii="Arial" w:hAnsi="Arial" w:cs="Arial"/>
                <w:lang w:eastAsia="zh-CN"/>
              </w:rPr>
              <w:t>高压微流化器进行日常清洁时使用纯化水和无腐蚀性的洗洁精时，保证设备不会生锈或被腐蚀。（接触产品的特殊结构及部件无法适用应在合同中说明）</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Arial" w:hAnsi="Arial" w:cs="Arial"/>
                <w:lang w:eastAsia="zh-CN"/>
              </w:rPr>
            </w:pPr>
            <w:r>
              <w:rPr>
                <w:rFonts w:hint="eastAsia" w:ascii="Dotum" w:hAnsi="Dotum" w:cs="Arial"/>
                <w:lang w:eastAsia="zh-CN"/>
              </w:rPr>
              <w:t>直接接触物料，特别是主腔体，需耐有机试剂。</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val="en-US" w:eastAsia="zh-CN"/>
                <w14:textFill>
                  <w14:solidFill>
                    <w14:schemeClr w14:val="tx1"/>
                  </w14:solidFill>
                </w14:textFill>
              </w:rPr>
              <w:t>标识</w:t>
            </w:r>
            <w:r>
              <w:rPr>
                <w:color w:val="000000" w:themeColor="text1"/>
                <w:szCs w:val="21"/>
                <w:lang w:eastAsia="zh-CN"/>
                <w14:textFill>
                  <w14:solidFill>
                    <w14:schemeClr w14:val="tx1"/>
                  </w14:solidFill>
                </w14:textFill>
              </w:rPr>
              <w:t xml:space="preserve">：至少应有以下永久贴牢和清楚易认的标识： </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（1）制造/供应单位；</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（2）产品注册号；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（3）型号；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（4）生产日期或编号；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（5）对设备必要的说明；</w:t>
            </w:r>
          </w:p>
          <w:p>
            <w:pPr>
              <w:pStyle w:val="7"/>
              <w:spacing w:line="276" w:lineRule="auto"/>
              <w:rPr>
                <w:color w:val="0070C0"/>
                <w:sz w:val="21"/>
                <w:szCs w:val="21"/>
                <w:lang w:eastAsia="zh-CN"/>
              </w:rPr>
            </w:pPr>
            <w:r>
              <w:rPr>
                <w:color w:val="000000" w:themeColor="text1"/>
                <w:sz w:val="21"/>
                <w:szCs w:val="21"/>
                <w14:textFill>
                  <w14:solidFill>
                    <w14:schemeClr w14:val="tx1"/>
                  </w14:solidFill>
                </w14:textFill>
              </w:rPr>
              <w:t>（</w:t>
            </w:r>
            <w:r>
              <w:rPr>
                <w:color w:val="000000" w:themeColor="text1"/>
                <w:sz w:val="21"/>
                <w:szCs w:val="21"/>
                <w:lang w:eastAsia="zh-CN"/>
                <w14:textFill>
                  <w14:solidFill>
                    <w14:schemeClr w14:val="tx1"/>
                  </w14:solidFill>
                </w14:textFill>
              </w:rPr>
              <w:t>6</w:t>
            </w:r>
            <w:r>
              <w:rPr>
                <w:color w:val="000000" w:themeColor="text1"/>
                <w:sz w:val="21"/>
                <w:szCs w:val="21"/>
                <w14:textFill>
                  <w14:solidFill>
                    <w14:schemeClr w14:val="tx1"/>
                  </w14:solidFill>
                </w14:textFill>
              </w:rPr>
              <w:t>）安全标识。</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bookmarkEnd w:id="23"/>
      <w:bookmarkEnd w:id="24"/>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jc w:val="left"/>
        <w:rPr>
          <w:bCs/>
          <w:i/>
          <w:color w:val="4472C4"/>
          <w:kern w:val="44"/>
          <w:szCs w:val="21"/>
          <w:lang w:eastAsia="zh-CN"/>
        </w:rPr>
      </w:pPr>
      <w:permStart w:id="18" w:edGrp="everyone"/>
    </w:p>
    <w:permEnd w:id="1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12"/>
        <w:gridCol w:w="10"/>
        <w:gridCol w:w="3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4"/>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19" w:edGrp="everyone"/>
          </w:p>
        </w:tc>
        <w:tc>
          <w:tcPr>
            <w:tcW w:w="9052" w:type="dxa"/>
            <w:gridSpan w:val="4"/>
            <w:shd w:val="clear" w:color="auto" w:fill="auto"/>
            <w:vAlign w:val="center"/>
          </w:tcPr>
          <w:p>
            <w:pPr>
              <w:jc w:val="both"/>
              <w:rPr>
                <w:szCs w:val="21"/>
                <w:lang w:eastAsia="zh-CN"/>
              </w:rPr>
            </w:pPr>
            <w:r>
              <w:rPr>
                <w:rFonts w:hint="eastAsia"/>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4"/>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firstLineChars="0"/>
              <w:rPr>
                <w:rFonts w:ascii="Times New Roman" w:hAnsi="Times New Roman"/>
                <w:szCs w:val="21"/>
              </w:rPr>
            </w:pPr>
            <w:permStart w:id="20" w:edGrp="everyone"/>
          </w:p>
        </w:tc>
        <w:tc>
          <w:tcPr>
            <w:tcW w:w="7008" w:type="dxa"/>
            <w:gridSpan w:val="3"/>
            <w:shd w:val="clear" w:color="auto" w:fill="auto"/>
            <w:vAlign w:val="center"/>
          </w:tcPr>
          <w:p>
            <w:pPr>
              <w:jc w:val="both"/>
              <w:rPr>
                <w:szCs w:val="21"/>
                <w:lang w:eastAsia="zh-CN"/>
              </w:rPr>
            </w:pPr>
            <w:r>
              <w:rPr>
                <w:rFonts w:hint="eastAsia"/>
                <w:szCs w:val="21"/>
                <w:lang w:eastAsia="zh-CN"/>
              </w:rPr>
              <w:t>最少批处理量：5ml</w:t>
            </w:r>
          </w:p>
        </w:tc>
        <w:tc>
          <w:tcPr>
            <w:tcW w:w="204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firstLineChars="0"/>
              <w:rPr>
                <w:rFonts w:ascii="Times New Roman" w:hAnsi="Times New Roman"/>
                <w:szCs w:val="21"/>
              </w:rPr>
            </w:pPr>
          </w:p>
        </w:tc>
        <w:tc>
          <w:tcPr>
            <w:tcW w:w="6960" w:type="dxa"/>
            <w:shd w:val="clear" w:color="auto" w:fill="auto"/>
            <w:vAlign w:val="center"/>
          </w:tcPr>
          <w:p>
            <w:pPr>
              <w:tabs>
                <w:tab w:val="left" w:pos="284"/>
              </w:tabs>
              <w:rPr>
                <w:rFonts w:ascii="Arial" w:hAnsi="Arial"/>
                <w:szCs w:val="21"/>
                <w:lang w:eastAsia="zh-CN"/>
              </w:rPr>
            </w:pPr>
            <w:r>
              <w:rPr>
                <w:rFonts w:hint="eastAsia" w:ascii="Arial" w:hAnsi="Arial"/>
                <w:szCs w:val="21"/>
                <w:lang w:eastAsia="zh-CN"/>
              </w:rPr>
              <w:t xml:space="preserve">最大处理量达到  60 mL/min@45000psi </w:t>
            </w:r>
          </w:p>
        </w:tc>
        <w:tc>
          <w:tcPr>
            <w:tcW w:w="2092" w:type="dxa"/>
            <w:gridSpan w:val="3"/>
            <w:shd w:val="clear" w:color="auto" w:fill="auto"/>
            <w:vAlign w:val="center"/>
          </w:tcPr>
          <w:p>
            <w:pPr>
              <w:tabs>
                <w:tab w:val="left" w:pos="284"/>
              </w:tabs>
              <w:rPr>
                <w:rFonts w:ascii="Arial" w:hAnsi="Arial"/>
                <w:szCs w:val="21"/>
                <w:lang w:eastAsia="zh-CN"/>
              </w:rPr>
            </w:pPr>
            <w:r>
              <w:rPr>
                <w:rFonts w:hint="eastAsia" w:ascii="Arial" w:hAnsi="Arial"/>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4"/>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残留量：</w:t>
            </w:r>
            <w:r>
              <w:rPr>
                <w:rFonts w:hint="eastAsia" w:ascii="宋体" w:hAnsi="宋体" w:cs="Arial"/>
                <w:bCs/>
              </w:rPr>
              <w:t>≤</w:t>
            </w:r>
            <w:r>
              <w:rPr>
                <w:szCs w:val="21"/>
                <w:lang w:eastAsia="zh-CN"/>
              </w:rPr>
              <w:t>1</w:t>
            </w:r>
            <w:r>
              <w:rPr>
                <w:rFonts w:hint="eastAsia"/>
                <w:szCs w:val="21"/>
                <w:lang w:eastAsia="zh-CN"/>
              </w:rPr>
              <w:t>ml</w:t>
            </w:r>
          </w:p>
        </w:tc>
        <w:tc>
          <w:tcPr>
            <w:tcW w:w="2082" w:type="dxa"/>
            <w:gridSpan w:val="2"/>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最大工作压力达到4</w:t>
            </w:r>
            <w:r>
              <w:rPr>
                <w:szCs w:val="21"/>
                <w:lang w:eastAsia="zh-CN"/>
              </w:rPr>
              <w:t>5</w:t>
            </w:r>
            <w:r>
              <w:rPr>
                <w:rFonts w:hint="eastAsia"/>
                <w:szCs w:val="21"/>
                <w:lang w:eastAsia="zh-CN"/>
              </w:rPr>
              <w:t>000psi</w:t>
            </w:r>
            <w:r>
              <w:rPr>
                <w:rFonts w:hint="eastAsia"/>
                <w:szCs w:val="21"/>
                <w:lang w:eastAsia="zh-CN"/>
              </w:rPr>
              <w:tab/>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压力可调节范围：</w:t>
            </w:r>
            <w:r>
              <w:rPr>
                <w:szCs w:val="21"/>
                <w:lang w:eastAsia="zh-CN"/>
              </w:rPr>
              <w:t>1%~99%</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6970" w:type="dxa"/>
            <w:gridSpan w:val="2"/>
            <w:shd w:val="clear" w:color="auto" w:fill="auto"/>
            <w:vAlign w:val="center"/>
          </w:tcPr>
          <w:p>
            <w:pPr>
              <w:spacing w:line="276" w:lineRule="auto"/>
              <w:jc w:val="both"/>
              <w:rPr>
                <w:szCs w:val="21"/>
                <w:lang w:val="en-US" w:eastAsia="zh-CN"/>
              </w:rPr>
            </w:pPr>
            <w:r>
              <w:rPr>
                <w:rFonts w:hint="eastAsia"/>
                <w:szCs w:val="21"/>
                <w:lang w:val="en-US" w:eastAsia="zh-CN"/>
              </w:rPr>
              <w:t xml:space="preserve">最大产品温度： </w:t>
            </w:r>
            <w:r>
              <w:rPr>
                <w:rFonts w:hint="eastAsia" w:ascii="Arial" w:hAnsi="Arial" w:cs="Arial"/>
                <w:bCs/>
              </w:rPr>
              <w:t>≥</w:t>
            </w:r>
            <w:r>
              <w:rPr>
                <w:szCs w:val="21"/>
                <w:lang w:val="en-US" w:eastAsia="zh-CN"/>
              </w:rPr>
              <w:t>8</w:t>
            </w:r>
            <w:r>
              <w:rPr>
                <w:rFonts w:hint="eastAsia"/>
                <w:szCs w:val="21"/>
                <w:lang w:val="en-US" w:eastAsia="zh-CN"/>
              </w:rPr>
              <w:t>0 ℃</w:t>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val="en-US" w:eastAsia="zh-CN"/>
              </w:rPr>
            </w:pPr>
            <w:r>
              <w:rPr>
                <w:rFonts w:hint="eastAsia"/>
                <w:szCs w:val="21"/>
                <w:lang w:val="en-US" w:eastAsia="zh-CN"/>
              </w:rPr>
              <w:t>压力调节方式：</w:t>
            </w:r>
            <w:r>
              <w:rPr>
                <w:rFonts w:hint="eastAsia"/>
                <w:bCs/>
                <w:lang w:val="en-US" w:eastAsia="zh-CN"/>
              </w:rPr>
              <w:t>PLC触控调节，无需人工拧手轮</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val="en-US" w:eastAsia="zh-CN"/>
              </w:rPr>
            </w:pPr>
            <w:r>
              <w:rPr>
                <w:rFonts w:hint="eastAsia" w:ascii="Arial" w:hAnsi="Arial" w:cs="Arial"/>
                <w:bCs/>
                <w:lang w:eastAsia="zh-CN"/>
              </w:rPr>
              <w:t>进料器：配备10ml、20ml、50ml、100ml、200ml规格鲁尔进料器和300ml不锈钢进料杯套装</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val="en-US" w:eastAsia="zh-CN"/>
              </w:rPr>
            </w:pPr>
            <w:r>
              <w:rPr>
                <w:rFonts w:hint="eastAsia" w:ascii="Arial" w:hAnsi="Arial" w:cs="Arial"/>
                <w:bCs/>
                <w:lang w:eastAsia="zh-CN"/>
              </w:rPr>
              <w:t>出料</w:t>
            </w:r>
            <w:r>
              <w:rPr>
                <w:rFonts w:hint="eastAsia" w:ascii="Arial" w:hAnsi="Arial" w:cs="Arial"/>
                <w:bCs/>
                <w:lang w:val="en-US" w:eastAsia="zh-CN"/>
              </w:rPr>
              <w:t>收集器</w:t>
            </w:r>
            <w:r>
              <w:rPr>
                <w:rFonts w:hint="eastAsia"/>
                <w:szCs w:val="21"/>
                <w:lang w:val="en-US" w:eastAsia="zh-CN"/>
              </w:rPr>
              <w:t>：</w:t>
            </w:r>
            <w:r>
              <w:rPr>
                <w:rFonts w:hint="eastAsia" w:ascii="Arial" w:hAnsi="Arial" w:cs="Arial"/>
                <w:bCs/>
                <w:lang w:eastAsia="zh-CN"/>
              </w:rPr>
              <w:t>鲁尔软管或类似</w:t>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val="en-US" w:eastAsia="zh-CN"/>
              </w:rPr>
            </w:pPr>
            <w:r>
              <w:rPr>
                <w:rFonts w:hint="eastAsia" w:ascii="Arial" w:hAnsi="Arial" w:cs="Arial"/>
                <w:bCs/>
                <w:lang w:val="en-US" w:eastAsia="zh-CN"/>
              </w:rPr>
              <w:t>单次样品处理体积设定：</w:t>
            </w:r>
            <w:r>
              <w:rPr>
                <w:rFonts w:hint="eastAsia" w:ascii="Arial" w:hAnsi="Arial" w:cs="Arial"/>
                <w:bCs/>
                <w:szCs w:val="21"/>
                <w:lang w:val="en-US" w:eastAsia="zh-CN"/>
              </w:rPr>
              <w:t>可根据样品量进行单次进样体积设定，5-15ml样品也可精确一次进样不吸空不浪费。</w:t>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ascii="Arial" w:hAnsi="Arial" w:cs="Arial"/>
                <w:bCs/>
                <w:lang w:val="en-US" w:eastAsia="zh-CN"/>
              </w:rPr>
            </w:pPr>
            <w:r>
              <w:rPr>
                <w:rFonts w:hint="eastAsia" w:ascii="Arial" w:hAnsi="Arial" w:cs="Arial"/>
                <w:bCs/>
                <w:lang w:val="en-US" w:eastAsia="zh-CN"/>
              </w:rPr>
              <w:t>微流化器核心处理交互容腔：</w:t>
            </w:r>
          </w:p>
          <w:p>
            <w:pPr>
              <w:widowControl w:val="0"/>
              <w:numPr>
                <w:ilvl w:val="0"/>
                <w:numId w:val="9"/>
              </w:numPr>
              <w:overflowPunct/>
              <w:spacing w:line="320" w:lineRule="exact"/>
              <w:jc w:val="both"/>
              <w:textAlignment w:val="auto"/>
              <w:rPr>
                <w:bCs/>
                <w:lang w:eastAsia="zh-CN"/>
              </w:rPr>
            </w:pPr>
            <w:r>
              <w:rPr>
                <w:rFonts w:hint="eastAsia"/>
                <w:bCs/>
                <w:lang w:val="en-US" w:eastAsia="zh-CN"/>
              </w:rPr>
              <w:t>主腔体为</w:t>
            </w:r>
            <w:r>
              <w:rPr>
                <w:bCs/>
                <w:lang w:eastAsia="zh-CN"/>
              </w:rPr>
              <w:t>单通道</w:t>
            </w:r>
            <w:r>
              <w:rPr>
                <w:rFonts w:hint="eastAsia"/>
                <w:bCs/>
                <w:lang w:eastAsia="zh-CN"/>
              </w:rPr>
              <w:t>“</w:t>
            </w:r>
            <w:r>
              <w:rPr>
                <w:bCs/>
                <w:lang w:eastAsia="zh-CN"/>
              </w:rPr>
              <w:t>Y</w:t>
            </w:r>
            <w:r>
              <w:rPr>
                <w:rFonts w:hint="eastAsia"/>
                <w:bCs/>
                <w:lang w:eastAsia="zh-CN"/>
              </w:rPr>
              <w:t>”</w:t>
            </w:r>
            <w:r>
              <w:rPr>
                <w:bCs/>
                <w:lang w:eastAsia="zh-CN"/>
              </w:rPr>
              <w:t>型，</w:t>
            </w:r>
            <w:r>
              <w:rPr>
                <w:rFonts w:hint="eastAsia"/>
                <w:bCs/>
                <w:lang w:val="en-US" w:eastAsia="zh-CN"/>
              </w:rPr>
              <w:t>金刚石材质，</w:t>
            </w:r>
            <w:r>
              <w:rPr>
                <w:bCs/>
                <w:lang w:eastAsia="zh-CN"/>
              </w:rPr>
              <w:t>最小孔径</w:t>
            </w:r>
            <w:r>
              <w:rPr>
                <w:rFonts w:hint="eastAsia"/>
                <w:bCs/>
                <w:lang w:eastAsia="zh-CN"/>
              </w:rPr>
              <w:t>在70</w:t>
            </w:r>
            <w:r>
              <w:rPr>
                <w:bCs/>
              </w:rPr>
              <w:t>μ</w:t>
            </w:r>
            <w:r>
              <w:rPr>
                <w:bCs/>
                <w:lang w:eastAsia="zh-CN"/>
              </w:rPr>
              <w:t>m~</w:t>
            </w:r>
            <w:r>
              <w:rPr>
                <w:rFonts w:hint="eastAsia"/>
                <w:bCs/>
                <w:lang w:val="en-US" w:eastAsia="zh-CN"/>
              </w:rPr>
              <w:t>10</w:t>
            </w:r>
            <w:r>
              <w:rPr>
                <w:bCs/>
                <w:lang w:eastAsia="zh-CN"/>
              </w:rPr>
              <w:t>0</w:t>
            </w:r>
            <w:r>
              <w:rPr>
                <w:bCs/>
              </w:rPr>
              <w:t>μ</w:t>
            </w:r>
            <w:r>
              <w:rPr>
                <w:bCs/>
                <w:lang w:eastAsia="zh-CN"/>
              </w:rPr>
              <w:t>m之间</w:t>
            </w:r>
            <w:r>
              <w:rPr>
                <w:rFonts w:hint="eastAsia"/>
                <w:bCs/>
                <w:lang w:eastAsia="zh-CN"/>
              </w:rPr>
              <w:t>。</w:t>
            </w:r>
          </w:p>
          <w:p>
            <w:pPr>
              <w:widowControl w:val="0"/>
              <w:numPr>
                <w:ilvl w:val="0"/>
                <w:numId w:val="9"/>
              </w:numPr>
              <w:overflowPunct/>
              <w:spacing w:line="320" w:lineRule="exact"/>
              <w:jc w:val="both"/>
              <w:textAlignment w:val="auto"/>
              <w:rPr>
                <w:bCs/>
                <w:lang w:eastAsia="zh-CN"/>
              </w:rPr>
            </w:pPr>
            <w:r>
              <w:rPr>
                <w:rFonts w:hint="eastAsia"/>
                <w:bCs/>
                <w:lang w:val="en-US" w:eastAsia="zh-CN"/>
              </w:rPr>
              <w:t>微流化器</w:t>
            </w:r>
            <w:r>
              <w:rPr>
                <w:rFonts w:hint="eastAsia"/>
                <w:bCs/>
                <w:lang w:eastAsia="zh-CN"/>
              </w:rPr>
              <w:t>主腔长度不小于8cm，直径不小于3cm，</w:t>
            </w:r>
            <w:r>
              <w:rPr>
                <w:rFonts w:hint="eastAsia"/>
                <w:bCs/>
                <w:lang w:val="en-US" w:eastAsia="zh-CN"/>
              </w:rPr>
              <w:t>主</w:t>
            </w:r>
            <w:r>
              <w:rPr>
                <w:rFonts w:hint="eastAsia"/>
                <w:bCs/>
                <w:lang w:eastAsia="zh-CN"/>
              </w:rPr>
              <w:t>交互容腔不能有移动部件及可变的参数。</w:t>
            </w:r>
          </w:p>
          <w:p>
            <w:pPr>
              <w:widowControl w:val="0"/>
              <w:numPr>
                <w:ilvl w:val="0"/>
                <w:numId w:val="9"/>
              </w:numPr>
              <w:overflowPunct/>
              <w:spacing w:line="320" w:lineRule="exact"/>
              <w:jc w:val="both"/>
              <w:textAlignment w:val="auto"/>
              <w:rPr>
                <w:bCs/>
                <w:lang w:eastAsia="zh-CN"/>
              </w:rPr>
            </w:pPr>
            <w:r>
              <w:rPr>
                <w:rFonts w:hint="eastAsia"/>
                <w:bCs/>
                <w:lang w:val="en-US" w:eastAsia="zh-CN"/>
              </w:rPr>
              <w:t>可</w:t>
            </w:r>
            <w:r>
              <w:rPr>
                <w:rFonts w:hint="eastAsia"/>
                <w:bCs/>
                <w:lang w:eastAsia="zh-CN"/>
              </w:rPr>
              <w:t>配置“</w:t>
            </w:r>
            <w:r>
              <w:rPr>
                <w:rFonts w:hint="eastAsia"/>
                <w:bCs/>
                <w:lang w:val="en-US" w:eastAsia="zh-CN"/>
              </w:rPr>
              <w:t>Z”型辅</w:t>
            </w:r>
            <w:r>
              <w:rPr>
                <w:rFonts w:hint="eastAsia"/>
                <w:bCs/>
                <w:lang w:eastAsia="zh-CN"/>
              </w:rPr>
              <w:t>交互容腔，</w:t>
            </w:r>
            <w:r>
              <w:rPr>
                <w:rFonts w:hint="eastAsia"/>
                <w:bCs/>
                <w:lang w:val="en-US" w:eastAsia="zh-CN"/>
              </w:rPr>
              <w:t>用来调节背压或者进行样品预分散</w:t>
            </w:r>
            <w:r>
              <w:rPr>
                <w:rFonts w:hint="eastAsia"/>
                <w:bCs/>
                <w:lang w:eastAsia="zh-CN"/>
              </w:rPr>
              <w:t>。</w:t>
            </w:r>
          </w:p>
          <w:p>
            <w:pPr>
              <w:widowControl w:val="0"/>
              <w:numPr>
                <w:ilvl w:val="0"/>
                <w:numId w:val="9"/>
              </w:numPr>
              <w:overflowPunct/>
              <w:spacing w:line="320" w:lineRule="exact"/>
              <w:jc w:val="both"/>
              <w:textAlignment w:val="auto"/>
              <w:rPr>
                <w:bCs/>
                <w:lang w:eastAsia="zh-CN"/>
              </w:rPr>
            </w:pPr>
            <w:r>
              <w:rPr>
                <w:rFonts w:hint="eastAsia"/>
                <w:bCs/>
                <w:lang w:eastAsia="zh-CN"/>
              </w:rPr>
              <w:t>主交互容腔和</w:t>
            </w:r>
            <w:r>
              <w:rPr>
                <w:rFonts w:hint="eastAsia"/>
                <w:bCs/>
                <w:lang w:val="en-US" w:eastAsia="zh-CN"/>
              </w:rPr>
              <w:t>辅</w:t>
            </w:r>
            <w:r>
              <w:rPr>
                <w:rFonts w:hint="eastAsia"/>
                <w:bCs/>
                <w:lang w:eastAsia="zh-CN"/>
              </w:rPr>
              <w:t>交互容腔</w:t>
            </w:r>
            <w:r>
              <w:rPr>
                <w:rFonts w:hint="eastAsia"/>
                <w:bCs/>
                <w:lang w:val="en-US" w:eastAsia="zh-CN"/>
              </w:rPr>
              <w:t>可</w:t>
            </w:r>
            <w:r>
              <w:rPr>
                <w:rFonts w:hint="eastAsia"/>
                <w:bCs/>
                <w:lang w:eastAsia="zh-CN"/>
              </w:rPr>
              <w:t>串联使用，也可单独使用。</w:t>
            </w:r>
          </w:p>
          <w:p>
            <w:pPr>
              <w:widowControl w:val="0"/>
              <w:numPr>
                <w:ilvl w:val="0"/>
                <w:numId w:val="9"/>
              </w:numPr>
              <w:overflowPunct/>
              <w:spacing w:line="320" w:lineRule="exact"/>
              <w:jc w:val="both"/>
              <w:textAlignment w:val="auto"/>
              <w:rPr>
                <w:bCs/>
                <w:lang w:eastAsia="zh-CN"/>
              </w:rPr>
            </w:pPr>
            <w:r>
              <w:rPr>
                <w:rFonts w:hint="eastAsia"/>
                <w:bCs/>
                <w:lang w:val="en-US" w:eastAsia="zh-CN"/>
              </w:rPr>
              <w:t>主</w:t>
            </w:r>
            <w:r>
              <w:rPr>
                <w:rFonts w:hint="eastAsia"/>
                <w:bCs/>
                <w:lang w:eastAsia="zh-CN"/>
              </w:rPr>
              <w:t>金刚石交互容腔需配备冷却夹套，用于均质点辅助降温。</w:t>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4"/>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设备应设计成能连续运行(24h/天,7天/周)，除年检以外的其他检查或维护次数应尽量减少到最小。</w:t>
            </w:r>
          </w:p>
        </w:tc>
        <w:tc>
          <w:tcPr>
            <w:tcW w:w="2082" w:type="dxa"/>
            <w:gridSpan w:val="2"/>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能够在0-40000psi的压力，连续的生产规模的工作状况下正常运行</w:t>
            </w:r>
          </w:p>
        </w:tc>
        <w:tc>
          <w:tcPr>
            <w:tcW w:w="2082" w:type="dxa"/>
            <w:gridSpan w:val="2"/>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配备Y、Z型腔各一套。</w:t>
            </w:r>
          </w:p>
        </w:tc>
        <w:tc>
          <w:tcPr>
            <w:tcW w:w="2082" w:type="dxa"/>
            <w:gridSpan w:val="2"/>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eastAsia="zh-CN"/>
              </w:rPr>
            </w:pPr>
            <w:r>
              <w:rPr>
                <w:rFonts w:hint="eastAsia"/>
                <w:szCs w:val="21"/>
                <w:lang w:eastAsia="zh-CN"/>
              </w:rPr>
              <w:t>Y与Z型交互容腔可串联使用，也可单独使用。</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eastAsia="zh-CN"/>
              </w:rPr>
            </w:pPr>
            <w:r>
              <w:rPr>
                <w:rFonts w:hint="eastAsia" w:ascii="Arial" w:hAnsi="Arial" w:cs="Arial"/>
                <w:lang w:eastAsia="zh-CN"/>
              </w:rPr>
              <w:t>可更换安装主腔体，</w:t>
            </w:r>
            <w:r>
              <w:rPr>
                <w:rFonts w:hint="eastAsia" w:ascii="Arial" w:hAnsi="Arial" w:cs="Arial"/>
                <w:lang w:val="en-US" w:eastAsia="zh-CN"/>
              </w:rPr>
              <w:t>适用不同物料</w:t>
            </w:r>
            <w:r>
              <w:rPr>
                <w:rFonts w:hint="eastAsia" w:ascii="Arial" w:hAnsi="Arial" w:cs="Arial"/>
                <w:lang w:eastAsia="zh-CN"/>
              </w:rPr>
              <w:t>，可选配主腔体有“Z”型和“Y”型。</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szCs w:val="21"/>
                <w:lang w:eastAsia="zh-CN"/>
              </w:rPr>
            </w:pPr>
            <w:r>
              <w:rPr>
                <w:rFonts w:hint="eastAsia" w:ascii="Arial" w:hAnsi="Arial" w:cs="Arial"/>
                <w:lang w:eastAsia="zh-CN"/>
              </w:rPr>
              <w:t>需搭配数显的均质压力和流量，支持均质单次反应体积和自动停止次数、时间等自定义设置调节。</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hint="eastAsia" w:ascii="Arial" w:hAnsi="Arial" w:cs="Arial"/>
                <w:lang w:eastAsia="zh-CN"/>
              </w:rPr>
            </w:pPr>
            <w:r>
              <w:rPr>
                <w:rFonts w:hint="eastAsia" w:ascii="Arial" w:hAnsi="Arial" w:cs="Arial"/>
                <w:lang w:eastAsia="zh-CN"/>
              </w:rPr>
              <w:t>需配置超压保护系统。</w:t>
            </w:r>
          </w:p>
        </w:tc>
        <w:tc>
          <w:tcPr>
            <w:tcW w:w="2082" w:type="dxa"/>
            <w:gridSpan w:val="2"/>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rFonts w:hint="eastAsia" w:ascii="Arial" w:hAnsi="Arial" w:cs="Arial"/>
                <w:lang w:eastAsia="zh-CN"/>
              </w:rPr>
              <w:t>支持腔体和通道可冷却，在腔体和通道周围设置进水口和出水口密封循环降温系统或其他可冷却设施。</w:t>
            </w:r>
          </w:p>
        </w:tc>
        <w:tc>
          <w:tcPr>
            <w:tcW w:w="2082" w:type="dxa"/>
            <w:gridSpan w:val="2"/>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717202"/>
      <w:bookmarkStart w:id="31" w:name="_Toc483227237"/>
      <w:bookmarkStart w:id="32" w:name="_Toc482370151"/>
      <w:bookmarkStart w:id="33" w:name="_Toc482370359"/>
      <w:bookmarkStart w:id="34" w:name="_Toc482370767"/>
      <w:bookmarkStart w:id="35" w:name="_Toc482360291"/>
      <w:bookmarkStart w:id="36" w:name="_Toc482369815"/>
      <w:bookmarkStart w:id="37" w:name="_Toc482359946"/>
      <w:bookmarkStart w:id="38" w:name="_Toc483400317"/>
      <w:bookmarkStart w:id="39" w:name="_Toc482370071"/>
      <w:bookmarkStart w:id="40" w:name="_Toc482625289"/>
      <w:r>
        <w:rPr>
          <w:rFonts w:ascii="Times New Roman" w:hAnsi="Times New Roman"/>
          <w:b/>
        </w:rPr>
        <w:t>电气、自动控制要求</w:t>
      </w:r>
      <w:bookmarkEnd w:id="27"/>
    </w:p>
    <w:p>
      <w:pPr>
        <w:pStyle w:val="41"/>
        <w:spacing w:before="0" w:line="360" w:lineRule="auto"/>
        <w:jc w:val="left"/>
        <w:rPr>
          <w:i/>
          <w:color w:val="4472C4"/>
          <w:szCs w:val="21"/>
          <w:lang w:eastAsia="zh-CN"/>
        </w:rPr>
      </w:pPr>
      <w:permStart w:id="24" w:edGrp="everyone"/>
    </w:p>
    <w:permEnd w:id="2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选用国际知名品牌的电器组件、执行件及控制线路板、数显系统。配备与自动控制相关的检测组件、传感组件、执行组件、计数器等。</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存在自动控制系统，能实现均质压力的稳定。</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eastAsia="zh-CN"/>
              </w:rPr>
            </w:pPr>
            <w:r>
              <w:rPr>
                <w:rFonts w:hint="eastAsia" w:ascii="Arial" w:hAnsi="Arial" w:cs="Arial"/>
                <w:lang w:eastAsia="zh-CN"/>
              </w:rPr>
              <w:t>采用PLC智能触摸屏或按键操作，全屏显示。</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eastAsia="zh-CN"/>
              </w:rPr>
            </w:pPr>
            <w:r>
              <w:rPr>
                <w:rFonts w:hint="eastAsia" w:ascii="Arial" w:hAnsi="Arial" w:cs="Arial"/>
                <w:lang w:eastAsia="zh-CN"/>
              </w:rPr>
              <w:t>有紧急停止按键，遇到紧急事件可随时停止设备运行。</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eastAsia="zh-CN"/>
              </w:rPr>
            </w:pPr>
            <w:r>
              <w:rPr>
                <w:rFonts w:hint="eastAsia" w:ascii="Arial" w:hAnsi="Arial" w:cs="Arial"/>
                <w:lang w:eastAsia="zh-CN"/>
              </w:rPr>
              <w:t>配</w:t>
            </w:r>
            <w:r>
              <w:rPr>
                <w:rFonts w:hint="eastAsia" w:ascii="Arial" w:hAnsi="Arial" w:cs="Arial"/>
                <w:lang w:val="en-US" w:eastAsia="zh-CN"/>
              </w:rPr>
              <w:t>内置</w:t>
            </w:r>
            <w:r>
              <w:rPr>
                <w:rFonts w:hint="eastAsia" w:ascii="Arial" w:hAnsi="Arial" w:cs="Arial"/>
                <w:lang w:eastAsia="zh-CN"/>
              </w:rPr>
              <w:t>压力传感器（无死体积）。</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szCs w:val="21"/>
                <w:lang w:eastAsia="zh-CN"/>
              </w:rPr>
            </w:pPr>
            <w:r>
              <w:rPr>
                <w:rFonts w:hint="eastAsia" w:ascii="Arial" w:hAnsi="Arial" w:cs="Arial"/>
                <w:lang w:eastAsia="zh-CN"/>
              </w:rPr>
              <w:t>有过载保护功能，在压力过载情况下可系统</w:t>
            </w:r>
            <w:r>
              <w:rPr>
                <w:rFonts w:hint="eastAsia" w:ascii="Arial" w:hAnsi="Arial" w:cs="Arial"/>
                <w:lang w:val="en-US" w:eastAsia="zh-CN"/>
              </w:rPr>
              <w:t>自动降速或</w:t>
            </w:r>
            <w:r>
              <w:rPr>
                <w:rFonts w:hint="eastAsia" w:ascii="Arial" w:hAnsi="Arial" w:cs="Arial"/>
                <w:lang w:eastAsia="zh-CN"/>
              </w:rPr>
              <w:t>自行停止。</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仪器软件具有至少4级用户分层权限管理及密码管理的功能</w:t>
            </w:r>
          </w:p>
        </w:tc>
        <w:tc>
          <w:tcPr>
            <w:tcW w:w="2125" w:type="dxa"/>
            <w:shd w:val="clear" w:color="auto" w:fill="auto"/>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仪器软件应具有用户分级管理功能，每个等级拥有相应的可设置权限</w:t>
            </w:r>
          </w:p>
        </w:tc>
        <w:tc>
          <w:tcPr>
            <w:tcW w:w="2125" w:type="dxa"/>
            <w:shd w:val="clear" w:color="auto" w:fill="auto"/>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系统应可以为每个用户创建唯一的用户名和密码</w:t>
            </w:r>
          </w:p>
        </w:tc>
        <w:tc>
          <w:tcPr>
            <w:tcW w:w="2125" w:type="dxa"/>
            <w:shd w:val="clear" w:color="auto" w:fill="auto"/>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系统应不允许两个或多个用户拥有相同的用户名</w:t>
            </w:r>
          </w:p>
        </w:tc>
        <w:tc>
          <w:tcPr>
            <w:tcW w:w="2125" w:type="dxa"/>
            <w:shd w:val="clear" w:color="auto" w:fill="auto"/>
            <w:vAlign w:val="center"/>
          </w:tcPr>
          <w:p>
            <w:pPr>
              <w:jc w:val="both"/>
              <w:rPr>
                <w:szCs w:val="21"/>
                <w:lang w:eastAsia="zh-CN"/>
              </w:rPr>
            </w:pPr>
            <w:r>
              <w:rPr>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应有权限功能防止系统时间被更改</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拥有修改超压保护压力参数值功能，用于特殊参数研发要求</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需配备压力参数记录功能，便于查看回顾</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themeColor="text1"/>
                <w:szCs w:val="21"/>
                <w:lang w:eastAsia="zh-CN"/>
                <w14:textFill>
                  <w14:solidFill>
                    <w14:schemeClr w14:val="tx1"/>
                  </w14:solidFill>
                </w14:textFill>
              </w:rPr>
            </w:pPr>
            <w:r>
              <w:rPr>
                <w:rFonts w:hint="eastAsia" w:ascii="Arial" w:hAnsi="Arial" w:cs="Arial"/>
                <w:lang w:eastAsia="zh-CN"/>
              </w:rPr>
              <w:t>显示信息</w:t>
            </w:r>
            <w:r>
              <w:rPr>
                <w:rFonts w:hint="eastAsia" w:ascii="Arial" w:hAnsi="Arial" w:cs="Arial"/>
                <w:lang w:val="en-US" w:eastAsia="zh-CN"/>
              </w:rPr>
              <w:t>可</w:t>
            </w:r>
            <w:r>
              <w:rPr>
                <w:rFonts w:hint="eastAsia" w:ascii="Arial" w:hAnsi="Arial" w:cs="Arial"/>
                <w:lang w:eastAsia="zh-CN"/>
              </w:rPr>
              <w:t>包括：</w:t>
            </w:r>
            <w:r>
              <w:rPr>
                <w:rFonts w:ascii="Arial" w:hAnsi="Arial" w:cs="Arial"/>
                <w:lang w:eastAsia="zh-CN"/>
              </w:rPr>
              <w:t xml:space="preserve"> </w:t>
            </w:r>
            <w:r>
              <w:rPr>
                <w:rFonts w:hint="eastAsia" w:ascii="Arial" w:hAnsi="Arial" w:cs="Arial"/>
                <w:lang w:eastAsia="zh-CN"/>
              </w:rPr>
              <w:t>均质压力、流速、</w:t>
            </w:r>
            <w:r>
              <w:rPr>
                <w:rFonts w:hint="eastAsia" w:ascii="Arial" w:hAnsi="Arial" w:cs="Arial"/>
                <w:lang w:val="en-US" w:eastAsia="zh-CN"/>
              </w:rPr>
              <w:t>运行状态、循环次数、处理时间</w:t>
            </w:r>
            <w:r>
              <w:rPr>
                <w:rFonts w:hint="eastAsia" w:ascii="Arial" w:hAnsi="Arial" w:cs="Arial"/>
                <w:lang w:eastAsia="zh-CN"/>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themeColor="text1"/>
                <w:szCs w:val="21"/>
                <w:lang w:eastAsia="zh-CN"/>
                <w14:textFill>
                  <w14:solidFill>
                    <w14:schemeClr w14:val="tx1"/>
                  </w14:solidFill>
                </w14:textFill>
              </w:rPr>
            </w:pPr>
            <w:r>
              <w:rPr>
                <w:rFonts w:hint="eastAsia" w:ascii="Arial" w:hAnsi="Arial" w:cs="Arial"/>
                <w:szCs w:val="21"/>
                <w:lang w:val="en-US" w:eastAsia="zh-CN"/>
              </w:rPr>
              <w:t>可通过触摸屏进行 MPa、PSI、Bar 3中单位间切换显示</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Arial" w:hAnsi="Arial" w:cs="Arial"/>
                <w:lang w:eastAsia="zh-CN"/>
              </w:rPr>
              <w:t>故障和报警</w:t>
            </w:r>
            <w:r>
              <w:rPr>
                <w:rFonts w:hint="eastAsia" w:ascii="Arial" w:hAnsi="Arial" w:cs="Arial"/>
                <w:lang w:val="en-US" w:eastAsia="zh-CN"/>
              </w:rPr>
              <w:t>屏幕显示</w:t>
            </w:r>
            <w:r>
              <w:rPr>
                <w:rFonts w:hint="eastAsia" w:ascii="Arial" w:hAnsi="Arial" w:cs="Arial"/>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w:t>
            </w: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Arial" w:hAnsi="Arial" w:cs="Arial"/>
                <w:lang w:eastAsia="zh-CN"/>
              </w:rPr>
              <w:t>具有报警功能如下：过载、</w:t>
            </w:r>
            <w:r>
              <w:rPr>
                <w:rFonts w:hint="eastAsia" w:ascii="Arial" w:hAnsi="Arial" w:cs="Arial"/>
                <w:lang w:val="en-US" w:eastAsia="zh-CN"/>
              </w:rPr>
              <w:t>输入不当、过载后操作指示</w:t>
            </w:r>
            <w:r>
              <w:rPr>
                <w:rFonts w:hint="eastAsia" w:ascii="Arial" w:hAnsi="Arial" w:cs="Arial"/>
                <w:lang w:eastAsia="zh-CN"/>
              </w:rPr>
              <w:t>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具有安全保护功能和装置。</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无密封件的金属锥面硬连接，减少橡胶类密封圈的使用。</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模块化设计，可长期高压稳定工作。</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高压管路与接头至少耐受</w:t>
            </w:r>
            <w:r>
              <w:rPr>
                <w:szCs w:val="21"/>
                <w:lang w:eastAsia="zh-CN"/>
              </w:rPr>
              <w:t>45000psi</w:t>
            </w:r>
            <w:r>
              <w:rPr>
                <w:rFonts w:hint="eastAsia"/>
                <w:szCs w:val="21"/>
                <w:lang w:eastAsia="zh-CN"/>
              </w:rPr>
              <w:t>压力，保证安全。</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设备使用、操作和维修等方面的结构设计制造满足相关设备安全设计规范。</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szCs w:val="21"/>
                <w:lang w:eastAsia="zh-CN"/>
              </w:rPr>
              <w:t>设备要有漏电保护功能，有单独的接地线，人体容易接触的部位要有安全防护措施。</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有急停开关，启动开关，电源指示灯。</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液压油油压压力表显示。</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外设的不锈钢机壳保护液压系统，柜上安装有电源开关与指示灯。</w:t>
            </w:r>
          </w:p>
        </w:tc>
        <w:tc>
          <w:tcPr>
            <w:tcW w:w="2125" w:type="dxa"/>
            <w:shd w:val="clear" w:color="auto" w:fill="auto"/>
            <w:vAlign w:val="center"/>
          </w:tcPr>
          <w:p>
            <w:pPr>
              <w:jc w:val="both"/>
              <w:rPr>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设备操作保养手册或说明书、故障排除说明书。提交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卖方发运清单及相关检验报告。提交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szCs w:val="21"/>
                <w:lang w:eastAsia="zh-CN"/>
              </w:rPr>
              <w:t>布局图:供应商应帮助用户考虑设备放置的空间，并提供设备外形尺寸与净重。供应商在投标文件中须提供设备尺寸基础图。</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设备附属配件清单,一年内易损坏品之建议清单。</w:t>
            </w:r>
            <w:r>
              <w:rPr>
                <w:rFonts w:hint="eastAsia" w:ascii="宋体" w:hAnsi="宋体" w:cs="宋体"/>
                <w:color w:val="000000"/>
                <w:lang w:eastAsia="zh-CN"/>
              </w:rPr>
              <w:t>提交时限：设备开箱验收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szCs w:val="21"/>
                <w:lang w:eastAsia="zh-CN"/>
              </w:rPr>
            </w:pPr>
            <w:r>
              <w:rPr>
                <w:rFonts w:hint="eastAsia"/>
                <w:szCs w:val="21"/>
                <w:lang w:eastAsia="zh-CN"/>
              </w:rPr>
              <w:t>调试文件：调试计划、调试方案、设备测试记录，检测清单，测试报告，调试总结报告、现场验收报告等。</w:t>
            </w:r>
          </w:p>
        </w:tc>
        <w:tc>
          <w:tcPr>
            <w:tcW w:w="2125" w:type="dxa"/>
            <w:shd w:val="clear" w:color="auto" w:fill="auto"/>
            <w:vAlign w:val="center"/>
          </w:tcPr>
          <w:p>
            <w:pPr>
              <w:jc w:val="both"/>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szCs w:val="21"/>
                <w:lang w:eastAsia="zh-CN"/>
              </w:rPr>
              <w:t>提供文件清单中所有文件资料均须提供三份。</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5" w:edGrp="everyone"/>
    </w:p>
    <w:permEnd w:id="3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4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设备应保修期限不少于一年，有效日为完成验收日起。保修期内如发生机器故障供应商需无条件负责免费维修并更换故障零件。</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售后服务必须响应及时，要求设备出现须厂家维修的故障后，应在8小时内明确答复，当电话沟通无法解决时，须48小时内派人至现场解决。</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厂家需在国内配备有具有认证资质的工程师提供设备安装、调整、验证、培训及维修等收到服务。</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厂家应及时提供合格的备件，用于设备相应部件的维修、更换。备品零件要求：供应商提供本机使用一年之内易损坏备品零件清单及报价。</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供应商进厂安装需遵守安全和施工规定;</w:t>
            </w:r>
            <w:r>
              <w:rPr>
                <w:rFonts w:hint="eastAsia" w:ascii="宋体" w:hAnsi="宋体"/>
                <w:color w:val="000000"/>
                <w:kern w:val="2"/>
                <w:sz w:val="24"/>
                <w:szCs w:val="24"/>
                <w:lang w:val="en-US" w:eastAsia="zh-CN"/>
              </w:rPr>
              <w:t xml:space="preserve"> </w:t>
            </w:r>
            <w:r>
              <w:rPr>
                <w:rFonts w:hint="eastAsia"/>
                <w:szCs w:val="21"/>
                <w:lang w:val="en-US" w:eastAsia="zh-CN"/>
              </w:rPr>
              <w:t>确认试车验收合格后，买卖双方签订验收报告。</w:t>
            </w:r>
          </w:p>
        </w:tc>
        <w:tc>
          <w:tcPr>
            <w:tcW w:w="2125" w:type="dxa"/>
            <w:shd w:val="clear" w:color="auto" w:fill="auto"/>
            <w:vAlign w:val="center"/>
          </w:tcPr>
          <w:p>
            <w:pPr>
              <w:jc w:val="both"/>
              <w:rPr>
                <w:szCs w:val="21"/>
                <w:lang w:eastAsia="zh-CN"/>
              </w:rPr>
            </w:pPr>
            <w:r>
              <w:rPr>
                <w:rFonts w:hint="eastAsia"/>
                <w:color w:val="000000" w:themeColor="text1"/>
                <w:szCs w:val="21"/>
                <w:lang w:eastAsia="zh-CN"/>
                <w14:textFill>
                  <w14:solidFill>
                    <w14:schemeClr w14:val="tx1"/>
                  </w14:solidFill>
                </w14:textFill>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color w:val="000000" w:themeColor="text1"/>
          <w:szCs w:val="21"/>
          <w:lang w:eastAsia="zh-CN"/>
          <w14:textFill>
            <w14:solidFill>
              <w14:schemeClr w14:val="tx1"/>
            </w14:solidFill>
          </w14:textFill>
        </w:rPr>
      </w:pPr>
      <w:permStart w:id="44" w:edGrp="everyone"/>
      <w:r>
        <w:rPr>
          <w:rFonts w:hint="eastAsia"/>
          <w:color w:val="000000" w:themeColor="text1"/>
          <w:szCs w:val="21"/>
          <w:lang w:eastAsia="zh-CN"/>
          <w14:textFill>
            <w14:solidFill>
              <w14:schemeClr w14:val="tx1"/>
            </w14:solidFill>
          </w14:textFill>
        </w:rPr>
        <w:t>不适用</w:t>
      </w:r>
      <w:permEnd w:id="4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1D40"/>
    <w:multiLevelType w:val="singleLevel"/>
    <w:tmpl w:val="86ED1D40"/>
    <w:lvl w:ilvl="0" w:tentative="0">
      <w:start w:val="1"/>
      <w:numFmt w:val="decimal"/>
      <w:suff w:val="space"/>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0"/>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8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A8D"/>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77CB"/>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24B"/>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698E"/>
    <w:rsid w:val="0027137F"/>
    <w:rsid w:val="002723D2"/>
    <w:rsid w:val="002732E5"/>
    <w:rsid w:val="002745D9"/>
    <w:rsid w:val="0027477B"/>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4F2"/>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1D9E"/>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06F"/>
    <w:rsid w:val="00424D83"/>
    <w:rsid w:val="00424E29"/>
    <w:rsid w:val="00427D22"/>
    <w:rsid w:val="00427E2D"/>
    <w:rsid w:val="00430146"/>
    <w:rsid w:val="00432568"/>
    <w:rsid w:val="00436C7C"/>
    <w:rsid w:val="00437440"/>
    <w:rsid w:val="0044007E"/>
    <w:rsid w:val="00440378"/>
    <w:rsid w:val="00442B53"/>
    <w:rsid w:val="00443256"/>
    <w:rsid w:val="00444D2D"/>
    <w:rsid w:val="004510B1"/>
    <w:rsid w:val="00451C5D"/>
    <w:rsid w:val="00451D74"/>
    <w:rsid w:val="00452E73"/>
    <w:rsid w:val="00453658"/>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5DF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8C5"/>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5CD3"/>
    <w:rsid w:val="005F6CB3"/>
    <w:rsid w:val="005F7612"/>
    <w:rsid w:val="005F7663"/>
    <w:rsid w:val="005F7D63"/>
    <w:rsid w:val="00607170"/>
    <w:rsid w:val="00607408"/>
    <w:rsid w:val="00610AEE"/>
    <w:rsid w:val="00615A3A"/>
    <w:rsid w:val="00616BAC"/>
    <w:rsid w:val="00620598"/>
    <w:rsid w:val="00620FEC"/>
    <w:rsid w:val="006214DC"/>
    <w:rsid w:val="006215E2"/>
    <w:rsid w:val="0062168F"/>
    <w:rsid w:val="006220DA"/>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7FC"/>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9549A"/>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2862"/>
    <w:rsid w:val="00723A0F"/>
    <w:rsid w:val="00726CB6"/>
    <w:rsid w:val="00727255"/>
    <w:rsid w:val="0072779B"/>
    <w:rsid w:val="00727CCF"/>
    <w:rsid w:val="0073446D"/>
    <w:rsid w:val="007349FF"/>
    <w:rsid w:val="00734B45"/>
    <w:rsid w:val="00736FFB"/>
    <w:rsid w:val="00740080"/>
    <w:rsid w:val="00741A30"/>
    <w:rsid w:val="0074533C"/>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B70"/>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2CE0"/>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5F0A"/>
    <w:rsid w:val="008D6227"/>
    <w:rsid w:val="008D7A8B"/>
    <w:rsid w:val="008E39F1"/>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CAC"/>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7C93"/>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1EA5"/>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32F"/>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1E6"/>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2B"/>
    <w:rsid w:val="00B74791"/>
    <w:rsid w:val="00B76AF9"/>
    <w:rsid w:val="00B8115B"/>
    <w:rsid w:val="00B81AE2"/>
    <w:rsid w:val="00B82D30"/>
    <w:rsid w:val="00B87CC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6CF1"/>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68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69A4"/>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2076"/>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2312"/>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6CE"/>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1D1"/>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5DE2"/>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2729"/>
    <w:rsid w:val="00ED3737"/>
    <w:rsid w:val="00ED3856"/>
    <w:rsid w:val="00ED3E2E"/>
    <w:rsid w:val="00ED4CC8"/>
    <w:rsid w:val="00ED6A08"/>
    <w:rsid w:val="00EE05EE"/>
    <w:rsid w:val="00EE0AE2"/>
    <w:rsid w:val="00EE35B4"/>
    <w:rsid w:val="00EE4691"/>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491"/>
    <w:rsid w:val="00F0674D"/>
    <w:rsid w:val="00F10287"/>
    <w:rsid w:val="00F10C82"/>
    <w:rsid w:val="00F13B2E"/>
    <w:rsid w:val="00F176A0"/>
    <w:rsid w:val="00F20174"/>
    <w:rsid w:val="00F22098"/>
    <w:rsid w:val="00F223BC"/>
    <w:rsid w:val="00F23780"/>
    <w:rsid w:val="00F26185"/>
    <w:rsid w:val="00F3178C"/>
    <w:rsid w:val="00F33DE5"/>
    <w:rsid w:val="00F34B8F"/>
    <w:rsid w:val="00F3584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7A37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qFormat/>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757</Words>
  <Characters>4321</Characters>
  <Lines>36</Lines>
  <Paragraphs>10</Paragraphs>
  <TotalTime>1449</TotalTime>
  <ScaleCrop>false</ScaleCrop>
  <LinksUpToDate>false</LinksUpToDate>
  <CharactersWithSpaces>5068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2022-02-28T09:49:00Z</dcterms:created>
  <dc:creator>Lilly</dc:creator>
  <cp:lastModifiedBy>汪洋</cp:lastModifiedBy>
  <cp:lastPrinted>2022-05-07T07:39:00Z</cp:lastPrinted>
  <dcterms:modified xsi:type="dcterms:W3CDTF">2022-05-31T06:40:45Z</dcterms:modified>
  <dc:title>生效期：</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