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2717189"/>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病毒性疫苗研究二室纳米药物制备系统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1"/>
        <w:spacing w:before="0" w:line="360" w:lineRule="auto"/>
        <w:ind w:left="357"/>
        <w:jc w:val="left"/>
        <w:rPr>
          <w:szCs w:val="21"/>
          <w:lang w:eastAsia="zh-CN"/>
        </w:rPr>
      </w:pPr>
      <w:bookmarkStart w:id="8" w:name="_Toc482370141"/>
      <w:bookmarkStart w:id="9" w:name="_Toc482370349"/>
      <w:bookmarkStart w:id="10" w:name="_Toc482370757"/>
      <w:bookmarkStart w:id="11" w:name="_Toc481702475"/>
      <w:bookmarkStart w:id="12" w:name="_Toc482359936"/>
      <w:bookmarkStart w:id="13" w:name="_Toc482360281"/>
      <w:bookmarkStart w:id="14" w:name="_Toc482370061"/>
      <w:bookmarkStart w:id="15" w:name="_Toc482625279"/>
      <w:bookmarkStart w:id="16" w:name="_Toc482369805"/>
      <w:r>
        <w:rPr>
          <w:szCs w:val="21"/>
          <w:lang w:eastAsia="zh-CN"/>
        </w:rPr>
        <w:t>本文件的目的是描述武汉生物制品研究所有限责任公司</w:t>
      </w:r>
      <w:permStart w:id="3" w:edGrp="everyone"/>
      <w:r>
        <w:rPr>
          <w:rFonts w:hint="eastAsia"/>
          <w:iCs/>
          <w:szCs w:val="21"/>
          <w:lang w:eastAsia="zh-CN"/>
        </w:rPr>
        <w:t>病毒性疫苗研究二室纳米药物制备系统</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iCs/>
          <w:szCs w:val="21"/>
          <w:lang w:eastAsia="zh-CN"/>
        </w:rPr>
        <w:t>病毒性疫苗研究二室纳米药物制备系统</w:t>
      </w:r>
      <w:permEnd w:id="4"/>
      <w:r>
        <w:rPr>
          <w:szCs w:val="21"/>
          <w:lang w:eastAsia="zh-CN"/>
        </w:rPr>
        <w:t>。</w:t>
      </w:r>
      <w:bookmarkEnd w:id="8"/>
      <w:bookmarkEnd w:id="9"/>
      <w:bookmarkEnd w:id="10"/>
      <w:bookmarkEnd w:id="11"/>
      <w:bookmarkEnd w:id="12"/>
      <w:bookmarkEnd w:id="13"/>
      <w:bookmarkEnd w:id="14"/>
      <w:bookmarkEnd w:id="15"/>
      <w:bookmarkEnd w:id="16"/>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themeColor="text1"/>
          <w:szCs w:val="21"/>
          <w:lang w:eastAsia="zh-CN"/>
          <w14:textFill>
            <w14:solidFill>
              <w14:schemeClr w14:val="tx1"/>
            </w14:solidFill>
          </w14:textFill>
        </w:rPr>
      </w:pPr>
      <w:permStart w:id="5" w:edGrp="everyone"/>
      <w:r>
        <w:rPr>
          <w:color w:val="000000" w:themeColor="text1"/>
          <w:szCs w:val="21"/>
          <w:lang w:eastAsia="zh-CN"/>
          <w14:textFill>
            <w14:solidFill>
              <w14:schemeClr w14:val="tx1"/>
            </w14:solidFill>
          </w14:textFill>
        </w:rPr>
        <w:t xml:space="preserve">中国药典 </w:t>
      </w:r>
      <w:r>
        <w:rPr>
          <w:rFonts w:hint="eastAsia"/>
          <w:color w:val="000000" w:themeColor="text1"/>
          <w:szCs w:val="21"/>
          <w:lang w:eastAsia="zh-CN"/>
          <w14:textFill>
            <w14:solidFill>
              <w14:schemeClr w14:val="tx1"/>
            </w14:solidFill>
          </w14:textFill>
        </w:rPr>
        <w:t>2020</w:t>
      </w:r>
      <w:r>
        <w:rPr>
          <w:color w:val="000000" w:themeColor="text1"/>
          <w:szCs w:val="21"/>
          <w14:textFill>
            <w14:solidFill>
              <w14:schemeClr w14:val="tx1"/>
            </w14:solidFill>
          </w14:textFill>
        </w:rPr>
        <w:t>年版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color w:val="0070C0"/>
          <w:szCs w:val="21"/>
          <w:lang w:eastAsia="zh-CN"/>
        </w:rPr>
      </w:pPr>
      <w:permStart w:id="6" w:edGrp="everyone"/>
      <w:r>
        <w:rPr>
          <w:color w:val="000000" w:themeColor="text1"/>
          <w:szCs w:val="21"/>
          <w:lang w:eastAsia="zh-CN"/>
          <w14:textFill>
            <w14:solidFill>
              <w14:schemeClr w14:val="tx1"/>
            </w14:solidFill>
          </w14:textFill>
        </w:rPr>
        <w:t>电气安全应符合GB4793.1和GB4793.4的要求。</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bookmarkStart w:id="48" w:name="_GoBack"/>
      <w:bookmarkEnd w:id="48"/>
      <w:permStart w:id="7" w:edGrp="everyone"/>
      <w:permEnd w:id="7"/>
      <w:r>
        <w:rPr>
          <w:rFonts w:ascii="Times New Roman" w:hAnsi="Times New Roman"/>
          <w:b/>
        </w:rPr>
        <w:t>系统描述</w:t>
      </w:r>
      <w:bookmarkEnd w:id="21"/>
      <w:bookmarkEnd w:id="22"/>
    </w:p>
    <w:p>
      <w:pPr>
        <w:pStyle w:val="41"/>
        <w:spacing w:before="0" w:line="360" w:lineRule="auto"/>
        <w:ind w:left="357"/>
        <w:jc w:val="left"/>
        <w:rPr>
          <w:i/>
          <w:color w:val="4472C4"/>
          <w:szCs w:val="21"/>
          <w:lang w:eastAsia="zh-CN"/>
        </w:rPr>
      </w:pPr>
      <w:permStart w:id="8" w:edGrp="everyone"/>
      <w:r>
        <w:rPr>
          <w:rFonts w:hint="eastAsia"/>
          <w:iCs/>
          <w:szCs w:val="21"/>
          <w:lang w:eastAsia="zh-CN"/>
        </w:rPr>
        <w:t>病毒性疫苗研究二室拟购置一台纳米药物制备系统用于开发制造脂质体制剂，脂质体纳米粒，聚合物纳米粒，乳剂，纳米佐剂等纳米药物或制剂。通过仪器的微流控技术，应用新型处方设计完成纳米粒子结构包裹，并可对相关纳米制剂的包封率、药物释放性能以及活性进行优化</w:t>
      </w:r>
      <w:r>
        <w:rPr>
          <w:iCs/>
          <w:szCs w:val="21"/>
          <w:lang w:eastAsia="zh-CN"/>
        </w:rPr>
        <w:t>。</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1"/>
        <w:spacing w:after="158" w:afterLines="50"/>
        <w:ind w:left="425" w:firstLine="0" w:firstLineChars="0"/>
        <w:rPr>
          <w:rFonts w:ascii="Times New Roman" w:hAnsi="Times New Roman"/>
          <w:szCs w:val="21"/>
        </w:rPr>
      </w:pPr>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4" w:name="OLE_LINK1"/>
            <w:bookmarkStart w:id="25"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6970" w:type="dxa"/>
            <w:shd w:val="clear" w:color="auto" w:fill="auto"/>
            <w:vAlign w:val="center"/>
          </w:tcPr>
          <w:p>
            <w:pPr>
              <w:spacing w:line="276" w:lineRule="auto"/>
              <w:jc w:val="both"/>
              <w:rPr>
                <w:iCs/>
                <w:szCs w:val="21"/>
                <w:lang w:eastAsia="zh-CN"/>
              </w:rPr>
            </w:pPr>
            <w:r>
              <w:rPr>
                <w:rFonts w:hint="eastAsia"/>
                <w:iCs/>
                <w:szCs w:val="21"/>
                <w:lang w:eastAsia="zh-CN"/>
              </w:rPr>
              <w:t>病毒性疫苗研究二室精密仪器实验室5</w:t>
            </w:r>
          </w:p>
        </w:tc>
        <w:tc>
          <w:tcPr>
            <w:tcW w:w="2082" w:type="dxa"/>
            <w:shd w:val="clear" w:color="auto" w:fill="auto"/>
            <w:vAlign w:val="center"/>
          </w:tcPr>
          <w:p>
            <w:pPr>
              <w:jc w:val="both"/>
              <w:rPr>
                <w:iCs/>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6970" w:type="dxa"/>
            <w:shd w:val="clear" w:color="auto" w:fill="auto"/>
            <w:vAlign w:val="center"/>
          </w:tcPr>
          <w:p>
            <w:pPr>
              <w:spacing w:line="276" w:lineRule="auto"/>
              <w:jc w:val="both"/>
              <w:rPr>
                <w:iCs/>
                <w:szCs w:val="21"/>
                <w:lang w:eastAsia="zh-CN"/>
              </w:rPr>
            </w:pPr>
            <w:r>
              <w:rPr>
                <w:rFonts w:hint="eastAsia"/>
                <w:iCs/>
                <w:szCs w:val="21"/>
                <w:lang w:eastAsia="zh-CN"/>
              </w:rPr>
              <w:t>需要桌面空间不大于80c</w:t>
            </w:r>
            <w:r>
              <w:rPr>
                <w:iCs/>
                <w:szCs w:val="21"/>
                <w:lang w:eastAsia="zh-CN"/>
              </w:rPr>
              <w:t>m</w:t>
            </w:r>
            <w:r>
              <w:rPr>
                <w:rFonts w:hint="eastAsia"/>
                <w:iCs/>
                <w:szCs w:val="21"/>
                <w:lang w:eastAsia="zh-CN"/>
              </w:rPr>
              <w:t>×宽80cm</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6970" w:type="dxa"/>
            <w:shd w:val="clear" w:color="auto" w:fill="auto"/>
            <w:vAlign w:val="center"/>
          </w:tcPr>
          <w:p>
            <w:pPr>
              <w:spacing w:line="276" w:lineRule="auto"/>
              <w:jc w:val="both"/>
              <w:rPr>
                <w:color w:val="000000" w:themeColor="text1"/>
                <w:szCs w:val="21"/>
                <w:lang w:val="en-US" w:eastAsia="zh-CN"/>
                <w14:textFill>
                  <w14:solidFill>
                    <w14:schemeClr w14:val="tx1"/>
                  </w14:solidFill>
                </w14:textFill>
              </w:rPr>
            </w:pPr>
            <w:r>
              <w:rPr>
                <w:color w:val="000000" w:themeColor="text1"/>
                <w:szCs w:val="21"/>
                <w:lang w:eastAsia="zh-CN"/>
                <w14:textFill>
                  <w14:solidFill>
                    <w14:schemeClr w14:val="tx1"/>
                  </w14:solidFill>
                </w14:textFill>
              </w:rPr>
              <w:t>设备的形式尺寸应符合制造商说明书及技术文件规定的要求。</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供应商必须给出设备选型方案及相应附件选型方案，并交给我公司使用部门及工程类部门审核。</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6970" w:type="dxa"/>
            <w:shd w:val="clear" w:color="auto" w:fill="auto"/>
            <w:vAlign w:val="center"/>
          </w:tcPr>
          <w:p>
            <w:pPr>
              <w:spacing w:line="276" w:lineRule="auto"/>
              <w:jc w:val="both"/>
              <w:rPr>
                <w:iCs/>
                <w:color w:val="0070C0"/>
                <w:szCs w:val="21"/>
                <w:lang w:eastAsia="zh-CN"/>
              </w:rPr>
            </w:pPr>
            <w:r>
              <w:rPr>
                <w:rFonts w:hint="eastAsia"/>
                <w:iCs/>
                <w:szCs w:val="21"/>
                <w:lang w:eastAsia="zh-CN"/>
              </w:rPr>
              <w:t>约50kg</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pStyle w:val="31"/>
              <w:ind w:firstLine="0" w:firstLineChars="0"/>
              <w:rPr>
                <w:rFonts w:ascii="Times New Roman" w:hAnsi="Times New Roman"/>
                <w:szCs w:val="21"/>
              </w:rPr>
            </w:pPr>
            <w:permStart w:id="14" w:edGrp="everyone"/>
          </w:p>
        </w:tc>
        <w:tc>
          <w:tcPr>
            <w:tcW w:w="9052"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6970" w:type="dxa"/>
            <w:shd w:val="clear" w:color="auto" w:fill="auto"/>
            <w:vAlign w:val="center"/>
          </w:tcPr>
          <w:p>
            <w:pPr>
              <w:spacing w:line="276" w:lineRule="auto"/>
              <w:jc w:val="both"/>
              <w:rPr>
                <w:iCs/>
                <w:szCs w:val="21"/>
                <w:lang w:eastAsia="zh-CN"/>
              </w:rPr>
            </w:pPr>
            <w:r>
              <w:rPr>
                <w:iCs/>
                <w:lang w:eastAsia="zh-CN"/>
              </w:rPr>
              <w:t>工作环境温度：能适应10</w:t>
            </w:r>
            <w:r>
              <w:rPr>
                <w:rFonts w:hint="eastAsia" w:ascii="宋体" w:hAnsi="宋体" w:cs="宋体"/>
                <w:iCs/>
                <w:lang w:eastAsia="zh-CN"/>
              </w:rPr>
              <w:t>℃</w:t>
            </w:r>
            <w:r>
              <w:rPr>
                <w:iCs/>
                <w:lang w:eastAsia="zh-CN"/>
              </w:rPr>
              <w:t>～32</w:t>
            </w:r>
            <w:r>
              <w:rPr>
                <w:rFonts w:hint="eastAsia" w:ascii="宋体" w:hAnsi="宋体" w:cs="宋体"/>
                <w:iCs/>
                <w:lang w:eastAsia="zh-CN"/>
              </w:rPr>
              <w:t>℃</w:t>
            </w:r>
            <w:r>
              <w:rPr>
                <w:iCs/>
                <w:lang w:eastAsia="zh-CN"/>
              </w:rPr>
              <w:t>环境</w:t>
            </w:r>
          </w:p>
        </w:tc>
        <w:tc>
          <w:tcPr>
            <w:tcW w:w="2082" w:type="dxa"/>
            <w:shd w:val="clear" w:color="auto" w:fill="auto"/>
            <w:vAlign w:val="center"/>
          </w:tcPr>
          <w:p>
            <w:pPr>
              <w:jc w:val="both"/>
              <w:rPr>
                <w:szCs w:val="21"/>
                <w:lang w:eastAsia="zh-CN"/>
              </w:rPr>
            </w:pPr>
            <w:r>
              <w:rPr>
                <w:rFonts w:hint="eastAsia"/>
                <w:szCs w:val="21"/>
                <w:lang w:eastAsia="zh-CN"/>
              </w:rPr>
              <w:t>期望</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6970" w:type="dxa"/>
            <w:shd w:val="clear" w:color="auto" w:fill="auto"/>
            <w:vAlign w:val="center"/>
          </w:tcPr>
          <w:p>
            <w:pPr>
              <w:spacing w:line="276" w:lineRule="auto"/>
              <w:jc w:val="both"/>
              <w:rPr>
                <w:szCs w:val="21"/>
                <w:lang w:eastAsia="zh-CN"/>
              </w:rPr>
            </w:pPr>
            <w:r>
              <w:rPr>
                <w:color w:val="000000"/>
                <w:lang w:eastAsia="zh-CN"/>
              </w:rPr>
              <w:t>工作环境</w:t>
            </w:r>
            <w:r>
              <w:rPr>
                <w:lang w:eastAsia="zh-CN"/>
              </w:rPr>
              <w:t>湿度：</w:t>
            </w:r>
            <w:r>
              <w:rPr>
                <w:rFonts w:hint="eastAsia"/>
                <w:lang w:eastAsia="zh-CN"/>
              </w:rPr>
              <w:t>0</w:t>
            </w:r>
            <w:r>
              <w:rPr>
                <w:lang w:eastAsia="zh-CN"/>
              </w:rPr>
              <w:t>%～65%</w:t>
            </w:r>
          </w:p>
        </w:tc>
        <w:tc>
          <w:tcPr>
            <w:tcW w:w="2082" w:type="dxa"/>
            <w:shd w:val="clear" w:color="auto" w:fill="auto"/>
            <w:vAlign w:val="center"/>
          </w:tcPr>
          <w:p>
            <w:pPr>
              <w:jc w:val="both"/>
              <w:rPr>
                <w:szCs w:val="21"/>
                <w:lang w:eastAsia="zh-CN"/>
              </w:rPr>
            </w:pPr>
            <w:r>
              <w:rPr>
                <w:rFonts w:hint="eastAsia"/>
                <w:szCs w:val="21"/>
                <w:lang w:eastAsia="zh-CN"/>
              </w:rPr>
              <w:t>期望</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6970" w:type="dxa"/>
            <w:shd w:val="clear" w:color="auto" w:fill="auto"/>
            <w:vAlign w:val="center"/>
          </w:tcPr>
          <w:p>
            <w:pPr>
              <w:spacing w:line="276" w:lineRule="auto"/>
              <w:jc w:val="both"/>
              <w:rPr>
                <w:color w:val="000000"/>
                <w:lang w:eastAsia="zh-CN"/>
              </w:rPr>
            </w:pPr>
            <w:r>
              <w:rPr>
                <w:color w:val="000000"/>
                <w:lang w:eastAsia="zh-CN"/>
              </w:rPr>
              <w:t>工作环境洁净级别</w:t>
            </w:r>
            <w:r>
              <w:rPr>
                <w:lang w:eastAsia="zh-CN"/>
              </w:rPr>
              <w:t>：普通区域</w:t>
            </w:r>
            <w:r>
              <w:rPr>
                <w:rFonts w:hint="eastAsia"/>
                <w:lang w:eastAsia="zh-CN"/>
              </w:rPr>
              <w:t xml:space="preserve"> </w:t>
            </w:r>
          </w:p>
        </w:tc>
        <w:tc>
          <w:tcPr>
            <w:tcW w:w="2082" w:type="dxa"/>
            <w:shd w:val="clear" w:color="auto" w:fill="auto"/>
            <w:vAlign w:val="center"/>
          </w:tcPr>
          <w:p>
            <w:pPr>
              <w:jc w:val="both"/>
              <w:rPr>
                <w:szCs w:val="21"/>
                <w:lang w:eastAsia="zh-CN"/>
              </w:rPr>
            </w:pPr>
            <w:r>
              <w:rPr>
                <w:rFonts w:hint="eastAsia"/>
                <w:szCs w:val="21"/>
                <w:lang w:eastAsia="zh-CN"/>
              </w:rPr>
              <w:t>期望</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6970" w:type="dxa"/>
            <w:shd w:val="clear" w:color="auto" w:fill="auto"/>
            <w:vAlign w:val="center"/>
          </w:tcPr>
          <w:p>
            <w:pPr>
              <w:spacing w:line="276" w:lineRule="auto"/>
              <w:jc w:val="both"/>
              <w:rPr>
                <w:color w:val="000000"/>
                <w:lang w:eastAsia="zh-CN"/>
              </w:rPr>
            </w:pPr>
            <w:r>
              <w:rPr>
                <w:color w:val="000000"/>
                <w:lang w:eastAsia="zh-CN"/>
              </w:rPr>
              <w:t>交流电电源：</w:t>
            </w:r>
            <w:r>
              <w:rPr>
                <w:rFonts w:hint="eastAsia"/>
                <w:szCs w:val="21"/>
                <w:lang w:eastAsia="zh-CN"/>
              </w:rPr>
              <w:t>～220±10%V</w:t>
            </w:r>
            <w:r>
              <w:rPr>
                <w:i/>
                <w:color w:val="0070C0"/>
                <w:lang w:eastAsia="zh-CN"/>
              </w:rPr>
              <w:t>，</w:t>
            </w:r>
            <w:r>
              <w:rPr>
                <w:color w:val="000000"/>
                <w:szCs w:val="21"/>
                <w:lang w:eastAsia="zh-CN"/>
              </w:rPr>
              <w:t>50-60 Hz</w:t>
            </w:r>
          </w:p>
        </w:tc>
        <w:tc>
          <w:tcPr>
            <w:tcW w:w="2082" w:type="dxa"/>
            <w:shd w:val="clear" w:color="auto" w:fill="auto"/>
            <w:vAlign w:val="center"/>
          </w:tcPr>
          <w:p>
            <w:pPr>
              <w:jc w:val="both"/>
              <w:rPr>
                <w:szCs w:val="21"/>
                <w:lang w:eastAsia="zh-CN"/>
              </w:rPr>
            </w:pPr>
            <w:r>
              <w:rPr>
                <w:rFonts w:hint="eastAsia"/>
                <w:szCs w:val="21"/>
                <w:lang w:eastAsia="zh-CN"/>
              </w:rPr>
              <w:t>期望</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6970"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sz w:val="21"/>
                <w:szCs w:val="21"/>
                <w:lang w:eastAsia="zh-CN"/>
              </w:rPr>
            </w:pPr>
            <w:r>
              <w:rPr>
                <w:sz w:val="21"/>
                <w:szCs w:val="21"/>
              </w:rPr>
              <w:t>（</w:t>
            </w:r>
            <w:r>
              <w:rPr>
                <w:sz w:val="21"/>
                <w:szCs w:val="21"/>
                <w:lang w:eastAsia="zh-CN"/>
              </w:rPr>
              <w:t>6</w:t>
            </w:r>
            <w:r>
              <w:rPr>
                <w:sz w:val="21"/>
                <w:szCs w:val="21"/>
              </w:rPr>
              <w:t>）安全标识。</w:t>
            </w:r>
          </w:p>
        </w:tc>
        <w:tc>
          <w:tcPr>
            <w:tcW w:w="2082" w:type="dxa"/>
            <w:shd w:val="clear" w:color="auto" w:fill="auto"/>
            <w:vAlign w:val="center"/>
          </w:tcPr>
          <w:p>
            <w:pPr>
              <w:jc w:val="both"/>
              <w:rPr>
                <w:szCs w:val="21"/>
                <w:lang w:eastAsia="zh-CN"/>
              </w:rPr>
            </w:pPr>
            <w:r>
              <w:rPr>
                <w:rFonts w:hint="eastAsia"/>
                <w:szCs w:val="21"/>
                <w:lang w:eastAsia="zh-CN"/>
              </w:rPr>
              <w:t>期望</w:t>
            </w:r>
          </w:p>
        </w:tc>
      </w:tr>
      <w:bookmarkEnd w:id="24"/>
      <w:bookmarkEnd w:id="25"/>
      <w:permEnd w:id="20"/>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41"/>
        <w:spacing w:before="0" w:line="360" w:lineRule="auto"/>
        <w:jc w:val="left"/>
        <w:rPr>
          <w:bCs/>
          <w:i/>
          <w:color w:val="4472C4"/>
          <w:kern w:val="44"/>
          <w:szCs w:val="21"/>
          <w:lang w:eastAsia="zh-CN"/>
        </w:rPr>
      </w:pPr>
      <w:permStart w:id="21" w:edGrp="everyone"/>
    </w:p>
    <w:permEnd w:id="2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pStyle w:val="31"/>
              <w:ind w:firstLine="0" w:firstLineChars="0"/>
              <w:rPr>
                <w:rFonts w:ascii="Times New Roman" w:hAnsi="Times New Roman"/>
                <w:szCs w:val="21"/>
              </w:rPr>
            </w:pPr>
            <w:permStart w:id="22" w:edGrp="everyone"/>
          </w:p>
        </w:tc>
        <w:tc>
          <w:tcPr>
            <w:tcW w:w="9052"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6970" w:type="dxa"/>
            <w:shd w:val="clear" w:color="auto" w:fill="auto"/>
            <w:vAlign w:val="center"/>
          </w:tcPr>
          <w:p>
            <w:pPr>
              <w:spacing w:line="276" w:lineRule="auto"/>
              <w:jc w:val="both"/>
              <w:rPr>
                <w:szCs w:val="21"/>
                <w:lang w:eastAsia="zh-CN"/>
              </w:rPr>
            </w:pPr>
            <w:r>
              <w:rPr>
                <w:color w:val="000000" w:themeColor="text1"/>
                <w:szCs w:val="21"/>
                <w14:textFill>
                  <w14:solidFill>
                    <w14:schemeClr w14:val="tx1"/>
                  </w14:solidFill>
                </w14:textFill>
              </w:rPr>
              <w:t>制备体积：1-20 ml</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6970" w:type="dxa"/>
            <w:shd w:val="clear" w:color="auto" w:fill="auto"/>
            <w:vAlign w:val="center"/>
          </w:tcPr>
          <w:p>
            <w:pPr>
              <w:pStyle w:val="31"/>
              <w:numPr>
                <w:ilvl w:val="0"/>
                <w:numId w:val="9"/>
              </w:numPr>
              <w:spacing w:line="276" w:lineRule="auto"/>
              <w:ind w:firstLineChars="0"/>
              <w:rPr>
                <w:rFonts w:ascii="Times New Roman" w:hAnsi="Times New Roman" w:eastAsiaTheme="minorEastAsia"/>
                <w:bCs/>
                <w:szCs w:val="21"/>
              </w:rPr>
            </w:pPr>
            <w:r>
              <w:rPr>
                <w:rFonts w:ascii="Times New Roman" w:hAnsi="Times New Roman" w:eastAsiaTheme="minorEastAsia"/>
                <w:bCs/>
                <w:szCs w:val="21"/>
              </w:rPr>
              <w:t>通道流速：</w:t>
            </w:r>
            <w:r>
              <w:rPr>
                <w:rFonts w:hint="eastAsia" w:ascii="Times New Roman" w:hAnsi="Times New Roman" w:eastAsiaTheme="minorEastAsia"/>
                <w:bCs/>
                <w:szCs w:val="21"/>
              </w:rPr>
              <w:t>1</w:t>
            </w:r>
            <w:r>
              <w:rPr>
                <w:rFonts w:ascii="Times New Roman" w:hAnsi="Times New Roman" w:eastAsiaTheme="minorEastAsia"/>
                <w:bCs/>
                <w:szCs w:val="21"/>
              </w:rPr>
              <w:t>-</w:t>
            </w:r>
            <w:r>
              <w:rPr>
                <w:rFonts w:hint="eastAsia" w:ascii="Times New Roman" w:hAnsi="Times New Roman" w:eastAsiaTheme="minorEastAsia"/>
                <w:bCs/>
                <w:szCs w:val="21"/>
              </w:rPr>
              <w:t>20</w:t>
            </w:r>
            <w:r>
              <w:rPr>
                <w:rFonts w:ascii="Times New Roman" w:hAnsi="Times New Roman" w:eastAsiaTheme="minorEastAsia"/>
                <w:bCs/>
                <w:szCs w:val="21"/>
              </w:rPr>
              <w:t xml:space="preserve"> mL/min</w:t>
            </w:r>
          </w:p>
          <w:p>
            <w:pPr>
              <w:pStyle w:val="31"/>
              <w:numPr>
                <w:ilvl w:val="0"/>
                <w:numId w:val="9"/>
              </w:numPr>
              <w:spacing w:line="276" w:lineRule="auto"/>
              <w:ind w:firstLineChars="0"/>
              <w:rPr>
                <w:rFonts w:ascii="Times New Roman" w:hAnsi="Times New Roman" w:eastAsiaTheme="minorEastAsia"/>
                <w:bCs/>
                <w:szCs w:val="21"/>
              </w:rPr>
            </w:pPr>
            <w:r>
              <w:rPr>
                <w:rFonts w:ascii="Times New Roman" w:hAnsi="Times New Roman" w:eastAsiaTheme="minorEastAsia"/>
                <w:bCs/>
                <w:szCs w:val="21"/>
              </w:rPr>
              <w:t>纳米颗粒制备产物粒径范围：30-</w:t>
            </w:r>
            <w:r>
              <w:rPr>
                <w:rFonts w:hint="eastAsia" w:ascii="Times New Roman" w:hAnsi="Times New Roman" w:eastAsiaTheme="minorEastAsia"/>
                <w:bCs/>
                <w:szCs w:val="21"/>
              </w:rPr>
              <w:t>5</w:t>
            </w:r>
            <w:r>
              <w:rPr>
                <w:rFonts w:ascii="Times New Roman" w:hAnsi="Times New Roman" w:eastAsiaTheme="minorEastAsia"/>
                <w:bCs/>
                <w:szCs w:val="21"/>
              </w:rPr>
              <w:t>00 nm；</w:t>
            </w:r>
          </w:p>
          <w:p>
            <w:pPr>
              <w:pStyle w:val="31"/>
              <w:numPr>
                <w:ilvl w:val="0"/>
                <w:numId w:val="9"/>
              </w:numPr>
              <w:spacing w:line="276" w:lineRule="auto"/>
              <w:ind w:firstLineChars="0"/>
              <w:rPr>
                <w:rFonts w:ascii="Times New Roman" w:hAnsi="Times New Roman" w:eastAsiaTheme="minorEastAsia"/>
                <w:bCs/>
                <w:szCs w:val="21"/>
              </w:rPr>
            </w:pPr>
            <w:r>
              <w:rPr>
                <w:rFonts w:ascii="Times New Roman" w:hAnsi="Times New Roman" w:eastAsiaTheme="minorEastAsia"/>
                <w:bCs/>
                <w:szCs w:val="21"/>
              </w:rPr>
              <w:t>颗粒分散系数：PDI≤0.</w:t>
            </w:r>
            <w:r>
              <w:rPr>
                <w:rFonts w:hint="eastAsia" w:ascii="Times New Roman" w:hAnsi="Times New Roman" w:eastAsiaTheme="minorEastAsia"/>
                <w:bCs/>
                <w:szCs w:val="21"/>
              </w:rPr>
              <w:t>3</w:t>
            </w:r>
            <w:r>
              <w:rPr>
                <w:rFonts w:ascii="Times New Roman" w:hAnsi="Times New Roman" w:eastAsiaTheme="minorEastAsia"/>
                <w:bCs/>
                <w:szCs w:val="21"/>
              </w:rPr>
              <w:t>；</w:t>
            </w:r>
          </w:p>
          <w:p>
            <w:pPr>
              <w:pStyle w:val="31"/>
              <w:numPr>
                <w:ilvl w:val="0"/>
                <w:numId w:val="9"/>
              </w:numPr>
              <w:spacing w:line="276" w:lineRule="auto"/>
              <w:ind w:firstLineChars="0"/>
              <w:rPr>
                <w:rFonts w:ascii="Times New Roman" w:hAnsi="Times New Roman" w:eastAsiaTheme="minorEastAsia"/>
                <w:bCs/>
                <w:szCs w:val="21"/>
              </w:rPr>
            </w:pPr>
            <w:r>
              <w:rPr>
                <w:rFonts w:ascii="Times New Roman" w:hAnsi="Times New Roman" w:eastAsiaTheme="minorEastAsia"/>
                <w:bCs/>
                <w:szCs w:val="21"/>
              </w:rPr>
              <w:t>流体混合时间≤</w:t>
            </w:r>
            <w:r>
              <w:rPr>
                <w:rFonts w:hint="eastAsia" w:ascii="Times New Roman" w:hAnsi="Times New Roman" w:eastAsiaTheme="minorEastAsia"/>
                <w:bCs/>
                <w:szCs w:val="21"/>
              </w:rPr>
              <w:t>5</w:t>
            </w:r>
            <w:r>
              <w:rPr>
                <w:rFonts w:ascii="Times New Roman" w:hAnsi="Times New Roman" w:eastAsiaTheme="minorEastAsia"/>
                <w:bCs/>
                <w:szCs w:val="21"/>
              </w:rPr>
              <w:t>ms；</w:t>
            </w:r>
          </w:p>
          <w:p>
            <w:pPr>
              <w:pStyle w:val="31"/>
              <w:numPr>
                <w:ilvl w:val="0"/>
                <w:numId w:val="9"/>
              </w:numPr>
              <w:spacing w:line="276" w:lineRule="auto"/>
              <w:ind w:firstLineChars="0"/>
              <w:rPr>
                <w:rFonts w:ascii="仿宋_GB2312" w:eastAsia="仿宋_GB2312"/>
                <w:bCs/>
                <w:sz w:val="24"/>
                <w:szCs w:val="20"/>
              </w:rPr>
            </w:pPr>
            <w:r>
              <w:rPr>
                <w:rFonts w:ascii="Times New Roman" w:hAnsi="Times New Roman" w:eastAsiaTheme="minorEastAsia"/>
                <w:bCs/>
                <w:szCs w:val="21"/>
              </w:rPr>
              <w:t>控温范围：室温-80℃</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6970" w:type="dxa"/>
            <w:shd w:val="clear" w:color="auto" w:fill="auto"/>
            <w:vAlign w:val="center"/>
          </w:tcPr>
          <w:p>
            <w:pPr>
              <w:pStyle w:val="31"/>
              <w:numPr>
                <w:ilvl w:val="0"/>
                <w:numId w:val="10"/>
              </w:numPr>
              <w:spacing w:line="276" w:lineRule="auto"/>
              <w:ind w:firstLineChars="0"/>
              <w:rPr>
                <w:rFonts w:ascii="Times New Roman" w:hAnsi="Times New Roman" w:eastAsiaTheme="minorEastAsia"/>
                <w:bCs/>
                <w:szCs w:val="21"/>
              </w:rPr>
            </w:pPr>
            <w:r>
              <w:rPr>
                <w:rFonts w:hint="eastAsia" w:ascii="Times New Roman" w:hAnsi="Times New Roman" w:eastAsiaTheme="minorEastAsia"/>
                <w:bCs/>
                <w:szCs w:val="21"/>
              </w:rPr>
              <w:t>流速精准度：≤±3%；</w:t>
            </w:r>
          </w:p>
          <w:p>
            <w:pPr>
              <w:pStyle w:val="31"/>
              <w:numPr>
                <w:ilvl w:val="0"/>
                <w:numId w:val="10"/>
              </w:numPr>
              <w:spacing w:line="276" w:lineRule="auto"/>
              <w:ind w:firstLineChars="0"/>
              <w:rPr>
                <w:rFonts w:ascii="Times New Roman" w:hAnsi="Times New Roman" w:eastAsiaTheme="minorEastAsia"/>
                <w:bCs/>
                <w:szCs w:val="21"/>
              </w:rPr>
            </w:pPr>
            <w:r>
              <w:rPr>
                <w:rFonts w:hint="eastAsia" w:ascii="Times New Roman" w:hAnsi="Times New Roman" w:eastAsiaTheme="minorEastAsia"/>
                <w:bCs/>
                <w:szCs w:val="21"/>
              </w:rPr>
              <w:t>控温精度：全温度范围内，≤±1℃；</w:t>
            </w:r>
          </w:p>
          <w:p>
            <w:pPr>
              <w:pStyle w:val="31"/>
              <w:numPr>
                <w:ilvl w:val="0"/>
                <w:numId w:val="10"/>
              </w:numPr>
              <w:spacing w:line="276" w:lineRule="auto"/>
              <w:ind w:firstLineChars="0"/>
              <w:rPr>
                <w:szCs w:val="21"/>
              </w:rPr>
            </w:pPr>
            <w:r>
              <w:rPr>
                <w:rFonts w:hint="eastAsia" w:ascii="Times New Roman" w:hAnsi="Times New Roman" w:eastAsiaTheme="minorEastAsia"/>
                <w:bCs/>
                <w:szCs w:val="21"/>
              </w:rPr>
              <w:t>设备具备前后废液自动切换功能，可有效控制和减少废液量，节约物料成本；</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eastAsiaTheme="minorEastAsia"/>
                <w:szCs w:val="21"/>
                <w:lang w:eastAsia="zh-CN"/>
              </w:rPr>
            </w:pPr>
            <w:r>
              <w:rPr>
                <w:rFonts w:eastAsiaTheme="minorEastAsia"/>
                <w:bCs/>
                <w:szCs w:val="21"/>
                <w:lang w:eastAsia="zh-CN"/>
              </w:rPr>
              <w:t>注射器：可使用1 mL、2.5 mL、5 mL、10mL等进口和国产注射器</w:t>
            </w:r>
            <w:r>
              <w:rPr>
                <w:rFonts w:hint="eastAsia" w:eastAsiaTheme="minorEastAsia"/>
                <w:bCs/>
                <w:szCs w:val="21"/>
                <w:lang w:eastAsia="zh-CN"/>
              </w:rPr>
              <w:t>；</w:t>
            </w:r>
            <w:r>
              <w:rPr>
                <w:rFonts w:eastAsiaTheme="minorEastAsia"/>
                <w:bCs/>
                <w:szCs w:val="21"/>
                <w:lang w:eastAsia="zh-CN"/>
              </w:rPr>
              <w:t>或压力泵进样</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eastAsiaTheme="minorEastAsia"/>
                <w:bCs/>
                <w:szCs w:val="21"/>
                <w:lang w:eastAsia="zh-CN"/>
              </w:rPr>
            </w:pPr>
            <w:r>
              <w:rPr>
                <w:rFonts w:eastAsiaTheme="minorEastAsia"/>
                <w:bCs/>
                <w:szCs w:val="21"/>
                <w:lang w:eastAsia="zh-CN"/>
              </w:rPr>
              <w:t xml:space="preserve">废液和样品收集：15 ml或50 ml </w:t>
            </w:r>
            <w:r>
              <w:rPr>
                <w:rFonts w:hint="eastAsia" w:eastAsiaTheme="minorEastAsia"/>
                <w:bCs/>
                <w:szCs w:val="21"/>
                <w:lang w:eastAsia="zh-CN"/>
              </w:rPr>
              <w:t>离心</w:t>
            </w:r>
            <w:r>
              <w:rPr>
                <w:rFonts w:eastAsiaTheme="minorEastAsia"/>
                <w:bCs/>
                <w:szCs w:val="21"/>
                <w:lang w:eastAsia="zh-CN"/>
              </w:rPr>
              <w:t>管</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eastAsiaTheme="minorEastAsia"/>
                <w:bCs/>
                <w:szCs w:val="21"/>
                <w:lang w:eastAsia="zh-CN"/>
              </w:rPr>
            </w:pPr>
            <w:r>
              <w:rPr>
                <w:rFonts w:eastAsiaTheme="minorEastAsia"/>
                <w:bCs/>
                <w:szCs w:val="21"/>
                <w:lang w:eastAsia="zh-CN"/>
              </w:rPr>
              <w:t>系统芯片：</w:t>
            </w:r>
          </w:p>
          <w:p>
            <w:pPr>
              <w:spacing w:line="312" w:lineRule="auto"/>
              <w:rPr>
                <w:rFonts w:eastAsiaTheme="minorEastAsia"/>
                <w:bCs/>
                <w:szCs w:val="21"/>
                <w:lang w:eastAsia="zh-CN"/>
              </w:rPr>
            </w:pPr>
            <w:r>
              <w:rPr>
                <w:rFonts w:eastAsiaTheme="minorEastAsia"/>
                <w:bCs/>
                <w:szCs w:val="21"/>
                <w:lang w:eastAsia="zh-CN"/>
              </w:rPr>
              <w:t>1.芯片材质为COP或COC材质，</w:t>
            </w:r>
            <w:r>
              <w:rPr>
                <w:rFonts w:hint="eastAsia" w:eastAsiaTheme="minorEastAsia"/>
                <w:bCs/>
                <w:szCs w:val="21"/>
                <w:lang w:eastAsia="zh-CN"/>
              </w:rPr>
              <w:t>可</w:t>
            </w:r>
            <w:r>
              <w:rPr>
                <w:rFonts w:eastAsiaTheme="minorEastAsia"/>
                <w:bCs/>
                <w:szCs w:val="21"/>
                <w:lang w:eastAsia="zh-CN"/>
              </w:rPr>
              <w:t xml:space="preserve">提供材质证明文件； </w:t>
            </w:r>
          </w:p>
          <w:p>
            <w:pPr>
              <w:spacing w:line="312" w:lineRule="auto"/>
              <w:rPr>
                <w:rFonts w:eastAsiaTheme="minorEastAsia"/>
                <w:bCs/>
                <w:szCs w:val="21"/>
                <w:lang w:eastAsia="zh-CN"/>
              </w:rPr>
            </w:pPr>
            <w:r>
              <w:rPr>
                <w:rFonts w:hint="eastAsia" w:eastAsiaTheme="minorEastAsia"/>
                <w:bCs/>
                <w:szCs w:val="21"/>
                <w:lang w:eastAsia="zh-CN"/>
              </w:rPr>
              <w:t>2</w:t>
            </w:r>
            <w:r>
              <w:rPr>
                <w:rFonts w:eastAsiaTheme="minorEastAsia"/>
                <w:bCs/>
                <w:szCs w:val="21"/>
                <w:lang w:eastAsia="zh-CN"/>
              </w:rPr>
              <w:t>.芯片为无菌去热源；</w:t>
            </w:r>
          </w:p>
          <w:p>
            <w:pPr>
              <w:spacing w:line="312" w:lineRule="auto"/>
              <w:rPr>
                <w:rFonts w:eastAsiaTheme="minorEastAsia"/>
                <w:bCs/>
                <w:szCs w:val="21"/>
                <w:lang w:eastAsia="zh-CN"/>
              </w:rPr>
            </w:pPr>
            <w:r>
              <w:rPr>
                <w:rFonts w:hint="eastAsia" w:eastAsiaTheme="minorEastAsia"/>
                <w:bCs/>
                <w:szCs w:val="21"/>
                <w:lang w:eastAsia="zh-CN"/>
              </w:rPr>
              <w:t>3</w:t>
            </w:r>
            <w:r>
              <w:rPr>
                <w:rFonts w:eastAsiaTheme="minorEastAsia"/>
                <w:bCs/>
                <w:szCs w:val="21"/>
                <w:lang w:eastAsia="zh-CN"/>
              </w:rPr>
              <w:t>.芯片可兼容溶剂：甲醇、乙醇、乙腈、丙酮、正丙醇、异丙醇、DMF、DMSO等；</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70151"/>
      <w:bookmarkStart w:id="33" w:name="_Toc483400317"/>
      <w:bookmarkStart w:id="34" w:name="_Toc482370767"/>
      <w:bookmarkStart w:id="35" w:name="_Toc482625289"/>
      <w:bookmarkStart w:id="36" w:name="_Toc482360291"/>
      <w:bookmarkStart w:id="37" w:name="_Toc483227237"/>
      <w:bookmarkStart w:id="38" w:name="_Toc482370071"/>
      <w:bookmarkStart w:id="39" w:name="_Toc482359946"/>
      <w:bookmarkStart w:id="40" w:name="_Toc482369815"/>
      <w:bookmarkStart w:id="41" w:name="_Toc482717202"/>
      <w:r>
        <w:rPr>
          <w:rFonts w:ascii="Times New Roman" w:hAnsi="Times New Roman"/>
          <w:b/>
        </w:rPr>
        <w:t>电气、自动控制要求</w:t>
      </w:r>
      <w:bookmarkEnd w:id="28"/>
    </w:p>
    <w:p>
      <w:pPr>
        <w:pStyle w:val="41"/>
        <w:spacing w:before="0" w:line="360" w:lineRule="auto"/>
        <w:jc w:val="left"/>
        <w:rPr>
          <w:i/>
          <w:color w:val="4472C4"/>
          <w:szCs w:val="21"/>
          <w:lang w:eastAsia="zh-CN"/>
        </w:rPr>
      </w:pPr>
      <w:permStart w:id="26" w:edGrp="everyone"/>
    </w:p>
    <w:permEnd w:id="2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rFonts w:asciiTheme="minorEastAsia" w:hAnsiTheme="minorEastAsia"/>
                <w:szCs w:val="21"/>
                <w:lang w:eastAsia="zh-CN"/>
              </w:rPr>
            </w:pPr>
            <w:r>
              <w:rPr>
                <w:rFonts w:hint="eastAsia"/>
                <w:szCs w:val="21"/>
                <w:lang w:eastAsia="zh-CN"/>
              </w:rPr>
              <w:t>1.</w:t>
            </w:r>
            <w:r>
              <w:rPr>
                <w:szCs w:val="21"/>
                <w:lang w:eastAsia="zh-CN"/>
              </w:rPr>
              <w:t xml:space="preserve"> </w:t>
            </w:r>
            <w:r>
              <w:rPr>
                <w:rFonts w:hint="eastAsia"/>
                <w:szCs w:val="21"/>
                <w:lang w:eastAsia="zh-CN"/>
              </w:rPr>
              <w:t>若配备电脑：电脑主机配置不低于N5100处理器，128G硬盘，16GDDR3内存，128GSSD，DVD光驱，15.6寸液晶显示器；预装工作站软件以及相关辅助应用软件；</w:t>
            </w:r>
            <w:r>
              <w:rPr>
                <w:rFonts w:hint="eastAsia" w:asciiTheme="minorEastAsia" w:hAnsiTheme="minorEastAsia"/>
                <w:szCs w:val="21"/>
                <w:lang w:eastAsia="zh-CN"/>
              </w:rPr>
              <w:t>如果有新的软件版本或者升级补丁，可提供最新的版本或补丁。需确保各软件间的兼容性，不应出现因兼容性导致的系统运行异常。</w:t>
            </w:r>
          </w:p>
          <w:p>
            <w:pPr>
              <w:spacing w:line="276" w:lineRule="auto"/>
              <w:jc w:val="both"/>
              <w:rPr>
                <w:iCs/>
                <w:szCs w:val="21"/>
                <w:lang w:eastAsia="zh-CN"/>
              </w:rPr>
            </w:pPr>
            <w:r>
              <w:rPr>
                <w:rFonts w:hint="eastAsia"/>
                <w:szCs w:val="21"/>
                <w:lang w:eastAsia="zh-CN"/>
              </w:rPr>
              <w:t>2.</w:t>
            </w:r>
            <w:r>
              <w:rPr>
                <w:rFonts w:asciiTheme="minorEastAsia" w:hAnsiTheme="minorEastAsia" w:eastAsiaTheme="minorEastAsia"/>
                <w:szCs w:val="21"/>
                <w:lang w:eastAsia="zh-CN"/>
              </w:rPr>
              <w:t xml:space="preserve"> </w:t>
            </w:r>
            <w:r>
              <w:rPr>
                <w:rFonts w:hint="eastAsia"/>
                <w:szCs w:val="21"/>
                <w:lang w:eastAsia="zh-CN"/>
              </w:rPr>
              <w:t>若软件兼容在主机内，</w:t>
            </w:r>
            <w:r>
              <w:rPr>
                <w:rFonts w:hint="eastAsia" w:asciiTheme="minorEastAsia" w:hAnsiTheme="minorEastAsia"/>
                <w:szCs w:val="21"/>
                <w:lang w:eastAsia="zh-CN"/>
              </w:rPr>
              <w:t>需确保各软件间的兼容性，不应出现因兼容性导致的系统运行异常。如果采购期间有新的软件版本或者升级补丁，可提供最新的版本或补丁。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szCs w:val="21"/>
                <w:lang w:eastAsia="zh-CN"/>
              </w:rPr>
              <w:t>工作软件功能：可设置流速比、总流速、初段和末端废液量、芯片类型、温度、注射器规格、溶液体积等操作参数；</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szCs w:val="21"/>
                <w:lang w:eastAsia="zh-CN"/>
              </w:rPr>
              <w:t>自动报警提示：当操作错误和发生故障时，系统会实时预警并提示错误参数。</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具有断电或关机保护功能</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rFonts w:asciiTheme="minorEastAsia" w:hAnsiTheme="minorEastAsia"/>
                <w:szCs w:val="21"/>
                <w:lang w:eastAsia="zh-CN"/>
              </w:rPr>
            </w:pPr>
            <w:r>
              <w:rPr>
                <w:rFonts w:hint="eastAsia" w:asciiTheme="minorEastAsia" w:hAnsiTheme="minorEastAsia"/>
                <w:szCs w:val="21"/>
                <w:lang w:eastAsia="zh-CN"/>
              </w:rPr>
              <w:t>操作界面应可提供简体中文，并使用国际单位制。</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szCs w:val="21"/>
                <w:lang w:eastAsia="zh-CN"/>
              </w:rPr>
            </w:pPr>
            <w:r>
              <w:rPr>
                <w:rFonts w:hint="eastAsia" w:asciiTheme="minorEastAsia" w:hAnsiTheme="minorEastAsia"/>
                <w:szCs w:val="21"/>
                <w:lang w:eastAsia="zh-CN"/>
              </w:rPr>
              <w:t>整个系统内部可实现自动时间同步。</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Theme="minorEastAsia" w:hAnsiTheme="minorEastAsia"/>
                <w:szCs w:val="21"/>
                <w:lang w:eastAsia="zh-CN"/>
              </w:rPr>
            </w:pPr>
            <w:r>
              <w:rPr>
                <w:rFonts w:hint="eastAsia"/>
                <w:szCs w:val="21"/>
                <w:lang w:eastAsia="zh-CN"/>
              </w:rPr>
              <w:t>可实现操作参数记录保存</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1"/>
        <w:spacing w:before="0" w:line="360" w:lineRule="auto"/>
        <w:ind w:left="357"/>
        <w:jc w:val="left"/>
        <w:rPr>
          <w:i/>
          <w:color w:val="4472C4"/>
          <w:szCs w:val="21"/>
          <w:lang w:eastAsia="zh-CN"/>
        </w:rPr>
      </w:pPr>
      <w:permStart w:id="29" w:edGrp="everyone"/>
    </w:p>
    <w:permEnd w:id="2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pStyle w:val="31"/>
              <w:ind w:firstLine="0" w:firstLineChars="0"/>
              <w:rPr>
                <w:rFonts w:ascii="Times New Roman" w:hAnsi="Times New Roman"/>
                <w:szCs w:val="21"/>
              </w:rPr>
            </w:pPr>
            <w:permStart w:id="30" w:edGrp="everyone"/>
          </w:p>
        </w:tc>
        <w:tc>
          <w:tcPr>
            <w:tcW w:w="9052"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2"/>
              </w:numPr>
              <w:ind w:firstLineChars="0"/>
              <w:rPr>
                <w:rFonts w:ascii="Times New Roman" w:hAnsi="Times New Roman"/>
                <w:szCs w:val="21"/>
              </w:rPr>
            </w:pPr>
          </w:p>
        </w:tc>
        <w:tc>
          <w:tcPr>
            <w:tcW w:w="6970" w:type="dxa"/>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pStyle w:val="31"/>
              <w:ind w:firstLine="0" w:firstLineChars="0"/>
              <w:rPr>
                <w:rFonts w:ascii="Times New Roman" w:hAnsi="Times New Roman"/>
                <w:szCs w:val="21"/>
              </w:rPr>
            </w:pPr>
            <w:permStart w:id="31" w:edGrp="everyone"/>
          </w:p>
        </w:tc>
        <w:tc>
          <w:tcPr>
            <w:tcW w:w="9052"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p>
      <w:pPr>
        <w:pStyle w:val="41"/>
        <w:spacing w:before="0" w:line="360" w:lineRule="auto"/>
        <w:ind w:left="357"/>
        <w:jc w:val="left"/>
        <w:rPr>
          <w:i/>
          <w:szCs w:val="21"/>
          <w:lang w:eastAsia="zh-CN"/>
        </w:rPr>
      </w:pPr>
      <w:permStart w:id="32" w:edGrp="everyone"/>
    </w:p>
    <w:permEnd w:id="32"/>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rFonts w:hint="eastAsia" w:ascii="宋体" w:hAnsi="宋体"/>
                <w:szCs w:val="21"/>
                <w:lang w:eastAsia="zh-CN"/>
              </w:rPr>
              <w:t>投标文件、合同及订单。提交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lang w:eastAsia="zh-CN"/>
              </w:rPr>
              <w:t>设</w:t>
            </w:r>
            <w:r>
              <w:rPr>
                <w:rFonts w:hint="eastAsia"/>
                <w:lang w:eastAsia="zh-CN"/>
              </w:rPr>
              <w:t>备</w:t>
            </w:r>
            <w:r>
              <w:rPr>
                <w:lang w:eastAsia="zh-CN"/>
              </w:rPr>
              <w:t>操作、维护保养和服务手册。</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新宋体" w:hAnsi="新宋体" w:eastAsia="新宋体" w:cs="新宋体"/>
                <w:lang w:val="de-DE" w:eastAsia="zh-CN"/>
              </w:rPr>
              <w:t>成套(整套)装置的合格证和质量保证书。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新宋体" w:hAnsi="新宋体" w:eastAsia="新宋体" w:cs="新宋体"/>
                <w:lang w:val="de-DE" w:eastAsia="zh-CN"/>
              </w:rPr>
              <w:t>原材料：生产商、合格证和材质检测证书等。</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新宋体" w:hAnsi="新宋体" w:eastAsia="新宋体" w:cs="新宋体"/>
                <w:lang w:val="de-DE" w:eastAsia="zh-CN"/>
              </w:rPr>
              <w:t>设备和设备附件、零部件（包括机械、电气、仪表和控制系统）的合格证和使用说明书（规格型号、数量、技术参数、电路图、结构图、平面布置图、生产商等内容）质量保证书、保修卡、检测记录和检测证书。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新宋体" w:hAnsi="新宋体" w:eastAsia="新宋体" w:cs="新宋体"/>
                <w:lang w:val="de-DE" w:eastAsia="zh-CN"/>
              </w:rPr>
              <w:t>易损件一览表（表明名称、材料、规格、型号、产地和生产商、简图、标准、数量、正常使用寿命、价格等）。</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验证文件：</w:t>
            </w:r>
          </w:p>
          <w:p>
            <w:pPr>
              <w:jc w:val="both"/>
              <w:rPr>
                <w:szCs w:val="21"/>
                <w:lang w:eastAsia="zh-CN"/>
              </w:rPr>
            </w:pPr>
            <w:r>
              <w:rPr>
                <w:rFonts w:hint="eastAsia"/>
                <w:szCs w:val="21"/>
                <w:lang w:eastAsia="zh-CN"/>
              </w:rPr>
              <w:t>a) 性能确认及文件（PQ）；</w:t>
            </w:r>
          </w:p>
          <w:p>
            <w:pPr>
              <w:jc w:val="both"/>
              <w:rPr>
                <w:szCs w:val="21"/>
                <w:lang w:eastAsia="zh-CN"/>
              </w:rPr>
            </w:pPr>
            <w:r>
              <w:rPr>
                <w:rFonts w:hint="eastAsia"/>
                <w:szCs w:val="21"/>
                <w:lang w:eastAsia="zh-CN"/>
              </w:rPr>
              <w:t>b) 安装确认及文件（IQ）；</w:t>
            </w:r>
          </w:p>
          <w:p>
            <w:pPr>
              <w:jc w:val="both"/>
              <w:rPr>
                <w:szCs w:val="21"/>
                <w:lang w:eastAsia="zh-CN"/>
              </w:rPr>
            </w:pPr>
            <w:r>
              <w:rPr>
                <w:rFonts w:hint="eastAsia"/>
                <w:szCs w:val="21"/>
                <w:lang w:eastAsia="zh-CN"/>
              </w:rPr>
              <w:t>c) 运行确认及文件（OQ）；</w:t>
            </w:r>
          </w:p>
          <w:p>
            <w:pPr>
              <w:jc w:val="both"/>
              <w:rPr>
                <w:szCs w:val="21"/>
                <w:lang w:eastAsia="zh-CN"/>
              </w:rPr>
            </w:pPr>
            <w:r>
              <w:rPr>
                <w:rFonts w:hint="eastAsia"/>
                <w:szCs w:val="21"/>
                <w:lang w:eastAsia="zh-CN"/>
              </w:rPr>
              <w:t>d) 设计确认及文件（DQ），包括系统评估、风险评估等；</w:t>
            </w:r>
          </w:p>
          <w:p>
            <w:pPr>
              <w:jc w:val="both"/>
              <w:rPr>
                <w:szCs w:val="21"/>
                <w:lang w:eastAsia="zh-CN"/>
              </w:rPr>
            </w:pPr>
            <w:r>
              <w:rPr>
                <w:rFonts w:hint="eastAsia"/>
                <w:szCs w:val="21"/>
                <w:lang w:eastAsia="zh-CN"/>
              </w:rPr>
              <w:t>负责制定PQ/IQ/OQ/DQ验证文件并负责验证工作的实施，该验证文件作为设备必备文件。提交时限：DQ报告在IQ前提交，IQ报告在OQ前提交，OQ报告在PQ前提交，PQ报告在设备最终验收交付前提交，所有方案在相应验证开始前完成审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新宋体" w:hAnsi="新宋体" w:eastAsia="新宋体" w:cs="新宋体"/>
                <w:lang w:val="de-DE" w:eastAsia="zh-CN"/>
              </w:rPr>
              <w:t>现场验收测试(SAT)。</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:不晚于IQ开始前</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szCs w:val="21"/>
                <w:lang w:eastAsia="zh-CN"/>
              </w:rPr>
            </w:pPr>
            <w:r>
              <w:rPr>
                <w:lang w:eastAsia="zh-CN"/>
              </w:rPr>
              <w:t>供应商应提供所有的测量仪器仪表的列表，所有这些仪表或传感器必</w:t>
            </w:r>
            <w:r>
              <w:rPr>
                <w:rFonts w:hint="eastAsia"/>
                <w:lang w:eastAsia="zh-CN"/>
              </w:rPr>
              <w:t>需</w:t>
            </w:r>
            <w:r>
              <w:rPr>
                <w:lang w:eastAsia="zh-CN"/>
              </w:rPr>
              <w:t>校准。校准效期自交付之日起不低于9个月。</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1"/>
        <w:spacing w:before="0" w:line="360" w:lineRule="auto"/>
        <w:jc w:val="left"/>
        <w:rPr>
          <w:i/>
          <w:color w:val="4472C4"/>
          <w:szCs w:val="21"/>
          <w:lang w:eastAsia="zh-CN"/>
        </w:rPr>
      </w:pPr>
      <w:permStart w:id="35" w:edGrp="everyone"/>
    </w:p>
    <w:permEnd w:id="3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生产操作人员培训包括设备结构原理、性能、操作、清洗消毒、故障排除等基本</w:t>
            </w:r>
            <w:r>
              <w:rPr>
                <w:color w:val="000000" w:themeColor="text1"/>
                <w:szCs w:val="21"/>
                <w:lang w:eastAsia="zh-CN"/>
                <w14:textFill>
                  <w14:solidFill>
                    <w14:schemeClr w14:val="tx1"/>
                  </w14:solidFill>
                </w14:textFill>
              </w:rPr>
              <w:t>知识</w:t>
            </w:r>
            <w:r>
              <w:rPr>
                <w:color w:val="000000" w:themeColor="text1"/>
                <w:lang w:eastAsia="zh-CN"/>
                <w14:textFill>
                  <w14:solidFill>
                    <w14:schemeClr w14:val="tx1"/>
                  </w14:solidFill>
                </w14:textFill>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期望</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color w:val="000000" w:themeColor="text1"/>
                <w:lang w:eastAsia="zh-CN"/>
                <w14:textFill>
                  <w14:solidFill>
                    <w14:schemeClr w14:val="tx1"/>
                  </w14:solidFill>
                </w14:textFill>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i/>
                <w:szCs w:val="21"/>
                <w:lang w:eastAsia="zh-CN"/>
              </w:rPr>
            </w:pPr>
            <w:r>
              <w:rPr>
                <w:rFonts w:ascii="宋体" w:hAnsi="宋体" w:cs="宋体"/>
                <w:szCs w:val="24"/>
                <w:lang w:eastAsia="zh-CN"/>
              </w:rPr>
              <w:t>验证包括IQ,OQ，PQ，DQ文件与服务，供应商必须派出具备该类系统验证经验，且熟悉验证相关文件编写及验证工作实施的验证工程师开展验证工作。</w:t>
            </w:r>
            <w:r>
              <w:rPr>
                <w:rFonts w:ascii="宋体" w:hAnsi="宋体" w:cs="宋体"/>
                <w:szCs w:val="24"/>
              </w:rPr>
              <w:t>供应商协助完成PQ。</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tabs>
                <w:tab w:val="left" w:pos="360"/>
                <w:tab w:val="left" w:pos="435"/>
              </w:tabs>
              <w:rPr>
                <w:szCs w:val="21"/>
                <w:lang w:eastAsia="zh-CN"/>
              </w:rPr>
            </w:pPr>
            <w:r>
              <w:rPr>
                <w:rFonts w:hint="eastAsia" w:ascii="宋体" w:hAnsi="宋体"/>
                <w:szCs w:val="21"/>
                <w:lang w:eastAsia="zh-CN"/>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tabs>
                <w:tab w:val="left" w:pos="360"/>
                <w:tab w:val="left" w:pos="435"/>
              </w:tabs>
              <w:rPr>
                <w:szCs w:val="21"/>
                <w:lang w:eastAsia="zh-CN"/>
              </w:rPr>
            </w:pPr>
            <w:r>
              <w:rPr>
                <w:rFonts w:hint="eastAsia" w:ascii="宋体" w:hAnsi="宋体"/>
                <w:szCs w:val="21"/>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tabs>
                <w:tab w:val="left" w:pos="360"/>
                <w:tab w:val="left" w:pos="435"/>
              </w:tabs>
              <w:rPr>
                <w:szCs w:val="21"/>
                <w:lang w:eastAsia="zh-CN"/>
              </w:rPr>
            </w:pPr>
            <w:r>
              <w:rPr>
                <w:rFonts w:hint="eastAsia" w:ascii="宋体" w:hAnsi="宋体"/>
                <w:szCs w:val="21"/>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tabs>
                <w:tab w:val="left" w:pos="360"/>
                <w:tab w:val="left" w:pos="435"/>
              </w:tabs>
              <w:rPr>
                <w:szCs w:val="21"/>
                <w:lang w:eastAsia="zh-CN"/>
              </w:rPr>
            </w:pPr>
            <w:r>
              <w:rPr>
                <w:rFonts w:hint="eastAsia" w:ascii="宋体" w:hAnsi="宋体"/>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ascii="宋体" w:hAnsi="宋体"/>
                <w:color w:val="000000" w:themeColor="text1"/>
                <w:szCs w:val="21"/>
                <w14:textFill>
                  <w14:solidFill>
                    <w14:schemeClr w14:val="tx1"/>
                  </w14:solidFill>
                </w14:textFill>
              </w:rPr>
              <w:t>保修期</w:t>
            </w:r>
            <w:r>
              <w:rPr>
                <w:rFonts w:hint="eastAsia" w:ascii="宋体" w:hAnsi="宋体"/>
                <w:color w:val="000000" w:themeColor="text1"/>
                <w:szCs w:val="21"/>
                <w:lang w:eastAsia="zh-CN"/>
                <w14:textFill>
                  <w14:solidFill>
                    <w14:schemeClr w14:val="tx1"/>
                  </w14:solidFill>
                </w14:textFill>
              </w:rPr>
              <w:t>至少</w:t>
            </w:r>
            <w:r>
              <w:rPr>
                <w:rFonts w:hint="eastAsia" w:ascii="宋体" w:hAnsi="宋体"/>
                <w:color w:val="000000" w:themeColor="text1"/>
                <w:szCs w:val="21"/>
                <w14:textFill>
                  <w14:solidFill>
                    <w14:schemeClr w14:val="tx1"/>
                  </w14:solidFill>
                </w14:textFill>
              </w:rPr>
              <w:t>一年</w:t>
            </w:r>
            <w:r>
              <w:rPr>
                <w:rFonts w:hint="eastAsia" w:ascii="宋体" w:hAnsi="宋体"/>
                <w:color w:val="000000" w:themeColor="text1"/>
                <w:szCs w:val="21"/>
                <w:lang w:eastAsia="zh-CN"/>
                <w14:textFill>
                  <w14:solidFill>
                    <w14:schemeClr w14:val="tx1"/>
                  </w14:solidFill>
                </w14:textFill>
              </w:rPr>
              <w:t>及以上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除首次安装调试和仪器操作培训外，可</w:t>
            </w:r>
            <w:r>
              <w:rPr>
                <w:rFonts w:ascii="宋体" w:hAnsi="宋体"/>
                <w:szCs w:val="21"/>
                <w:lang w:eastAsia="zh-CN"/>
              </w:rPr>
              <w:t>免费</w:t>
            </w:r>
            <w:r>
              <w:rPr>
                <w:rFonts w:hint="eastAsia" w:ascii="宋体" w:hAnsi="宋体"/>
                <w:szCs w:val="21"/>
                <w:lang w:eastAsia="zh-CN"/>
              </w:rPr>
              <w:t>提供</w:t>
            </w:r>
            <w:r>
              <w:rPr>
                <w:rFonts w:ascii="宋体" w:hAnsi="宋体"/>
                <w:szCs w:val="21"/>
                <w:lang w:eastAsia="zh-CN"/>
              </w:rPr>
              <w:t>仪器操作</w:t>
            </w:r>
            <w:r>
              <w:rPr>
                <w:rFonts w:hint="eastAsia" w:ascii="宋体" w:hAnsi="宋体"/>
                <w:szCs w:val="21"/>
                <w:lang w:eastAsia="zh-CN"/>
              </w:rPr>
              <w:t>、</w:t>
            </w:r>
            <w:r>
              <w:rPr>
                <w:rFonts w:ascii="宋体" w:hAnsi="宋体"/>
                <w:szCs w:val="21"/>
                <w:lang w:eastAsia="zh-CN"/>
              </w:rPr>
              <w:t>维护</w:t>
            </w:r>
            <w:r>
              <w:rPr>
                <w:rFonts w:hint="eastAsia" w:ascii="宋体" w:hAnsi="宋体"/>
                <w:szCs w:val="21"/>
                <w:lang w:eastAsia="zh-CN"/>
              </w:rPr>
              <w:t>以及实验方法建立相关</w:t>
            </w:r>
            <w:r>
              <w:rPr>
                <w:rFonts w:ascii="宋体" w:hAnsi="宋体"/>
                <w:szCs w:val="21"/>
                <w:lang w:eastAsia="zh-CN"/>
              </w:rPr>
              <w:t>知识的</w:t>
            </w:r>
            <w:r>
              <w:rPr>
                <w:rFonts w:hint="eastAsia" w:ascii="宋体" w:hAnsi="宋体"/>
                <w:szCs w:val="21"/>
                <w:lang w:eastAsia="zh-CN"/>
              </w:rPr>
              <w:t>解答，必要时可以来现场进行调试和指导。</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芯片需可持续供应，若出现供应限制，需可提供备选或替代</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依合约内容条件逐一验收。供应商需协助完成相关验证。</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4"/>
    </w:tbl>
    <w:p/>
    <w:p>
      <w:pPr>
        <w:pStyle w:val="31"/>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1"/>
        <w:spacing w:before="0" w:line="360" w:lineRule="auto"/>
        <w:ind w:left="357"/>
        <w:jc w:val="left"/>
        <w:rPr>
          <w:szCs w:val="21"/>
          <w:lang w:eastAsia="zh-CN"/>
        </w:rPr>
      </w:pPr>
      <w:permStart w:id="45" w:edGrp="everyone"/>
      <w:r>
        <w:rPr>
          <w:rFonts w:hint="eastAsia"/>
          <w:szCs w:val="21"/>
          <w:lang w:eastAsia="zh-CN"/>
        </w:rPr>
        <w:t>不适用</w:t>
      </w:r>
      <w:permEnd w:id="45"/>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6C0D17"/>
    <w:multiLevelType w:val="multilevel"/>
    <w:tmpl w:val="326C0D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7950A98"/>
    <w:multiLevelType w:val="multilevel"/>
    <w:tmpl w:val="37950A9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2"/>
  </w:num>
  <w:num w:numId="3">
    <w:abstractNumId w:val="6"/>
  </w:num>
  <w:num w:numId="4">
    <w:abstractNumId w:val="11"/>
  </w:num>
  <w:num w:numId="5">
    <w:abstractNumId w:val="5"/>
  </w:num>
  <w:num w:numId="6">
    <w:abstractNumId w:val="0"/>
  </w:num>
  <w:num w:numId="7">
    <w:abstractNumId w:val="4"/>
  </w:num>
  <w:num w:numId="8">
    <w:abstractNumId w:val="3"/>
  </w:num>
  <w:num w:numId="9">
    <w:abstractNumId w:val="8"/>
  </w:num>
  <w:num w:numId="10">
    <w:abstractNumId w:val="9"/>
  </w:num>
  <w:num w:numId="11">
    <w:abstractNumId w:val="7"/>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0827"/>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BDB"/>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A4C"/>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1AE5"/>
    <w:rsid w:val="001541A9"/>
    <w:rsid w:val="001549D1"/>
    <w:rsid w:val="00154CD3"/>
    <w:rsid w:val="001560AD"/>
    <w:rsid w:val="0015633E"/>
    <w:rsid w:val="0015752C"/>
    <w:rsid w:val="0016077F"/>
    <w:rsid w:val="00160871"/>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9F"/>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2CE2"/>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613C"/>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807"/>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4C16"/>
    <w:rsid w:val="005A6821"/>
    <w:rsid w:val="005B2393"/>
    <w:rsid w:val="005B750A"/>
    <w:rsid w:val="005B7DC5"/>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689"/>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6D34"/>
    <w:rsid w:val="007B7AB4"/>
    <w:rsid w:val="007C2405"/>
    <w:rsid w:val="007C2A54"/>
    <w:rsid w:val="007C2B69"/>
    <w:rsid w:val="007C2DC1"/>
    <w:rsid w:val="007C34E7"/>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0E7A"/>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1147"/>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0199"/>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E7BE2"/>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1326"/>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77B36"/>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003"/>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2E5D"/>
    <w:rsid w:val="00C66D15"/>
    <w:rsid w:val="00C671D0"/>
    <w:rsid w:val="00C70449"/>
    <w:rsid w:val="00C7071B"/>
    <w:rsid w:val="00C73904"/>
    <w:rsid w:val="00C73BAE"/>
    <w:rsid w:val="00C73F7B"/>
    <w:rsid w:val="00C74055"/>
    <w:rsid w:val="00C7421D"/>
    <w:rsid w:val="00C76481"/>
    <w:rsid w:val="00C76812"/>
    <w:rsid w:val="00C83C61"/>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3FA"/>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28B"/>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4CF1"/>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3613"/>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4DAF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uiPriority w:val="0"/>
  </w:style>
  <w:style w:type="paragraph" w:styleId="7">
    <w:name w:val="Body Text 3"/>
    <w:basedOn w:val="1"/>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99"/>
    <w:rPr>
      <w:color w:val="0000FF"/>
      <w:u w:val="single"/>
    </w:rPr>
  </w:style>
  <w:style w:type="character" w:styleId="24">
    <w:name w:val="annotation reference"/>
    <w:semiHidden/>
    <w:uiPriority w:val="0"/>
    <w:rPr>
      <w:sz w:val="21"/>
      <w:szCs w:val="21"/>
    </w:rPr>
  </w:style>
  <w:style w:type="paragraph" w:customStyle="1" w:styleId="25">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2"/>
    <w:link w:val="14"/>
    <w:uiPriority w:val="0"/>
    <w:rPr>
      <w:rFonts w:eastAsia="宋体"/>
      <w:sz w:val="24"/>
      <w:lang w:val="en-GB" w:eastAsia="en-US" w:bidi="ar-SA"/>
    </w:rPr>
  </w:style>
  <w:style w:type="paragraph" w:customStyle="1" w:styleId="27">
    <w:name w:val="Default Text"/>
    <w:basedOn w:val="1"/>
    <w:uiPriority w:val="0"/>
    <w:pPr>
      <w:overflowPunct/>
      <w:textAlignment w:val="auto"/>
    </w:pPr>
    <w:rPr>
      <w:rFonts w:ascii="Arial" w:hAnsi="Arial"/>
      <w:szCs w:val="24"/>
      <w:lang w:val="en-US"/>
    </w:rPr>
  </w:style>
  <w:style w:type="paragraph" w:customStyle="1" w:styleId="28">
    <w:name w:val="Style"/>
    <w:basedOn w:val="1"/>
    <w:uiPriority w:val="0"/>
    <w:pPr>
      <w:overflowPunct/>
      <w:textAlignment w:val="auto"/>
    </w:pPr>
    <w:rPr>
      <w:rFonts w:ascii="Arial" w:hAnsi="Arial"/>
      <w:szCs w:val="24"/>
      <w:lang w:val="en-US"/>
    </w:rPr>
  </w:style>
  <w:style w:type="paragraph" w:customStyle="1" w:styleId="29">
    <w:name w:val="正文1"/>
    <w:basedOn w:val="1"/>
    <w:uiPriority w:val="0"/>
    <w:pPr>
      <w:overflowPunct/>
      <w:textAlignment w:val="auto"/>
    </w:pPr>
    <w:rPr>
      <w:rFonts w:ascii="Arial" w:hAnsi="Arial"/>
      <w:sz w:val="20"/>
      <w:lang w:val="en-US"/>
    </w:rPr>
  </w:style>
  <w:style w:type="paragraph" w:customStyle="1" w:styleId="30">
    <w:name w:val="Revision"/>
    <w:hidden/>
    <w:semiHidden/>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uiPriority w:val="0"/>
    <w:rPr>
      <w:sz w:val="24"/>
      <w:lang w:val="en-GB" w:eastAsia="en-US"/>
    </w:rPr>
  </w:style>
  <w:style w:type="paragraph" w:customStyle="1" w:styleId="33">
    <w:name w:val="TOC Heading"/>
    <w:basedOn w:val="2"/>
    <w:next w:val="1"/>
    <w:qFormat/>
    <w:uiPriority w:val="39"/>
    <w:pPr>
      <w:numPr>
        <w:numId w:val="0"/>
      </w:numPr>
      <w:outlineLvl w:val="9"/>
    </w:pPr>
  </w:style>
  <w:style w:type="character" w:customStyle="1" w:styleId="34">
    <w:name w:val="页脚 Char"/>
    <w:link w:val="13"/>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uiPriority w:val="0"/>
    <w:rPr>
      <w:rFonts w:ascii="Arial" w:hAnsi="Arial" w:eastAsia="PMingLiU"/>
      <w:color w:val="0070C0"/>
      <w:lang w:eastAsia="zh-TW"/>
    </w:rPr>
  </w:style>
  <w:style w:type="paragraph" w:customStyle="1" w:styleId="39">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locked/>
    <w:uiPriority w:val="0"/>
    <w:rPr>
      <w:sz w:val="24"/>
      <w:lang w:eastAsia="en-US"/>
    </w:rPr>
  </w:style>
  <w:style w:type="paragraph" w:customStyle="1" w:styleId="41">
    <w:name w:val="Text"/>
    <w:basedOn w:val="1"/>
    <w:link w:val="40"/>
    <w:uiPriority w:val="0"/>
    <w:pPr>
      <w:overflowPunct/>
      <w:autoSpaceDE/>
      <w:autoSpaceDN/>
      <w:adjustRightInd/>
      <w:spacing w:before="120"/>
      <w:jc w:val="both"/>
      <w:textAlignment w:val="auto"/>
    </w:pPr>
    <w:rPr>
      <w:lang w:val="en-US"/>
    </w:rPr>
  </w:style>
  <w:style w:type="character" w:customStyle="1" w:styleId="42">
    <w:name w:val="ordinary-span-edit2"/>
    <w:uiPriority w:val="0"/>
  </w:style>
  <w:style w:type="character" w:customStyle="1" w:styleId="43">
    <w:name w:val="apple-converted-space"/>
    <w:basedOn w:val="21"/>
    <w:uiPriority w:val="0"/>
  </w:style>
  <w:style w:type="character" w:customStyle="1" w:styleId="44">
    <w:name w:val="标题 Char"/>
    <w:link w:val="17"/>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678</Words>
  <Characters>3871</Characters>
  <Lines>32</Lines>
  <Paragraphs>9</Paragraphs>
  <TotalTime>173</TotalTime>
  <ScaleCrop>false</ScaleCrop>
  <LinksUpToDate>false</LinksUpToDate>
  <CharactersWithSpaces>4540</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2022-02-26T03:51:00Z</dcterms:created>
  <dc:creator>Lilly</dc:creator>
  <cp:lastModifiedBy>汪洋</cp:lastModifiedBy>
  <cp:lastPrinted>2022-05-05T02:47:00Z</cp:lastPrinted>
  <dcterms:modified xsi:type="dcterms:W3CDTF">2022-05-31T06:56:40Z</dcterms:modified>
  <dc:title>生效期：</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