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乙型脑炎减毒活疫苗车间全自动革兰氏染色仪</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rPr>
          <w:i/>
          <w:color w:val="00B0F0"/>
          <w:lang w:val="zh-CN" w:eastAsia="zh-CN"/>
        </w:rPr>
      </w:pPr>
      <w:permStart w:id="2"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spacing w:line="360" w:lineRule="auto"/>
        <w:ind w:firstLine="420" w:firstLineChars="200"/>
        <w:rPr>
          <w:szCs w:val="21"/>
          <w:lang w:val="en-US" w:eastAsia="zh-CN"/>
        </w:rPr>
      </w:pPr>
      <w:bookmarkStart w:id="7" w:name="_Toc482360281"/>
      <w:bookmarkStart w:id="8" w:name="_Toc482370061"/>
      <w:bookmarkStart w:id="9" w:name="_Toc482625279"/>
      <w:bookmarkStart w:id="10" w:name="_Toc482370349"/>
      <w:bookmarkStart w:id="11" w:name="_Toc482370757"/>
      <w:bookmarkStart w:id="12" w:name="_Toc482370141"/>
      <w:bookmarkStart w:id="13" w:name="_Toc482369805"/>
      <w:bookmarkStart w:id="14" w:name="_Toc481702475"/>
      <w:bookmarkStart w:id="15" w:name="_Toc482359936"/>
      <w:r>
        <w:rPr>
          <w:szCs w:val="21"/>
          <w:lang w:eastAsia="zh-CN"/>
        </w:rPr>
        <w:t>本文件的目的是描述武汉生物制品研究所有限责任公司</w:t>
      </w:r>
      <w:permStart w:id="3" w:edGrp="everyone"/>
      <w:r>
        <w:rPr>
          <w:rFonts w:hint="eastAsia"/>
          <w:szCs w:val="21"/>
          <w:lang w:val="en-US" w:eastAsia="zh-CN"/>
        </w:rPr>
        <w:t>欣宁楼乙型脑炎减毒活疫苗车间全自动革兰氏染色仪</w:t>
      </w:r>
    </w:p>
    <w:permEnd w:id="3"/>
    <w:p>
      <w:pPr>
        <w:pStyle w:val="41"/>
        <w:spacing w:before="0" w:line="360" w:lineRule="auto"/>
        <w:ind w:left="357"/>
        <w:jc w:val="left"/>
        <w:rPr>
          <w:szCs w:val="21"/>
          <w:lang w:eastAsia="zh-CN"/>
        </w:rPr>
      </w:pPr>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spacing w:line="360" w:lineRule="auto"/>
        <w:rPr>
          <w:szCs w:val="21"/>
          <w:lang w:val="en-US" w:eastAsia="zh-CN"/>
        </w:rPr>
      </w:pPr>
      <w:r>
        <w:rPr>
          <w:szCs w:val="21"/>
          <w:lang w:eastAsia="zh-CN"/>
        </w:rPr>
        <w:t>本URS适用于武汉生物制品研究所有限责任公司</w:t>
      </w:r>
      <w:permStart w:id="4" w:edGrp="everyone"/>
      <w:r>
        <w:rPr>
          <w:rFonts w:hint="eastAsia"/>
          <w:szCs w:val="21"/>
          <w:lang w:val="en-US" w:eastAsia="zh-CN"/>
        </w:rPr>
        <w:t>欣宁楼乙型脑炎减毒活疫苗车间全自动革兰氏染色仪，</w:t>
      </w:r>
      <w:r>
        <w:rPr>
          <w:rFonts w:hint="eastAsia"/>
          <w:iCs/>
          <w:szCs w:val="21"/>
          <w:lang w:eastAsia="zh-CN"/>
        </w:rPr>
        <w:t>用于菌型分析</w:t>
      </w:r>
    </w:p>
    <w:permEnd w:id="4"/>
    <w:p>
      <w:pPr>
        <w:pStyle w:val="41"/>
        <w:spacing w:before="0" w:line="360" w:lineRule="auto"/>
        <w:ind w:left="357"/>
        <w:jc w:val="left"/>
        <w:rPr>
          <w:szCs w:val="21"/>
          <w:lang w:eastAsia="zh-CN"/>
        </w:rPr>
      </w:pPr>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after="100" w:afterAutospacing="1" w:line="360" w:lineRule="auto"/>
        <w:jc w:val="left"/>
        <w:rPr>
          <w:lang w:eastAsia="zh-CN"/>
        </w:rPr>
      </w:pPr>
      <w:permStart w:id="5" w:edGrp="everyone"/>
      <w:r>
        <w:rPr>
          <w:rFonts w:hint="eastAsia" w:ascii="宋体" w:hAnsi="宋体"/>
          <w:lang w:eastAsia="zh-CN"/>
        </w:rPr>
        <w:t>《药品生产质量管理规范》</w:t>
      </w:r>
      <w:r>
        <w:rPr>
          <w:szCs w:val="21"/>
          <w:lang w:eastAsia="zh-CN"/>
        </w:rPr>
        <w:t>（2010修订版）及附录</w:t>
      </w:r>
    </w:p>
    <w:p>
      <w:pPr>
        <w:pStyle w:val="41"/>
        <w:numPr>
          <w:ilvl w:val="0"/>
          <w:numId w:val="5"/>
        </w:numPr>
        <w:overflowPunct w:val="0"/>
        <w:autoSpaceDE w:val="0"/>
        <w:autoSpaceDN w:val="0"/>
        <w:spacing w:before="0" w:line="360" w:lineRule="auto"/>
        <w:ind w:left="777"/>
        <w:jc w:val="left"/>
        <w:rPr>
          <w:iCs/>
          <w:szCs w:val="21"/>
          <w:lang w:eastAsia="zh-CN"/>
        </w:rPr>
      </w:pPr>
      <w:r>
        <w:rPr>
          <w:rFonts w:hint="eastAsia"/>
          <w:iCs/>
          <w:szCs w:val="21"/>
          <w:lang w:eastAsia="zh-CN"/>
        </w:rPr>
        <w:t>《中华人民共和国药典》</w:t>
      </w:r>
      <w:r>
        <w:rPr>
          <w:iCs/>
          <w:szCs w:val="21"/>
          <w:lang w:eastAsia="zh-CN"/>
        </w:rPr>
        <w:t>2020年版</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spacing w:before="0" w:line="360" w:lineRule="auto"/>
        <w:ind w:left="357"/>
        <w:jc w:val="left"/>
        <w:rPr>
          <w:i/>
          <w:szCs w:val="21"/>
          <w:lang w:eastAsia="zh-CN"/>
        </w:rPr>
      </w:pPr>
      <w:permStart w:id="6" w:edGrp="everyone"/>
      <w:r>
        <w:rPr>
          <w:rFonts w:hint="eastAsia"/>
          <w:iCs/>
          <w:szCs w:val="21"/>
          <w:lang w:eastAsia="zh-CN"/>
        </w:rPr>
        <w:t>电气安全应符合GB4793.1和GB4793.4的要求。</w:t>
      </w:r>
      <w:permEnd w:id="6"/>
    </w:p>
    <w:p>
      <w:pPr>
        <w:pStyle w:val="41"/>
        <w:spacing w:before="0" w:line="360" w:lineRule="auto"/>
        <w:jc w:val="left"/>
        <w:rPr>
          <w:szCs w:val="21"/>
          <w:lang w:eastAsia="zh-CN"/>
        </w:rPr>
      </w:pPr>
      <w:permStart w:id="7" w:edGrp="everyone"/>
    </w:p>
    <w:permEnd w:id="7"/>
    <w:p>
      <w:pPr>
        <w:pStyle w:val="31"/>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r>
        <w:rPr>
          <w:rFonts w:ascii="Times New Roman" w:hAnsi="Times New Roman"/>
          <w:b/>
        </w:rPr>
        <w:t>系统描述</w:t>
      </w:r>
      <w:bookmarkEnd w:id="20"/>
      <w:bookmarkEnd w:id="21"/>
    </w:p>
    <w:p>
      <w:pPr>
        <w:pStyle w:val="41"/>
        <w:spacing w:before="0" w:line="360" w:lineRule="auto"/>
        <w:jc w:val="left"/>
        <w:rPr>
          <w:i/>
          <w:color w:val="4472C4"/>
          <w:szCs w:val="21"/>
          <w:lang w:eastAsia="zh-CN"/>
        </w:rPr>
      </w:pPr>
      <w:permStart w:id="8" w:edGrp="everyone"/>
      <w:r>
        <w:rPr>
          <w:rFonts w:hint="eastAsia"/>
          <w:iCs/>
          <w:szCs w:val="21"/>
          <w:lang w:eastAsia="zh-CN"/>
        </w:rPr>
        <w:t>乙型脑炎减毒活疫苗车间需要购买1台全自动革兰氏染色仪，用于菌型分析。</w:t>
      </w:r>
      <w:permEnd w:id="8"/>
    </w:p>
    <w:p>
      <w:pPr>
        <w:pStyle w:val="31"/>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permStart w:id="9" w:edGrp="everyone"/>
      <w:permEnd w:id="9"/>
      <w:bookmarkStart w:id="47" w:name="_GoBack"/>
      <w:bookmarkEnd w:id="4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color w:val="0070C0"/>
                <w:szCs w:val="21"/>
                <w:lang w:eastAsia="zh-CN"/>
              </w:rPr>
            </w:pPr>
            <w:r>
              <w:rPr>
                <w:rFonts w:hint="eastAsia" w:ascii="宋体" w:hAnsi="宋体"/>
                <w:szCs w:val="21"/>
                <w:lang w:eastAsia="zh-CN"/>
              </w:rPr>
              <w:t>乙型脑炎减毒活疫苗车间检定间.</w:t>
            </w:r>
          </w:p>
        </w:tc>
        <w:tc>
          <w:tcPr>
            <w:tcW w:w="2125" w:type="dxa"/>
            <w:shd w:val="clear" w:color="auto" w:fill="auto"/>
            <w:vAlign w:val="center"/>
          </w:tcPr>
          <w:p>
            <w:pPr>
              <w:jc w:val="both"/>
              <w:rPr>
                <w:i/>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i/>
                <w:szCs w:val="21"/>
                <w:lang w:eastAsia="zh-CN"/>
              </w:rPr>
            </w:pPr>
            <w:r>
              <w:rPr>
                <w:rFonts w:hint="eastAsia" w:ascii="宋体" w:hAnsi="宋体"/>
                <w:lang w:eastAsia="zh-CN"/>
              </w:rPr>
              <w:t>尺寸要求：</w:t>
            </w:r>
            <w:r>
              <w:rPr>
                <w:rFonts w:hint="eastAsia" w:ascii="宋体" w:hAnsi="宋体"/>
                <w:iCs/>
                <w:szCs w:val="21"/>
                <w:lang w:eastAsia="zh-CN"/>
              </w:rPr>
              <w:t>长×宽×高不超过</w:t>
            </w:r>
            <w:r>
              <w:rPr>
                <w:rFonts w:ascii="宋体" w:hAnsi="宋体"/>
                <w:iCs/>
                <w:szCs w:val="21"/>
                <w:lang w:eastAsia="zh-CN"/>
              </w:rPr>
              <w:t>600</w:t>
            </w:r>
            <w:r>
              <w:rPr>
                <w:rFonts w:hint="eastAsia" w:ascii="宋体" w:hAnsi="宋体"/>
                <w:iCs/>
                <w:szCs w:val="21"/>
                <w:lang w:eastAsia="zh-CN"/>
              </w:rPr>
              <w:t>mm×</w:t>
            </w:r>
            <w:r>
              <w:rPr>
                <w:rFonts w:ascii="宋体" w:hAnsi="宋体"/>
                <w:iCs/>
                <w:szCs w:val="21"/>
                <w:lang w:eastAsia="zh-CN"/>
              </w:rPr>
              <w:t>300mm</w:t>
            </w:r>
            <w:r>
              <w:rPr>
                <w:rFonts w:hint="eastAsia" w:ascii="宋体" w:hAnsi="宋体"/>
                <w:iCs/>
                <w:szCs w:val="21"/>
                <w:lang w:eastAsia="zh-CN"/>
              </w:rPr>
              <w:t>×</w:t>
            </w:r>
            <w:r>
              <w:rPr>
                <w:rFonts w:ascii="宋体" w:hAnsi="宋体"/>
                <w:iCs/>
                <w:szCs w:val="21"/>
                <w:lang w:eastAsia="zh-CN"/>
              </w:rPr>
              <w:t>600</w:t>
            </w:r>
            <w:r>
              <w:rPr>
                <w:rFonts w:hint="eastAsia" w:ascii="宋体" w:hAnsi="宋体"/>
                <w:iCs/>
                <w:szCs w:val="21"/>
                <w:lang w:eastAsia="zh-CN"/>
              </w:rPr>
              <w:t>mm</w:t>
            </w:r>
            <w:r>
              <w:rPr>
                <w:rFonts w:hint="eastAsia" w:ascii="宋体" w:hAnsi="宋体"/>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pStyle w:val="6"/>
              <w:rPr>
                <w:lang w:eastAsia="zh-CN"/>
              </w:rPr>
            </w:pPr>
            <w:r>
              <w:rPr>
                <w:rFonts w:hint="eastAsia"/>
                <w:lang w:eastAsia="zh-CN"/>
              </w:rPr>
              <w:t>整机重量≤30kg</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i/>
                <w:szCs w:val="21"/>
                <w:lang w:eastAsia="zh-CN"/>
              </w:rPr>
            </w:pPr>
            <w:r>
              <w:rPr>
                <w:rFonts w:hint="eastAsia" w:ascii="宋体" w:hAnsi="宋体"/>
                <w:sz w:val="24"/>
              </w:rPr>
              <w:t>N/A</w:t>
            </w:r>
          </w:p>
        </w:tc>
        <w:tc>
          <w:tcPr>
            <w:tcW w:w="2125" w:type="dxa"/>
            <w:shd w:val="clear" w:color="auto" w:fill="auto"/>
            <w:vAlign w:val="center"/>
          </w:tcPr>
          <w:p>
            <w:pPr>
              <w:jc w:val="both"/>
              <w:rPr>
                <w:szCs w:val="21"/>
                <w:lang w:eastAsia="zh-CN"/>
              </w:rPr>
            </w:pP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工作环境温度：</w:t>
            </w:r>
            <w:r>
              <w:rPr>
                <w:rFonts w:hint="eastAsia" w:ascii="宋体"/>
                <w:lang w:eastAsia="zh-CN"/>
              </w:rPr>
              <w:t>18</w:t>
            </w:r>
            <w:r>
              <w:rPr>
                <w:rFonts w:hint="eastAsia" w:ascii="宋体" w:hAnsi="宋体"/>
                <w:lang w:eastAsia="zh-CN"/>
              </w:rPr>
              <w:t>℃～26℃。</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工作环境湿度：至少包括</w:t>
            </w:r>
            <w:r>
              <w:rPr>
                <w:lang w:eastAsia="zh-CN"/>
              </w:rPr>
              <w:t>45%～65</w:t>
            </w:r>
            <w:r>
              <w:rPr>
                <w:color w:val="000000"/>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工作环境洁净级别：</w:t>
            </w:r>
            <w:r>
              <w:rPr>
                <w:rFonts w:hint="eastAsia"/>
                <w:iCs/>
                <w:lang w:eastAsia="zh-CN"/>
              </w:rPr>
              <w:t>普通级</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iCs/>
                <w:lang w:eastAsia="zh-CN"/>
              </w:rPr>
              <w:t>～220±10%V，50±1Hz</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i/>
                <w:color w:val="000000"/>
                <w:lang w:eastAsia="zh-CN"/>
              </w:rPr>
            </w:pPr>
            <w:r>
              <w:rPr>
                <w:rFonts w:hint="eastAsia" w:ascii="宋体" w:hAnsi="宋体"/>
                <w:color w:val="000000"/>
                <w:lang w:eastAsia="zh-CN"/>
              </w:rPr>
              <w:t>设备及推车外观应端正、整齐，不得有明显的偏歪、毛刺和锈蚀等缺陷</w:t>
            </w:r>
            <w:r>
              <w:rPr>
                <w:rFonts w:hint="eastAsia"/>
                <w:lang w:eastAsia="zh-CN"/>
              </w:rPr>
              <w:t>。设备表面要光滑、平整，易于清洁。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lang w:eastAsia="zh-CN"/>
              </w:rPr>
            </w:pPr>
            <w:r>
              <w:rPr>
                <w:rFonts w:hint="eastAsia" w:ascii="宋体" w:hAnsi="宋体"/>
                <w:lang w:eastAsia="zh-CN"/>
              </w:rPr>
              <w:t>染色机内部各部件及试剂管路都采用耐腐蚀材料，确保设备的稳定性。</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：至少应有以下永久贴牢和清楚易认的标识：</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7"/>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shd w:val="clear" w:color="auto" w:fill="auto"/>
            <w:vAlign w:val="center"/>
          </w:tcPr>
          <w:p>
            <w:pPr>
              <w:jc w:val="both"/>
              <w:rPr>
                <w:szCs w:val="21"/>
                <w:lang w:eastAsia="zh-CN"/>
              </w:rPr>
            </w:pPr>
            <w:r>
              <w:rPr>
                <w:rFonts w:hint="eastAsia"/>
                <w:szCs w:val="21"/>
                <w:lang w:eastAsia="zh-CN"/>
              </w:rPr>
              <w:t>关键</w:t>
            </w:r>
          </w:p>
        </w:tc>
      </w:tr>
      <w:bookmarkEnd w:id="23"/>
      <w:bookmarkEnd w:id="24"/>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p>
      <w:pPr>
        <w:pStyle w:val="41"/>
        <w:spacing w:before="0" w:line="360" w:lineRule="auto"/>
        <w:ind w:left="357"/>
        <w:jc w:val="left"/>
        <w:rPr>
          <w:bCs/>
          <w:i/>
          <w:color w:val="4472C4"/>
          <w:kern w:val="44"/>
          <w:szCs w:val="21"/>
          <w:lang w:eastAsia="zh-CN"/>
        </w:rPr>
      </w:pPr>
      <w:permStart w:id="20" w:edGrp="everyone"/>
    </w:p>
    <w:permEnd w:id="2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pStyle w:val="7"/>
              <w:spacing w:line="360" w:lineRule="auto"/>
              <w:rPr>
                <w:rFonts w:ascii="宋体"/>
                <w:b/>
                <w:sz w:val="21"/>
                <w:szCs w:val="21"/>
                <w:lang w:val="en-US" w:eastAsia="zh-CN"/>
              </w:rPr>
            </w:pPr>
            <w:r>
              <w:rPr>
                <w:rFonts w:hint="eastAsia"/>
                <w:color w:val="000000"/>
                <w:sz w:val="21"/>
                <w:szCs w:val="21"/>
              </w:rPr>
              <w:t>N/A</w:t>
            </w:r>
          </w:p>
        </w:tc>
        <w:tc>
          <w:tcPr>
            <w:tcW w:w="2125" w:type="dxa"/>
            <w:shd w:val="clear" w:color="auto" w:fill="auto"/>
            <w:vAlign w:val="center"/>
          </w:tcPr>
          <w:p>
            <w:pPr>
              <w:jc w:val="both"/>
              <w:rPr>
                <w:szCs w:val="21"/>
                <w:lang w:eastAsia="zh-CN"/>
              </w:rPr>
            </w:pP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szCs w:val="21"/>
                <w:lang w:eastAsia="zh-CN"/>
              </w:rPr>
            </w:pPr>
            <w:r>
              <w:rPr>
                <w:rFonts w:hint="eastAsia"/>
                <w:color w:val="000000"/>
                <w:szCs w:val="21"/>
              </w:rPr>
              <w:t>N/A</w:t>
            </w:r>
          </w:p>
        </w:tc>
        <w:tc>
          <w:tcPr>
            <w:tcW w:w="2125" w:type="dxa"/>
            <w:shd w:val="clear" w:color="auto" w:fill="auto"/>
            <w:vAlign w:val="center"/>
          </w:tcPr>
          <w:p>
            <w:pPr>
              <w:jc w:val="both"/>
              <w:rPr>
                <w:szCs w:val="21"/>
                <w:lang w:eastAsia="zh-CN"/>
              </w:rPr>
            </w:pP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i/>
                <w:szCs w:val="21"/>
                <w:lang w:eastAsia="zh-CN"/>
              </w:rPr>
            </w:pPr>
            <w:r>
              <w:rPr>
                <w:rFonts w:hint="eastAsia" w:ascii="宋体" w:hAnsi="宋体"/>
                <w:lang w:eastAsia="zh-CN"/>
              </w:rPr>
              <w:t>革兰氏染色符合机染标准的染色方法。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rFonts w:ascii="宋体"/>
                <w:szCs w:val="21"/>
                <w:lang w:eastAsia="zh-CN"/>
              </w:rPr>
            </w:pPr>
            <w:r>
              <w:rPr>
                <w:rFonts w:hint="eastAsia" w:ascii="宋体" w:hAnsi="宋体"/>
                <w:lang w:eastAsia="zh-CN"/>
              </w:rPr>
              <w:t>采用高压离心喷雾染色，节约试剂用量，且载玻片间无交叉污染，染色均匀亮丽，无脱片现象。</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szCs w:val="21"/>
                <w:lang w:eastAsia="zh-CN"/>
              </w:rPr>
            </w:pPr>
            <w:r>
              <w:rPr>
                <w:rFonts w:hint="eastAsia" w:ascii="宋体" w:hAnsi="宋体"/>
                <w:lang w:eastAsia="zh-CN"/>
              </w:rPr>
              <w:t>染色完成时，染色片已经经过离心干燥，可直接镜检。</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lang w:eastAsia="zh-CN"/>
              </w:rPr>
            </w:pPr>
            <w:r>
              <w:rPr>
                <w:rFonts w:hint="eastAsia" w:ascii="宋体" w:hAnsi="宋体"/>
                <w:lang w:eastAsia="zh-CN"/>
              </w:rPr>
              <w:t>自带成片成像系统，可直接显示镜检结果。</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szCs w:val="21"/>
                <w:lang w:eastAsia="zh-CN"/>
              </w:rPr>
            </w:pPr>
            <w:r>
              <w:rPr>
                <w:rFonts w:hint="eastAsia" w:ascii="宋体" w:hAnsi="宋体"/>
                <w:shd w:val="clear" w:color="auto" w:fill="FFFFFF"/>
                <w:lang w:eastAsia="zh-CN"/>
              </w:rPr>
              <w:t>革兰氏染色时间：4-5分钟。</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szCs w:val="21"/>
                <w:lang w:eastAsia="zh-CN"/>
              </w:rPr>
            </w:pPr>
            <w:r>
              <w:rPr>
                <w:rFonts w:hint="eastAsia" w:ascii="宋体" w:hAnsi="宋体"/>
                <w:lang w:eastAsia="zh-CN"/>
              </w:rPr>
              <w:t>样品盘容量</w:t>
            </w:r>
            <w:r>
              <w:rPr>
                <w:rFonts w:hint="eastAsia" w:ascii="宋体" w:hAnsi="宋体"/>
                <w:color w:val="000000"/>
                <w:lang w:eastAsia="zh-CN"/>
              </w:rPr>
              <w:t>：不少于</w:t>
            </w:r>
            <w:r>
              <w:rPr>
                <w:rFonts w:ascii="宋体" w:hAnsi="宋体"/>
                <w:color w:val="000000"/>
                <w:lang w:eastAsia="zh-CN"/>
              </w:rPr>
              <w:t>12</w:t>
            </w:r>
            <w:r>
              <w:rPr>
                <w:rFonts w:hint="eastAsia" w:ascii="宋体" w:hAnsi="宋体"/>
                <w:color w:val="000000"/>
                <w:lang w:eastAsia="zh-CN"/>
              </w:rPr>
              <w:t>片</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szCs w:val="21"/>
                <w:lang w:eastAsia="zh-CN"/>
              </w:rPr>
            </w:pPr>
            <w:r>
              <w:rPr>
                <w:rFonts w:hint="eastAsia" w:ascii="宋体" w:hAnsi="宋体"/>
                <w:lang w:eastAsia="zh-CN"/>
              </w:rPr>
              <w:t>通过设置可让染色更精细化，可以进行多种样本的革兰氏染色。</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szCs w:val="21"/>
                <w:lang w:eastAsia="zh-CN"/>
              </w:rPr>
            </w:pPr>
            <w:r>
              <w:rPr>
                <w:rFonts w:hint="eastAsia" w:ascii="宋体" w:hAnsi="宋体"/>
                <w:lang w:eastAsia="zh-CN"/>
              </w:rPr>
              <w:t>中英文触屏按键， 全中文菜单， 易于操作，可自定义玻片数目，全封闭系统，不需要接近水槽，不污车间环境。</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lang w:eastAsia="zh-CN"/>
              </w:rPr>
            </w:pPr>
            <w:r>
              <w:rPr>
                <w:rFonts w:hint="eastAsia" w:ascii="宋体" w:hAnsi="宋体"/>
                <w:lang w:eastAsia="zh-CN"/>
              </w:rPr>
              <w:t>每套染液（500ml/瓶）可染500～1000 张玻片。</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lang w:eastAsia="zh-CN"/>
              </w:rPr>
            </w:pPr>
            <w:r>
              <w:rPr>
                <w:rFonts w:hint="eastAsia" w:ascii="宋体" w:hAnsi="宋体"/>
                <w:lang w:eastAsia="zh-CN"/>
              </w:rPr>
              <w:t>静音设计， 染色全过程平稳安静， 给工作人员更安静的操作环境。</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276" w:lineRule="auto"/>
              <w:jc w:val="both"/>
              <w:rPr>
                <w:iCs/>
                <w:szCs w:val="21"/>
                <w:lang w:eastAsia="zh-CN"/>
              </w:rPr>
            </w:pPr>
            <w:r>
              <w:rPr>
                <w:rFonts w:hint="eastAsia" w:ascii="宋体" w:hAnsi="宋体"/>
                <w:color w:val="000000"/>
                <w:lang w:eastAsia="zh-CN"/>
              </w:rPr>
              <w:t>酒精清洗，特殊流路清洗和喷量检测，维护方便。</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70359"/>
      <w:bookmarkStart w:id="30" w:name="_Toc482717202"/>
      <w:bookmarkStart w:id="31" w:name="_Toc482360291"/>
      <w:bookmarkStart w:id="32" w:name="_Toc482369815"/>
      <w:bookmarkStart w:id="33" w:name="_Toc482359946"/>
      <w:bookmarkStart w:id="34" w:name="_Toc482370071"/>
      <w:bookmarkStart w:id="35" w:name="_Toc482370151"/>
      <w:bookmarkStart w:id="36" w:name="_Toc483400317"/>
      <w:bookmarkStart w:id="37" w:name="_Toc481702480"/>
      <w:bookmarkStart w:id="38" w:name="_Toc482625289"/>
      <w:bookmarkStart w:id="39" w:name="_Toc482370767"/>
      <w:bookmarkStart w:id="40" w:name="_Toc483227237"/>
      <w:r>
        <w:rPr>
          <w:rFonts w:ascii="Times New Roman" w:hAnsi="Times New Roman"/>
          <w:b/>
        </w:rPr>
        <w:t>电气、自动控制要求</w:t>
      </w:r>
      <w:bookmarkEnd w:id="27"/>
    </w:p>
    <w:p>
      <w:pPr>
        <w:pStyle w:val="41"/>
        <w:spacing w:before="0" w:line="360" w:lineRule="auto"/>
        <w:ind w:left="425"/>
        <w:jc w:val="left"/>
        <w:rPr>
          <w:i/>
          <w:color w:val="4472C4"/>
          <w:szCs w:val="21"/>
          <w:lang w:eastAsia="zh-CN"/>
        </w:rPr>
      </w:pPr>
      <w:permStart w:id="26" w:edGrp="everyone"/>
    </w:p>
    <w:permEnd w:id="2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染色时有染色进度条，染色完成时，有提示音，具有试剂不足自动报警和故障报警功能。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宋体" w:cs="Arial"/>
                <w:color w:val="000000"/>
                <w:szCs w:val="21"/>
                <w:lang w:eastAsia="zh-CN"/>
              </w:rPr>
            </w:pPr>
            <w:r>
              <w:rPr>
                <w:rFonts w:hint="eastAsia" w:ascii="宋体" w:hAnsi="宋体"/>
                <w:lang w:eastAsia="zh-CN"/>
              </w:rPr>
              <w:t>染色流程全自动化，只需加载玻片，操作时无需人为干预。</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szCs w:val="21"/>
                <w:lang w:eastAsia="zh-CN"/>
              </w:rPr>
            </w:pPr>
            <w:r>
              <w:rPr>
                <w:rFonts w:hint="eastAsia" w:ascii="宋体" w:hAnsi="宋体"/>
                <w:sz w:val="24"/>
              </w:rPr>
              <w:t>N/A</w:t>
            </w:r>
          </w:p>
        </w:tc>
        <w:tc>
          <w:tcPr>
            <w:tcW w:w="2125" w:type="dxa"/>
            <w:shd w:val="clear" w:color="auto" w:fill="auto"/>
            <w:vAlign w:val="center"/>
          </w:tcPr>
          <w:p>
            <w:pPr>
              <w:jc w:val="both"/>
              <w:rPr>
                <w:szCs w:val="21"/>
                <w:lang w:eastAsia="zh-CN"/>
              </w:rPr>
            </w:pPr>
          </w:p>
        </w:tc>
      </w:tr>
      <w:permEnd w:id="28"/>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41"/>
        <w:spacing w:before="0" w:line="360" w:lineRule="auto"/>
        <w:ind w:left="357"/>
        <w:jc w:val="left"/>
        <w:rPr>
          <w:i/>
          <w:color w:val="4472C4"/>
          <w:szCs w:val="21"/>
          <w:lang w:eastAsia="zh-CN"/>
        </w:rPr>
      </w:pPr>
      <w:permStart w:id="29" w:edGrp="everyone"/>
    </w:p>
    <w:permEnd w:id="29"/>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spacing w:line="276" w:lineRule="auto"/>
              <w:jc w:val="both"/>
              <w:rPr>
                <w:szCs w:val="21"/>
                <w:lang w:eastAsia="zh-CN"/>
              </w:rPr>
            </w:pPr>
            <w:r>
              <w:rPr>
                <w:rFonts w:hint="eastAsia" w:ascii="宋体" w:hAnsi="宋体"/>
                <w:sz w:val="24"/>
              </w:rPr>
              <w:t>N/A</w:t>
            </w:r>
          </w:p>
        </w:tc>
        <w:tc>
          <w:tcPr>
            <w:tcW w:w="2125" w:type="dxa"/>
            <w:shd w:val="clear" w:color="auto" w:fill="auto"/>
            <w:vAlign w:val="center"/>
          </w:tcPr>
          <w:p>
            <w:pPr>
              <w:jc w:val="both"/>
              <w:rPr>
                <w:szCs w:val="21"/>
                <w:lang w:eastAsia="zh-CN"/>
              </w:rPr>
            </w:pP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jc w:val="both"/>
              <w:rPr>
                <w:szCs w:val="21"/>
                <w:lang w:eastAsia="zh-CN"/>
              </w:rPr>
            </w:pPr>
            <w:r>
              <w:rPr>
                <w:rFonts w:hint="eastAsia" w:ascii="宋体" w:hAnsi="宋体"/>
                <w:szCs w:val="21"/>
                <w:lang w:eastAsia="zh-CN"/>
              </w:rPr>
              <w:t>电气安全应符合GB4793.1和GB4793.4的要求。</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jc w:val="both"/>
              <w:rPr>
                <w:szCs w:val="21"/>
                <w:lang w:eastAsia="zh-CN"/>
              </w:rPr>
            </w:pPr>
            <w:r>
              <w:rPr>
                <w:rFonts w:hint="eastAsia" w:ascii="宋体" w:hAnsi="宋体"/>
                <w:szCs w:val="21"/>
                <w:lang w:eastAsia="zh-CN"/>
              </w:rPr>
              <w:t>仪器要有漏电保护功能。</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2"/>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p>
      <w:pPr>
        <w:pStyle w:val="41"/>
        <w:spacing w:before="0" w:line="360" w:lineRule="auto"/>
        <w:ind w:left="357"/>
        <w:jc w:val="left"/>
        <w:rPr>
          <w:i/>
          <w:szCs w:val="21"/>
          <w:lang w:eastAsia="zh-CN"/>
        </w:rPr>
      </w:pPr>
      <w:permStart w:id="33" w:edGrp="everyone"/>
    </w:p>
    <w:permEnd w:id="33"/>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jc w:val="both"/>
              <w:rPr>
                <w:lang w:val="en-US" w:eastAsia="zh-CN"/>
              </w:rPr>
            </w:pPr>
            <w:r>
              <w:rPr>
                <w:rFonts w:hint="eastAsia" w:ascii="宋体" w:hAnsi="宋体"/>
                <w:lang w:eastAsia="zh-CN"/>
              </w:rPr>
              <w:t>投标文件（必须包含性能确认报告）、合同、订单及设备交付计划表。</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jc w:val="both"/>
              <w:rPr>
                <w:szCs w:val="21"/>
                <w:lang w:eastAsia="zh-CN"/>
              </w:rPr>
            </w:pPr>
            <w:r>
              <w:rPr>
                <w:rFonts w:hint="eastAsia" w:ascii="宋体" w:hAnsi="宋体"/>
                <w:lang w:eastAsia="zh-CN"/>
              </w:rPr>
              <w:t>卖方发运清单及相关检验报告。</w:t>
            </w:r>
          </w:p>
        </w:tc>
        <w:tc>
          <w:tcPr>
            <w:tcW w:w="2125" w:type="dxa"/>
            <w:shd w:val="clear" w:color="auto" w:fill="auto"/>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lang w:eastAsia="zh-CN"/>
              </w:rPr>
              <w:t>系统功能配置清单&amp;说明，包含</w:t>
            </w:r>
            <w:r>
              <w:rPr>
                <w:rFonts w:hint="eastAsia" w:ascii="宋体" w:hAnsi="宋体" w:cs="宋体"/>
                <w:lang w:eastAsia="zh-CN"/>
              </w:rPr>
              <w:t>各组件名称、编号、型号、规格、品牌、材质等。</w:t>
            </w:r>
          </w:p>
        </w:tc>
        <w:tc>
          <w:tcPr>
            <w:tcW w:w="2125" w:type="dxa"/>
            <w:shd w:val="clear" w:color="auto" w:fill="auto"/>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cs="宋体"/>
              </w:rPr>
              <w:t>设备标准技术文件。</w:t>
            </w:r>
          </w:p>
        </w:tc>
        <w:tc>
          <w:tcPr>
            <w:tcW w:w="2125" w:type="dxa"/>
            <w:shd w:val="clear" w:color="auto" w:fill="auto"/>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lang w:eastAsia="zh-CN"/>
              </w:rPr>
              <w:t>图纸：实物图；各种确认、维修等活动所需的电子版及打印版图纸、图纸说明及清单。</w:t>
            </w:r>
          </w:p>
        </w:tc>
        <w:tc>
          <w:tcPr>
            <w:tcW w:w="2125" w:type="dxa"/>
            <w:shd w:val="clear" w:color="auto" w:fill="auto"/>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cs="宋体"/>
                <w:lang w:eastAsia="zh-CN"/>
              </w:rPr>
              <w:t>组件清单、易损件清单、备用零件、消耗品清单</w:t>
            </w:r>
            <w:r>
              <w:rPr>
                <w:rFonts w:hint="eastAsia" w:ascii="宋体" w:hAnsi="宋体"/>
                <w:lang w:eastAsia="zh-CN"/>
              </w:rPr>
              <w:t>：包括名称、编号、对应厂家名称、生产地、规格及必要说明。</w:t>
            </w:r>
          </w:p>
        </w:tc>
        <w:tc>
          <w:tcPr>
            <w:tcW w:w="2125" w:type="dxa"/>
            <w:shd w:val="clear" w:color="auto" w:fill="auto"/>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r>
              <w:rPr>
                <w:rFonts w:hint="eastAsia" w:ascii="Times New Roman" w:hAnsi="Times New Roman"/>
                <w:szCs w:val="21"/>
              </w:rPr>
              <w:t>b</w:t>
            </w:r>
          </w:p>
        </w:tc>
        <w:tc>
          <w:tcPr>
            <w:tcW w:w="7128" w:type="dxa"/>
            <w:shd w:val="clear" w:color="auto" w:fill="auto"/>
            <w:vAlign w:val="center"/>
          </w:tcPr>
          <w:p>
            <w:pPr>
              <w:jc w:val="both"/>
              <w:rPr>
                <w:szCs w:val="21"/>
                <w:lang w:eastAsia="zh-CN"/>
              </w:rPr>
            </w:pPr>
            <w:r>
              <w:rPr>
                <w:rFonts w:hint="eastAsia" w:ascii="宋体" w:hAnsi="宋体"/>
                <w:lang w:eastAsia="zh-CN"/>
              </w:rPr>
              <w:t>设备厂家文件：工厂相关检测报告、材质清单材质证书（写明材料有效期）、各种标示、出厂合格证、各组件相关报告及合格证。</w:t>
            </w:r>
          </w:p>
        </w:tc>
        <w:tc>
          <w:tcPr>
            <w:tcW w:w="2125" w:type="dxa"/>
            <w:shd w:val="clear" w:color="auto" w:fill="auto"/>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cs="宋体"/>
                <w:lang w:eastAsia="zh-CN"/>
              </w:rPr>
              <w:t>设备操作手册（SOP）</w:t>
            </w:r>
            <w:r>
              <w:rPr>
                <w:rFonts w:hint="eastAsia"/>
                <w:lang w:eastAsia="zh-CN"/>
              </w:rPr>
              <w:t>：</w:t>
            </w:r>
            <w:r>
              <w:rPr>
                <w:rFonts w:hint="eastAsia" w:ascii="宋体" w:hAnsi="宋体" w:cs="宋体"/>
                <w:lang w:eastAsia="zh-CN"/>
              </w:rPr>
              <w:t>语言为中文，</w:t>
            </w:r>
            <w:r>
              <w:rPr>
                <w:rFonts w:hint="eastAsia"/>
                <w:lang w:eastAsia="zh-CN"/>
              </w:rPr>
              <w:t>应说明校准周期，并能提供校准服务。</w:t>
            </w:r>
          </w:p>
        </w:tc>
        <w:tc>
          <w:tcPr>
            <w:tcW w:w="2125" w:type="dxa"/>
            <w:shd w:val="clear" w:color="auto" w:fill="auto"/>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lang w:eastAsia="zh-CN"/>
              </w:rPr>
              <w:t>仪器仪表清单和相关校验报告及计量证书（提供所有在该设备上安装的仪表、传感器的校验证书，且证书有效期自设备到货之日起不少于8个月）。</w:t>
            </w:r>
          </w:p>
        </w:tc>
        <w:tc>
          <w:tcPr>
            <w:tcW w:w="2125" w:type="dxa"/>
            <w:shd w:val="clear" w:color="auto" w:fill="auto"/>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rPr>
              <w:t>安全报告。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rPr>
            </w:pPr>
            <w:r>
              <w:rPr>
                <w:rFonts w:hint="eastAsia" w:ascii="宋体" w:hAnsi="宋体"/>
              </w:rPr>
              <w:t>设备交付计划表。</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lang w:eastAsia="zh-CN"/>
              </w:rPr>
            </w:pPr>
            <w:r>
              <w:rPr>
                <w:rFonts w:hint="eastAsia" w:ascii="宋体" w:hAnsi="宋体"/>
                <w:lang w:eastAsia="zh-CN"/>
              </w:rPr>
              <w:t>工厂验收测试报告和现场验收测试（SAT）报告。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r>
              <w:rPr>
                <w:rFonts w:hint="eastAsia" w:ascii="Times New Roman" w:hAnsi="Times New Roman"/>
                <w:szCs w:val="21"/>
              </w:rPr>
              <w:t>b</w:t>
            </w:r>
          </w:p>
        </w:tc>
        <w:tc>
          <w:tcPr>
            <w:tcW w:w="7128" w:type="dxa"/>
            <w:shd w:val="clear" w:color="auto" w:fill="auto"/>
            <w:vAlign w:val="center"/>
          </w:tcPr>
          <w:p>
            <w:pPr>
              <w:jc w:val="both"/>
              <w:rPr>
                <w:rFonts w:ascii="宋体" w:hAnsi="宋体"/>
                <w:lang w:eastAsia="zh-CN"/>
              </w:rPr>
            </w:pPr>
            <w:r>
              <w:rPr>
                <w:rFonts w:hint="eastAsia" w:ascii="宋体" w:hAnsi="宋体"/>
                <w:lang w:eastAsia="zh-CN"/>
              </w:rPr>
              <w:t>调试文件：调试计划、调试方案、设备测试记录，检测清单，测试报告，调试总结报告、现场验收报告等。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供应商提供全套首次验证相关验证服务和文件，必须满足GMP相关法规要求</w:t>
            </w:r>
            <w:r>
              <w:rPr>
                <w:rFonts w:hint="eastAsia" w:ascii="宋体" w:hAnsi="宋体" w:cs="宋体"/>
                <w:sz w:val="21"/>
                <w:szCs w:val="21"/>
                <w:lang w:eastAsia="zh-CN"/>
              </w:rPr>
              <w:t>（1）</w:t>
            </w:r>
            <w:r>
              <w:rPr>
                <w:rFonts w:hint="eastAsia" w:ascii="宋体" w:hAnsi="宋体"/>
                <w:sz w:val="21"/>
                <w:szCs w:val="21"/>
                <w:lang w:eastAsia="zh-CN"/>
              </w:rPr>
              <w:t>设计确认及文件（DQ）</w:t>
            </w:r>
            <w:r>
              <w:rPr>
                <w:rFonts w:hint="eastAsia" w:ascii="宋体" w:hAnsi="宋体" w:cs="宋体"/>
                <w:sz w:val="21"/>
                <w:szCs w:val="21"/>
                <w:lang w:eastAsia="zh-CN"/>
              </w:rPr>
              <w:t>，包括风险评估</w:t>
            </w:r>
            <w:r>
              <w:rPr>
                <w:rFonts w:hint="eastAsia" w:ascii="宋体" w:hAnsi="宋体"/>
                <w:sz w:val="21"/>
                <w:szCs w:val="21"/>
                <w:lang w:eastAsia="zh-CN"/>
              </w:rPr>
              <w:t>；</w:t>
            </w:r>
          </w:p>
          <w:p>
            <w:pPr>
              <w:pStyle w:val="7"/>
              <w:rPr>
                <w:rFonts w:ascii="宋体"/>
                <w:sz w:val="21"/>
                <w:szCs w:val="21"/>
                <w:lang w:val="en-US" w:eastAsia="zh-CN"/>
              </w:rPr>
            </w:pPr>
            <w:r>
              <w:rPr>
                <w:rFonts w:hint="eastAsia" w:ascii="宋体" w:hAnsi="宋体" w:cs="宋体"/>
                <w:sz w:val="21"/>
                <w:szCs w:val="21"/>
                <w:lang w:eastAsia="zh-CN"/>
              </w:rPr>
              <w:t>（2）</w:t>
            </w:r>
            <w:r>
              <w:rPr>
                <w:rFonts w:hint="eastAsia" w:ascii="宋体" w:hAnsi="宋体"/>
                <w:sz w:val="21"/>
                <w:szCs w:val="21"/>
                <w:lang w:eastAsia="zh-CN"/>
              </w:rPr>
              <w:t>安装确认及文件（IQ）；</w:t>
            </w:r>
          </w:p>
          <w:p>
            <w:pPr>
              <w:pStyle w:val="7"/>
              <w:rPr>
                <w:rFonts w:ascii="宋体"/>
                <w:sz w:val="21"/>
                <w:szCs w:val="21"/>
                <w:lang w:eastAsia="zh-CN"/>
              </w:rPr>
            </w:pPr>
            <w:r>
              <w:rPr>
                <w:rFonts w:hint="eastAsia" w:ascii="宋体" w:hAnsi="宋体" w:cs="宋体"/>
                <w:sz w:val="21"/>
                <w:szCs w:val="21"/>
                <w:lang w:eastAsia="zh-CN"/>
              </w:rPr>
              <w:t>（3）</w:t>
            </w:r>
            <w:r>
              <w:rPr>
                <w:rFonts w:hint="eastAsia" w:ascii="宋体" w:hAnsi="宋体"/>
                <w:sz w:val="21"/>
                <w:szCs w:val="21"/>
                <w:lang w:eastAsia="zh-CN"/>
              </w:rPr>
              <w:t>运行确认及文件（OQ）；</w:t>
            </w:r>
          </w:p>
          <w:p>
            <w:pPr>
              <w:jc w:val="both"/>
              <w:rPr>
                <w:rFonts w:ascii="宋体" w:hAnsi="宋体"/>
                <w:szCs w:val="21"/>
                <w:lang w:eastAsia="zh-CN"/>
              </w:rPr>
            </w:pPr>
            <w:r>
              <w:rPr>
                <w:rFonts w:hint="eastAsia" w:ascii="宋体" w:hAnsi="宋体"/>
                <w:szCs w:val="21"/>
                <w:lang w:eastAsia="zh-CN"/>
              </w:rPr>
              <w:t>（4）设备生产商负责制定设备DQ/IQ/OQ验证方案并负责DQ/IQ/OQ验证方案的实施，该验证方案作为设备必备文件。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lang w:eastAsia="zh-CN"/>
              </w:rPr>
            </w:pPr>
            <w:r>
              <w:rPr>
                <w:rFonts w:hint="eastAsia" w:ascii="宋体" w:hAnsi="宋体"/>
                <w:lang w:eastAsia="zh-CN"/>
              </w:rPr>
              <w:t>使用操作说明书及维护保养说明（即运行及维护手册）应为中文，纸质文件一式三份，电子版一份。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lang w:val="en-US" w:eastAsia="zh-CN"/>
              </w:rPr>
            </w:pPr>
            <w:r>
              <w:rPr>
                <w:rFonts w:hint="eastAsia" w:ascii="宋体" w:hAnsi="宋体"/>
                <w:lang w:eastAsia="zh-CN"/>
              </w:rPr>
              <w:t>提供设备及其零部件使用寿命清单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rPr>
                <w:rFonts w:ascii="宋体"/>
                <w:sz w:val="21"/>
                <w:szCs w:val="21"/>
                <w:lang w:val="en-US" w:eastAsia="zh-CN"/>
              </w:rPr>
            </w:pPr>
            <w:r>
              <w:rPr>
                <w:rFonts w:hint="eastAsia" w:ascii="宋体"/>
                <w:sz w:val="21"/>
                <w:szCs w:val="21"/>
                <w:lang w:eastAsia="zh-CN"/>
              </w:rPr>
              <w:t>文件具体要求：</w:t>
            </w:r>
          </w:p>
          <w:p>
            <w:pPr>
              <w:pStyle w:val="7"/>
              <w:rPr>
                <w:rFonts w:ascii="宋体" w:cs="宋体"/>
                <w:sz w:val="21"/>
                <w:szCs w:val="21"/>
                <w:lang w:eastAsia="zh-CN"/>
              </w:rPr>
            </w:pPr>
            <w:r>
              <w:rPr>
                <w:rFonts w:hint="eastAsia" w:ascii="宋体" w:hAnsi="宋体" w:cs="宋体"/>
                <w:sz w:val="21"/>
                <w:szCs w:val="21"/>
                <w:lang w:eastAsia="zh-CN"/>
              </w:rPr>
              <w:t>（1）</w:t>
            </w:r>
            <w:r>
              <w:rPr>
                <w:rFonts w:hint="eastAsia" w:ascii="宋体" w:hAnsi="宋体"/>
                <w:sz w:val="21"/>
                <w:szCs w:val="21"/>
                <w:lang w:eastAsia="zh-CN"/>
              </w:rPr>
              <w:t>仪器</w:t>
            </w:r>
            <w:r>
              <w:rPr>
                <w:rFonts w:hint="eastAsia" w:ascii="宋体" w:hAnsi="宋体" w:cs="宋体"/>
                <w:sz w:val="21"/>
                <w:szCs w:val="21"/>
                <w:lang w:eastAsia="zh-CN"/>
              </w:rPr>
              <w:t>相关方案中，应明确本</w:t>
            </w:r>
            <w:r>
              <w:rPr>
                <w:rFonts w:hint="eastAsia" w:ascii="宋体" w:hAnsi="宋体"/>
                <w:sz w:val="21"/>
                <w:szCs w:val="21"/>
                <w:lang w:eastAsia="zh-CN"/>
              </w:rPr>
              <w:t>仪器</w:t>
            </w:r>
            <w:r>
              <w:rPr>
                <w:rFonts w:hint="eastAsia" w:ascii="宋体" w:hAnsi="宋体" w:cs="宋体"/>
                <w:sz w:val="21"/>
                <w:szCs w:val="21"/>
                <w:lang w:eastAsia="zh-CN"/>
              </w:rPr>
              <w:t>的配置、规格，并且通过分析阐述每一个</w:t>
            </w:r>
            <w:r>
              <w:rPr>
                <w:rFonts w:hint="eastAsia" w:ascii="宋体" w:hAnsi="宋体"/>
                <w:sz w:val="21"/>
                <w:szCs w:val="21"/>
                <w:lang w:eastAsia="zh-CN"/>
              </w:rPr>
              <w:t>仪器</w:t>
            </w:r>
            <w:r>
              <w:rPr>
                <w:rFonts w:hint="eastAsia" w:ascii="宋体" w:hAnsi="宋体" w:cs="宋体"/>
                <w:sz w:val="21"/>
                <w:szCs w:val="21"/>
                <w:lang w:eastAsia="zh-CN"/>
              </w:rPr>
              <w:t>环节的必要性；</w:t>
            </w:r>
          </w:p>
          <w:p>
            <w:pPr>
              <w:rPr>
                <w:rFonts w:ascii="Arial" w:hAnsi="宋体" w:cs="Arial"/>
                <w:color w:val="000000"/>
                <w:szCs w:val="21"/>
                <w:lang w:eastAsia="zh-CN"/>
              </w:rPr>
            </w:pPr>
            <w:r>
              <w:rPr>
                <w:rFonts w:hint="eastAsia" w:ascii="宋体" w:hAnsi="宋体" w:cs="宋体"/>
                <w:szCs w:val="21"/>
                <w:lang w:eastAsia="zh-CN"/>
              </w:rPr>
              <w:t>（2）标书中明确</w:t>
            </w:r>
            <w:r>
              <w:rPr>
                <w:rFonts w:hint="eastAsia" w:ascii="宋体" w:hAnsi="宋体"/>
                <w:szCs w:val="21"/>
                <w:lang w:eastAsia="zh-CN"/>
              </w:rPr>
              <w:t>仪器</w:t>
            </w:r>
            <w:r>
              <w:rPr>
                <w:rFonts w:hint="eastAsia" w:ascii="宋体" w:hAnsi="宋体" w:cs="宋体"/>
                <w:szCs w:val="21"/>
                <w:lang w:eastAsia="zh-CN"/>
              </w:rPr>
              <w:t>所有组件的品牌、材质、型号，并且注明每一个组件的保修期。</w:t>
            </w:r>
          </w:p>
          <w:p>
            <w:pPr>
              <w:jc w:val="both"/>
              <w:rPr>
                <w:rFonts w:ascii="宋体" w:hAnsi="宋体"/>
                <w:szCs w:val="21"/>
                <w:lang w:eastAsia="zh-CN"/>
              </w:rPr>
            </w:pPr>
            <w:r>
              <w:rPr>
                <w:rFonts w:hint="eastAsia" w:ascii="宋体" w:hAnsi="宋体"/>
                <w:szCs w:val="21"/>
                <w:lang w:eastAsia="zh-CN"/>
              </w:rPr>
              <w:t>（3）仪器供应商应提供一份工作计划，以便于我公司做好相关准备工作。</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5"/>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41"/>
        <w:spacing w:before="0" w:line="360" w:lineRule="auto"/>
        <w:ind w:left="357"/>
        <w:jc w:val="left"/>
        <w:rPr>
          <w:i/>
          <w:color w:val="4472C4"/>
          <w:szCs w:val="21"/>
          <w:lang w:eastAsia="zh-CN"/>
        </w:rPr>
      </w:pPr>
      <w:permStart w:id="36" w:edGrp="everyone"/>
    </w:p>
    <w:permEnd w:id="3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iCs/>
                <w:szCs w:val="21"/>
                <w:lang w:eastAsia="zh-CN"/>
              </w:rPr>
            </w:pPr>
            <w:r>
              <w:rPr>
                <w:rFonts w:hint="eastAsia"/>
                <w:szCs w:val="21"/>
                <w:lang w:eastAsia="zh-CN"/>
              </w:rPr>
              <w:t>验证包括：</w:t>
            </w:r>
            <w:r>
              <w:rPr>
                <w:rFonts w:ascii="宋体" w:hAnsi="宋体"/>
                <w:szCs w:val="21"/>
                <w:lang w:eastAsia="zh-CN"/>
              </w:rPr>
              <w:t>DQ</w:t>
            </w:r>
            <w:r>
              <w:rPr>
                <w:rFonts w:hint="eastAsia" w:ascii="宋体" w:hAnsi="宋体"/>
                <w:szCs w:val="21"/>
                <w:lang w:eastAsia="zh-CN"/>
              </w:rPr>
              <w:t>、</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文件与服务，供应商必须派出具备该类系统验证经验，且熟悉验证相关文件编写及验证工作实施的验证工程师开展验证工作。</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验证工作应按时保质完成，供应商需提供验证工作计划表</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验证项目应包含法规要求的测试项目，以及本公司提出的测试项目</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设备及易损备件保质期从设备验收合格之日起计算</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设备质保期为一年，一年内免费保修，一年后应提供良好的售后服务</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r>
              <w:rPr>
                <w:rFonts w:hint="eastAsia" w:ascii="Times New Roman" w:hAnsi="Times New Roman"/>
                <w:szCs w:val="21"/>
              </w:rPr>
              <w:t>b</w:t>
            </w: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售后服务必须响应及时，要求设备出现须厂家维修的故障后，应在4小时内明确答复，当电话沟通无法解决时，须24小时内及时派人至现场解决</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lang w:eastAsia="zh-CN"/>
              </w:rPr>
              <w:t>供应商应提供合格的备件，用于设备相应部件的维修、更换。</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要求设备在签订合同后1个月内到货</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6"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供应商进厂安装需遵守安全和安装规定</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最后验收前必须保证所有的验证工作已完成和达到要求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 w:val="24"/>
                <w:lang w:eastAsia="zh-CN"/>
              </w:rPr>
            </w:pPr>
            <w:r>
              <w:rPr>
                <w:rFonts w:hint="eastAsia" w:ascii="宋体" w:hAnsi="宋体"/>
                <w:szCs w:val="21"/>
                <w:lang w:eastAsia="zh-CN"/>
              </w:rPr>
              <w:t>确认验收合格后，买卖双方签订验收报告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确认验收合格应包含所有附件及备件</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6"/>
    </w:tbl>
    <w:p/>
    <w:p>
      <w:pPr>
        <w:pStyle w:val="31"/>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left"/>
        <w:rPr>
          <w:szCs w:val="21"/>
          <w:lang w:eastAsia="zh-CN"/>
        </w:rPr>
      </w:pPr>
      <w:permStart w:id="47" w:edGrp="everyone"/>
      <w:r>
        <w:rPr>
          <w:rFonts w:hint="eastAsia"/>
          <w:szCs w:val="21"/>
          <w:lang w:eastAsia="zh-CN"/>
        </w:rPr>
        <w:t>全自动革兰氏染色仪1台，载玻片，革兰氏染液套装</w:t>
      </w:r>
      <w:permEnd w:id="47"/>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2"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67C"/>
    <w:rsid w:val="00020FEA"/>
    <w:rsid w:val="000217FF"/>
    <w:rsid w:val="00022818"/>
    <w:rsid w:val="000233DE"/>
    <w:rsid w:val="00023B07"/>
    <w:rsid w:val="00023CAD"/>
    <w:rsid w:val="0002428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583"/>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1AD9"/>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1FEA"/>
    <w:rsid w:val="00122051"/>
    <w:rsid w:val="00124244"/>
    <w:rsid w:val="00124E69"/>
    <w:rsid w:val="00125CC1"/>
    <w:rsid w:val="001273B0"/>
    <w:rsid w:val="00127CB8"/>
    <w:rsid w:val="001313C3"/>
    <w:rsid w:val="00132F4C"/>
    <w:rsid w:val="00134C68"/>
    <w:rsid w:val="00135FD6"/>
    <w:rsid w:val="001374CF"/>
    <w:rsid w:val="00141E05"/>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2F72"/>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45C"/>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464F"/>
    <w:rsid w:val="00225DD2"/>
    <w:rsid w:val="002279A2"/>
    <w:rsid w:val="00227A0D"/>
    <w:rsid w:val="002320D9"/>
    <w:rsid w:val="00234C07"/>
    <w:rsid w:val="002355FF"/>
    <w:rsid w:val="002367A6"/>
    <w:rsid w:val="00236BE9"/>
    <w:rsid w:val="00237E6C"/>
    <w:rsid w:val="00240A09"/>
    <w:rsid w:val="00240B1E"/>
    <w:rsid w:val="00241437"/>
    <w:rsid w:val="00242F4E"/>
    <w:rsid w:val="00245088"/>
    <w:rsid w:val="00253242"/>
    <w:rsid w:val="002547BF"/>
    <w:rsid w:val="002548CA"/>
    <w:rsid w:val="0025531B"/>
    <w:rsid w:val="002560F9"/>
    <w:rsid w:val="00257517"/>
    <w:rsid w:val="00257FA9"/>
    <w:rsid w:val="00261CD0"/>
    <w:rsid w:val="00261F30"/>
    <w:rsid w:val="002637FB"/>
    <w:rsid w:val="00263CB5"/>
    <w:rsid w:val="0026571F"/>
    <w:rsid w:val="00267AF8"/>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036D"/>
    <w:rsid w:val="002C1817"/>
    <w:rsid w:val="002C1DAB"/>
    <w:rsid w:val="002C4FCF"/>
    <w:rsid w:val="002C527C"/>
    <w:rsid w:val="002D0253"/>
    <w:rsid w:val="002D03CD"/>
    <w:rsid w:val="002D0875"/>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2A77"/>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668B8"/>
    <w:rsid w:val="00366D0A"/>
    <w:rsid w:val="00370514"/>
    <w:rsid w:val="0037056A"/>
    <w:rsid w:val="003726DF"/>
    <w:rsid w:val="0037345A"/>
    <w:rsid w:val="00373FFA"/>
    <w:rsid w:val="0037455F"/>
    <w:rsid w:val="00376C31"/>
    <w:rsid w:val="00377A87"/>
    <w:rsid w:val="00380EB7"/>
    <w:rsid w:val="003810F5"/>
    <w:rsid w:val="00381C39"/>
    <w:rsid w:val="00381CF6"/>
    <w:rsid w:val="003827BF"/>
    <w:rsid w:val="0038326A"/>
    <w:rsid w:val="0038367F"/>
    <w:rsid w:val="00386E88"/>
    <w:rsid w:val="00387B81"/>
    <w:rsid w:val="00390AF8"/>
    <w:rsid w:val="00391016"/>
    <w:rsid w:val="003910F8"/>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1C06"/>
    <w:rsid w:val="003D2243"/>
    <w:rsid w:val="003D3C09"/>
    <w:rsid w:val="003D464A"/>
    <w:rsid w:val="003D4EFF"/>
    <w:rsid w:val="003D5F4A"/>
    <w:rsid w:val="003D662C"/>
    <w:rsid w:val="003D77E5"/>
    <w:rsid w:val="003E49F8"/>
    <w:rsid w:val="003E5109"/>
    <w:rsid w:val="003E60EE"/>
    <w:rsid w:val="003E6B48"/>
    <w:rsid w:val="003E748F"/>
    <w:rsid w:val="003F2410"/>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3E4F"/>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97C30"/>
    <w:rsid w:val="004A05A7"/>
    <w:rsid w:val="004A2343"/>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3ADF"/>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4FF"/>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4D"/>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16DA"/>
    <w:rsid w:val="005D3394"/>
    <w:rsid w:val="005D3989"/>
    <w:rsid w:val="005D42FF"/>
    <w:rsid w:val="005E2725"/>
    <w:rsid w:val="005E65FA"/>
    <w:rsid w:val="005E7958"/>
    <w:rsid w:val="005F19CE"/>
    <w:rsid w:val="005F28F4"/>
    <w:rsid w:val="005F43BB"/>
    <w:rsid w:val="005F503E"/>
    <w:rsid w:val="005F6CB3"/>
    <w:rsid w:val="005F7612"/>
    <w:rsid w:val="005F7663"/>
    <w:rsid w:val="005F769B"/>
    <w:rsid w:val="005F7D63"/>
    <w:rsid w:val="00605579"/>
    <w:rsid w:val="00607170"/>
    <w:rsid w:val="00607408"/>
    <w:rsid w:val="00610AEE"/>
    <w:rsid w:val="00613C70"/>
    <w:rsid w:val="00616BAC"/>
    <w:rsid w:val="00620598"/>
    <w:rsid w:val="00620FEC"/>
    <w:rsid w:val="006214DC"/>
    <w:rsid w:val="006215E2"/>
    <w:rsid w:val="0062168F"/>
    <w:rsid w:val="006221A2"/>
    <w:rsid w:val="00627113"/>
    <w:rsid w:val="00627159"/>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ADC"/>
    <w:rsid w:val="00670C23"/>
    <w:rsid w:val="00671DC9"/>
    <w:rsid w:val="00672B86"/>
    <w:rsid w:val="00673031"/>
    <w:rsid w:val="00673EB3"/>
    <w:rsid w:val="00674F06"/>
    <w:rsid w:val="00680BE8"/>
    <w:rsid w:val="006828BD"/>
    <w:rsid w:val="00686409"/>
    <w:rsid w:val="00686D19"/>
    <w:rsid w:val="0068777F"/>
    <w:rsid w:val="00693018"/>
    <w:rsid w:val="00695734"/>
    <w:rsid w:val="006A0059"/>
    <w:rsid w:val="006A7425"/>
    <w:rsid w:val="006B058A"/>
    <w:rsid w:val="006B1299"/>
    <w:rsid w:val="006B26D9"/>
    <w:rsid w:val="006B310C"/>
    <w:rsid w:val="006B664C"/>
    <w:rsid w:val="006C1125"/>
    <w:rsid w:val="006C1C83"/>
    <w:rsid w:val="006C2D7E"/>
    <w:rsid w:val="006C3E78"/>
    <w:rsid w:val="006C54E6"/>
    <w:rsid w:val="006C5762"/>
    <w:rsid w:val="006C690D"/>
    <w:rsid w:val="006D149F"/>
    <w:rsid w:val="006D31EB"/>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20F8"/>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5495"/>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2BC"/>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1F6"/>
    <w:rsid w:val="00806EAB"/>
    <w:rsid w:val="0081001E"/>
    <w:rsid w:val="00810E52"/>
    <w:rsid w:val="00811CA7"/>
    <w:rsid w:val="0081379D"/>
    <w:rsid w:val="0081636E"/>
    <w:rsid w:val="0082112E"/>
    <w:rsid w:val="00822F2B"/>
    <w:rsid w:val="00823D9A"/>
    <w:rsid w:val="00827EA4"/>
    <w:rsid w:val="008301D6"/>
    <w:rsid w:val="008305B7"/>
    <w:rsid w:val="00830C78"/>
    <w:rsid w:val="00830FB9"/>
    <w:rsid w:val="00834968"/>
    <w:rsid w:val="00834B53"/>
    <w:rsid w:val="00840298"/>
    <w:rsid w:val="00841BE4"/>
    <w:rsid w:val="008443AD"/>
    <w:rsid w:val="00845A53"/>
    <w:rsid w:val="00847E8C"/>
    <w:rsid w:val="008505E1"/>
    <w:rsid w:val="00850B19"/>
    <w:rsid w:val="00852488"/>
    <w:rsid w:val="0085405E"/>
    <w:rsid w:val="008571DD"/>
    <w:rsid w:val="0085772E"/>
    <w:rsid w:val="00860344"/>
    <w:rsid w:val="00860E2C"/>
    <w:rsid w:val="00864BC6"/>
    <w:rsid w:val="00865EE6"/>
    <w:rsid w:val="00870133"/>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2C7B"/>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39D"/>
    <w:rsid w:val="00934991"/>
    <w:rsid w:val="009351A7"/>
    <w:rsid w:val="009426B9"/>
    <w:rsid w:val="00944E85"/>
    <w:rsid w:val="00945E0F"/>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95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B6F63"/>
    <w:rsid w:val="009B7CB9"/>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34A8"/>
    <w:rsid w:val="00A74589"/>
    <w:rsid w:val="00A74E1B"/>
    <w:rsid w:val="00A7513A"/>
    <w:rsid w:val="00A75AC9"/>
    <w:rsid w:val="00A75B25"/>
    <w:rsid w:val="00A76AEE"/>
    <w:rsid w:val="00A801B4"/>
    <w:rsid w:val="00A82075"/>
    <w:rsid w:val="00A82192"/>
    <w:rsid w:val="00A857AB"/>
    <w:rsid w:val="00A90009"/>
    <w:rsid w:val="00A9056B"/>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A48"/>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38D3"/>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5473"/>
    <w:rsid w:val="00C274A6"/>
    <w:rsid w:val="00C34201"/>
    <w:rsid w:val="00C35A38"/>
    <w:rsid w:val="00C35EC9"/>
    <w:rsid w:val="00C36807"/>
    <w:rsid w:val="00C37392"/>
    <w:rsid w:val="00C41545"/>
    <w:rsid w:val="00C4209D"/>
    <w:rsid w:val="00C432B3"/>
    <w:rsid w:val="00C46611"/>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637"/>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3485"/>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5CB4"/>
    <w:rsid w:val="00D25F28"/>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384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452"/>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221"/>
    <w:rsid w:val="00E039F3"/>
    <w:rsid w:val="00E03C30"/>
    <w:rsid w:val="00E054B1"/>
    <w:rsid w:val="00E078BD"/>
    <w:rsid w:val="00E078F8"/>
    <w:rsid w:val="00E1142B"/>
    <w:rsid w:val="00E11F10"/>
    <w:rsid w:val="00E157E4"/>
    <w:rsid w:val="00E15950"/>
    <w:rsid w:val="00E16522"/>
    <w:rsid w:val="00E1750C"/>
    <w:rsid w:val="00E178A6"/>
    <w:rsid w:val="00E20545"/>
    <w:rsid w:val="00E223C6"/>
    <w:rsid w:val="00E22503"/>
    <w:rsid w:val="00E2399C"/>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4A2C"/>
    <w:rsid w:val="00EA623C"/>
    <w:rsid w:val="00EA6395"/>
    <w:rsid w:val="00EB044B"/>
    <w:rsid w:val="00EB067C"/>
    <w:rsid w:val="00EB1392"/>
    <w:rsid w:val="00EB3C66"/>
    <w:rsid w:val="00EB4B03"/>
    <w:rsid w:val="00EB5DEE"/>
    <w:rsid w:val="00EB64CB"/>
    <w:rsid w:val="00EB6D46"/>
    <w:rsid w:val="00EC07F3"/>
    <w:rsid w:val="00EC3194"/>
    <w:rsid w:val="00EC346B"/>
    <w:rsid w:val="00EC518D"/>
    <w:rsid w:val="00EC5529"/>
    <w:rsid w:val="00EC71D3"/>
    <w:rsid w:val="00ED02FE"/>
    <w:rsid w:val="00ED1EC9"/>
    <w:rsid w:val="00ED3737"/>
    <w:rsid w:val="00ED3856"/>
    <w:rsid w:val="00ED3E2E"/>
    <w:rsid w:val="00ED4CC8"/>
    <w:rsid w:val="00ED6A08"/>
    <w:rsid w:val="00EE0370"/>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6EF5"/>
    <w:rsid w:val="00F176A0"/>
    <w:rsid w:val="00F20174"/>
    <w:rsid w:val="00F22098"/>
    <w:rsid w:val="00F223BC"/>
    <w:rsid w:val="00F23780"/>
    <w:rsid w:val="00F26185"/>
    <w:rsid w:val="00F3178C"/>
    <w:rsid w:val="00F33DE5"/>
    <w:rsid w:val="00F34B8F"/>
    <w:rsid w:val="00F36D7F"/>
    <w:rsid w:val="00F37186"/>
    <w:rsid w:val="00F42FCF"/>
    <w:rsid w:val="00F44A83"/>
    <w:rsid w:val="00F50AE0"/>
    <w:rsid w:val="00F51743"/>
    <w:rsid w:val="00F529D4"/>
    <w:rsid w:val="00F54F27"/>
    <w:rsid w:val="00F55FC8"/>
    <w:rsid w:val="00F604E3"/>
    <w:rsid w:val="00F610E6"/>
    <w:rsid w:val="00F616AB"/>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3875"/>
    <w:rsid w:val="00FE4A65"/>
    <w:rsid w:val="00FE51E8"/>
    <w:rsid w:val="00FE602F"/>
    <w:rsid w:val="00FE7186"/>
    <w:rsid w:val="00FE7611"/>
    <w:rsid w:val="00FF0769"/>
    <w:rsid w:val="00FF0DB8"/>
    <w:rsid w:val="00FF1A76"/>
    <w:rsid w:val="00FF1C1D"/>
    <w:rsid w:val="00FF3330"/>
    <w:rsid w:val="00FF4080"/>
    <w:rsid w:val="00FF40A5"/>
    <w:rsid w:val="00FF48DA"/>
    <w:rsid w:val="00FF5E19"/>
    <w:rsid w:val="00FF61AD"/>
    <w:rsid w:val="00FF76BD"/>
    <w:rsid w:val="06DB0B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uiPriority w:val="99"/>
    <w:pPr>
      <w:tabs>
        <w:tab w:val="center" w:pos="4320"/>
        <w:tab w:val="right" w:pos="8640"/>
      </w:tabs>
    </w:pPr>
  </w:style>
  <w:style w:type="paragraph" w:styleId="14">
    <w:name w:val="header"/>
    <w:basedOn w:val="1"/>
    <w:link w:val="26"/>
    <w:uiPriority w:val="0"/>
    <w:pPr>
      <w:tabs>
        <w:tab w:val="center" w:pos="4320"/>
        <w:tab w:val="right" w:pos="8640"/>
      </w:tabs>
    </w:pPr>
  </w:style>
  <w:style w:type="paragraph" w:styleId="15">
    <w:name w:val="toc 1"/>
    <w:basedOn w:val="1"/>
    <w:next w:val="1"/>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qFormat/>
    <w:uiPriority w:val="99"/>
    <w:rPr>
      <w:color w:val="0000FF"/>
      <w:u w:val="single"/>
    </w:rPr>
  </w:style>
  <w:style w:type="character" w:styleId="24">
    <w:name w:val="annotation reference"/>
    <w:semiHidden/>
    <w:qFormat/>
    <w:uiPriority w:val="99"/>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2"/>
    <w:link w:val="14"/>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uiPriority w:val="0"/>
    <w:pPr>
      <w:overflowPunct/>
      <w:textAlignment w:val="auto"/>
    </w:pPr>
    <w:rPr>
      <w:rFonts w:ascii="Arial" w:hAnsi="Arial"/>
      <w:sz w:val="20"/>
      <w:lang w:val="en-US"/>
    </w:rPr>
  </w:style>
  <w:style w:type="paragraph" w:customStyle="1" w:styleId="30">
    <w:name w:val="Revision"/>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Heading"/>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99"/>
    <w:pPr>
      <w:overflowPunct/>
      <w:autoSpaceDE/>
      <w:autoSpaceDN/>
      <w:adjustRightInd/>
      <w:spacing w:before="120" w:after="120"/>
      <w:jc w:val="both"/>
      <w:textAlignment w:val="auto"/>
    </w:pPr>
    <w:rPr>
      <w:lang w:val="en-US"/>
    </w:rPr>
  </w:style>
  <w:style w:type="character" w:customStyle="1" w:styleId="46">
    <w:name w:val="Footer Char"/>
    <w:basedOn w:val="21"/>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04E601-7588-4751-8A76-60F43BC9141D}">
  <ds:schemaRefs/>
</ds:datastoreItem>
</file>

<file path=docProps/app.xml><?xml version="1.0" encoding="utf-8"?>
<Properties xmlns="http://schemas.openxmlformats.org/officeDocument/2006/extended-properties" xmlns:vt="http://schemas.openxmlformats.org/officeDocument/2006/docPropsVTypes">
  <Template>Normal</Template>
  <Pages>11</Pages>
  <Words>726</Words>
  <Characters>4139</Characters>
  <Lines>34</Lines>
  <Paragraphs>9</Paragraphs>
  <TotalTime>2136</TotalTime>
  <ScaleCrop>false</ScaleCrop>
  <LinksUpToDate>false</LinksUpToDate>
  <CharactersWithSpaces>4856</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2017-06-22T01:53:00Z</cp:lastPrinted>
  <dcterms:modified xsi:type="dcterms:W3CDTF">2022-06-29T06:10:03Z</dcterms:modified>
  <dc:title>生效期：</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