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3666358"/>
      <w:bookmarkStart w:id="1" w:name="_Toc484532399"/>
      <w:bookmarkStart w:id="2" w:name="_Toc482717189"/>
      <w:bookmarkStart w:id="3" w:name="_Toc483227223"/>
      <w:bookmarkStart w:id="4" w:name="_Toc483400307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eastAsia="zh-CN"/>
        </w:rPr>
        <w:t>抗体研究室微生物检验仪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3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3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p>
      <w:pPr>
        <w:rPr>
          <w:lang w:val="en-US" w:eastAsia="zh-CN"/>
        </w:rPr>
      </w:pPr>
    </w:p>
    <w:bookmarkEnd w:id="5"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107735"/>
      <w:bookmarkStart w:id="7" w:name="_Toc52271611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625279"/>
      <w:bookmarkStart w:id="9" w:name="_Toc482360281"/>
      <w:bookmarkStart w:id="10" w:name="_Toc482370061"/>
      <w:bookmarkStart w:id="11" w:name="_Toc482370141"/>
      <w:bookmarkStart w:id="12" w:name="_Toc481702475"/>
      <w:bookmarkStart w:id="13" w:name="_Toc482370757"/>
      <w:bookmarkStart w:id="14" w:name="_Toc482359936"/>
      <w:bookmarkStart w:id="15" w:name="_Toc482370349"/>
      <w:bookmarkStart w:id="16" w:name="_Toc482369805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抗体研究室微生物检验仪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107736"/>
      <w:bookmarkStart w:id="18" w:name="_Toc52271611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抗体研究室微生物检验仪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52271611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1"/>
        <w:numPr>
          <w:ilvl w:val="0"/>
          <w:numId w:val="5"/>
        </w:numPr>
        <w:spacing w:after="120" w:line="360" w:lineRule="auto"/>
        <w:ind w:firstLineChars="0"/>
        <w:contextualSpacing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permStart w:id="5" w:edGrp="everyone"/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产品应满足相关国家标准和行业标准，若本URS所提要求与标准不一致，应按照高的标准执行。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 xml:space="preserve">中国药典 </w:t>
      </w:r>
      <w:r>
        <w:rPr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2020年版</w:t>
      </w:r>
    </w:p>
    <w:p>
      <w:pPr>
        <w:pStyle w:val="41"/>
        <w:numPr>
          <w:ilvl w:val="0"/>
          <w:numId w:val="5"/>
        </w:numPr>
        <w:spacing w:before="0" w:line="360" w:lineRule="auto"/>
        <w:ind w:left="777" w:firstLine="420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《药品生产质量管理规范》（2</w:t>
      </w:r>
      <w:r>
        <w:rPr>
          <w:szCs w:val="21"/>
          <w:lang w:eastAsia="zh-CN"/>
        </w:rPr>
        <w:t>010</w:t>
      </w:r>
      <w:r>
        <w:rPr>
          <w:rFonts w:hint="eastAsia"/>
          <w:szCs w:val="21"/>
          <w:lang w:eastAsia="zh-CN"/>
        </w:rPr>
        <w:t>修订版）</w:t>
      </w:r>
    </w:p>
    <w:permEnd w:id="5"/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permStart w:id="6" w:edGrp="everyone"/>
      <w:r>
        <w:rPr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电气安全应符合GB4793.1和GB4793.4的要求。</w:t>
      </w:r>
    </w:p>
    <w:permEnd w:id="6"/>
    <w:p>
      <w:pPr>
        <w:pStyle w:val="41"/>
        <w:spacing w:before="0" w:line="360" w:lineRule="auto"/>
        <w:jc w:val="left"/>
        <w:rPr>
          <w:szCs w:val="21"/>
          <w:lang w:eastAsia="zh-CN"/>
        </w:rPr>
      </w:pPr>
      <w:permStart w:id="7" w:edGrp="everyone"/>
    </w:p>
    <w:permEnd w:id="7"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107739"/>
      <w:bookmarkStart w:id="22" w:name="_Toc522716119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/>
          <w:szCs w:val="21"/>
          <w:lang w:eastAsia="zh-CN"/>
        </w:rPr>
        <w:t>微生物检验仪是用于微生物限度检测的仪器，可用于微生物限度的测定试验</w:t>
      </w:r>
      <w:r>
        <w:rPr>
          <w:rFonts w:hint="eastAsia" w:ascii="Arial" w:hAnsi="Arial" w:cs="Arial"/>
          <w:color w:val="000000"/>
          <w:szCs w:val="21"/>
          <w:lang w:eastAsia="zh-CN"/>
        </w:rPr>
        <w:t>，</w:t>
      </w:r>
      <w:r>
        <w:rPr>
          <w:rFonts w:hint="eastAsia"/>
          <w:szCs w:val="21"/>
          <w:lang w:eastAsia="zh-CN"/>
        </w:rPr>
        <w:t>抗体研究室根据需求请购一台微生物检验仪</w:t>
      </w:r>
      <w:r>
        <w:rPr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permEnd w:id="8"/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  <w:bookmarkStart w:id="48" w:name="_GoBack"/>
      <w:bookmarkEnd w:id="48"/>
      <w:permStart w:id="9" w:edGrp="everyone"/>
      <w:permEnd w:id="9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1"/>
            <w:bookmarkStart w:id="25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综合楼A区二楼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可放置于实验台桌面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设备的形式尺寸应符合制造商说明书及技术文件规定的要求。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重量（kg）不超过其房间工作台的承重要求。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ind w:left="426"/>
              <w:rPr>
                <w:szCs w:val="21"/>
              </w:rPr>
            </w:pPr>
            <w:permStart w:id="14" w:edGrp="everyone"/>
          </w:p>
        </w:tc>
        <w:tc>
          <w:tcPr>
            <w:tcW w:w="9052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i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工作环境温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度：能适应10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～32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color w:val="000000"/>
                <w:lang w:eastAsia="zh-CN"/>
              </w:rPr>
              <w:t xml:space="preserve">环境 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工作环境湿度：至少包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括45%～65%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交流电电源：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～220±10%V，50±1Hz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rFonts w:hint="eastAsia"/>
                <w:lang w:eastAsia="zh-CN"/>
              </w:rPr>
              <w:t>整机外壳应光滑易清洁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标识</w:t>
            </w: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（3）型号；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（5）对设备必要的说明；</w:t>
            </w:r>
          </w:p>
          <w:p>
            <w:pPr>
              <w:pStyle w:val="7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）安全标识。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8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107740"/>
      <w:bookmarkStart w:id="27" w:name="_Toc522716121"/>
      <w:r>
        <w:rPr>
          <w:rFonts w:ascii="Times New Roman" w:hAnsi="Times New Roman"/>
          <w:b/>
        </w:rPr>
        <w:t>运行要求</w:t>
      </w:r>
      <w:bookmarkEnd w:id="26"/>
      <w:bookmarkEnd w:id="27"/>
    </w:p>
    <w:p>
      <w:pPr>
        <w:pStyle w:val="41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19" w:edGrp="everyone"/>
    </w:p>
    <w:permEnd w:id="19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ind w:left="426"/>
              <w:rPr>
                <w:szCs w:val="21"/>
              </w:rPr>
            </w:pPr>
            <w:permStart w:id="20" w:edGrp="everyone"/>
          </w:p>
        </w:tc>
        <w:tc>
          <w:tcPr>
            <w:tcW w:w="9052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ind w:left="426"/>
              <w:rPr>
                <w:szCs w:val="21"/>
              </w:rPr>
            </w:pPr>
            <w:permStart w:id="21" w:edGrp="everyone"/>
          </w:p>
        </w:tc>
        <w:tc>
          <w:tcPr>
            <w:tcW w:w="9052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Cs w:val="21"/>
                <w:shd w:val="clear" w:color="auto" w:fill="FFFFFF"/>
                <w:lang w:eastAsia="zh-CN"/>
              </w:rPr>
              <w:t>用于微生物检查的专用设备，仪器内置四个大流量隔膜泵，过滤速度快，可直接排液，无需抽滤瓶，采用薄膜过滤法将供试品内的微生物截留在滤膜上。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Cs w:val="21"/>
                <w:shd w:val="clear" w:color="auto" w:fill="FFFFFF"/>
                <w:lang w:eastAsia="zh-CN"/>
              </w:rPr>
              <w:t>内置自动消毒程序，智能控制设备消毒，可独立设置过滤定时功能，自动记忆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Cs w:val="21"/>
                <w:shd w:val="clear" w:color="auto" w:fill="FFFFFF"/>
                <w:lang w:eastAsia="zh-CN"/>
              </w:rPr>
              <w:t>一台主机可配合四种泵头使用，泵头可121℃湿热灭菌，配备火焰喷枪，泵头可用火焰喷枪快速灭菌，四个泵头过滤可同时启停，也可独立控制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有活性碳滤网和气体抽排装置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非常关键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Cs w:val="21"/>
                <w:shd w:val="clear" w:color="auto" w:fill="FFFFFF"/>
                <w:lang w:eastAsia="zh-CN"/>
              </w:rPr>
              <w:t>配PB47泵头和带过滤底座滤杯，无菌包装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非常关键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Cs w:val="21"/>
                <w:shd w:val="clear" w:color="auto" w:fill="FFFFFF"/>
                <w:lang w:eastAsia="zh-CN"/>
              </w:rPr>
              <w:t>可独立设置过滤定时功能，自动记忆，内置自动消毒程序，智能控制设备消毒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带打印功能</w:t>
            </w: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auto"/>
            <w:vAlign w:val="center"/>
          </w:tcPr>
          <w:p>
            <w:pPr>
              <w:pStyle w:val="47"/>
              <w:ind w:right="420" w:rightChars="200" w:firstLine="0" w:firstLineChars="0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不锈钢机壳经镜面抛光，表面光洁平整，便于清洁消毒。</w:t>
            </w:r>
          </w:p>
          <w:p>
            <w:pPr>
              <w:rPr>
                <w:lang w:val="en-US" w:eastAsia="zh-CN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</w:tbl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2625289"/>
      <w:bookmarkStart w:id="31" w:name="_Toc482359946"/>
      <w:bookmarkStart w:id="32" w:name="_Toc482360291"/>
      <w:bookmarkStart w:id="33" w:name="_Toc482369815"/>
      <w:bookmarkStart w:id="34" w:name="_Toc482370151"/>
      <w:bookmarkStart w:id="35" w:name="_Toc482370359"/>
      <w:bookmarkStart w:id="36" w:name="_Toc483227237"/>
      <w:bookmarkStart w:id="37" w:name="_Toc482370767"/>
      <w:bookmarkStart w:id="38" w:name="_Toc482717202"/>
      <w:bookmarkStart w:id="39" w:name="_Toc481702480"/>
      <w:bookmarkStart w:id="40" w:name="_Toc482370071"/>
      <w:bookmarkStart w:id="41" w:name="_Toc483400317"/>
      <w:r>
        <w:rPr>
          <w:rFonts w:ascii="Times New Roman" w:hAnsi="Times New Roman"/>
          <w:b/>
        </w:rPr>
        <w:t>电气、自动控制要求</w:t>
      </w:r>
      <w:bookmarkEnd w:id="28"/>
    </w:p>
    <w:p>
      <w:pPr>
        <w:pStyle w:val="41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  <w:permStart w:id="24" w:edGrp="everyone"/>
    </w:p>
    <w:permEnd w:id="24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ind w:left="426"/>
              <w:rPr>
                <w:szCs w:val="21"/>
              </w:rPr>
            </w:pPr>
            <w:permStart w:id="25" w:edGrp="everyone"/>
          </w:p>
        </w:tc>
        <w:tc>
          <w:tcPr>
            <w:tcW w:w="9052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ind w:left="426"/>
              <w:rPr>
                <w:szCs w:val="21"/>
              </w:rPr>
            </w:pPr>
            <w:permStart w:id="26" w:edGrp="everyone"/>
          </w:p>
        </w:tc>
        <w:tc>
          <w:tcPr>
            <w:tcW w:w="9052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6"/>
    </w:tbl>
    <w:p>
      <w:pPr>
        <w:spacing w:after="158"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27" w:edGrp="everyone"/>
    </w:p>
    <w:permEnd w:id="27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ind w:left="426"/>
              <w:rPr>
                <w:szCs w:val="21"/>
              </w:rPr>
            </w:pPr>
            <w:permStart w:id="28" w:edGrp="everyone"/>
          </w:p>
        </w:tc>
        <w:tc>
          <w:tcPr>
            <w:tcW w:w="9052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ind w:left="426"/>
              <w:rPr>
                <w:szCs w:val="21"/>
              </w:rPr>
            </w:pPr>
            <w:permStart w:id="29" w:edGrp="everyone"/>
          </w:p>
        </w:tc>
        <w:tc>
          <w:tcPr>
            <w:tcW w:w="9052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9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107743"/>
      <w:bookmarkStart w:id="44" w:name="_Toc522716124"/>
      <w:r>
        <w:rPr>
          <w:rFonts w:ascii="Times New Roman" w:hAnsi="Times New Roman"/>
          <w:b/>
        </w:rPr>
        <w:t>文件要求</w:t>
      </w:r>
      <w:bookmarkEnd w:id="43"/>
      <w:bookmarkEnd w:id="44"/>
    </w:p>
    <w:p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0" w:edGrp="everyone"/>
    </w:p>
    <w:permEnd w:id="30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设备供应商应提供操作手册包括但不限于以下内容：</w:t>
            </w:r>
          </w:p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开箱后的装箱单和设备手册</w:t>
            </w:r>
          </w:p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设备出厂时的测试证书</w:t>
            </w:r>
          </w:p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设备使用和维护说明书</w:t>
            </w:r>
          </w:p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产品合格证</w:t>
            </w:r>
          </w:p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随机配件清单</w:t>
            </w:r>
          </w:p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易损件及备品备件清单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:lang w:val="de-CH" w:eastAsia="zh-CN"/>
                <w14:textFill>
                  <w14:solidFill>
                    <w14:schemeClr w14:val="tx1"/>
                  </w14:solidFill>
                </w14:textFill>
              </w:rPr>
              <w:t>设备供应商应提供设备的验证资料、设备出厂检测报告。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32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3" w:edGrp="everyone"/>
    </w:p>
    <w:permEnd w:id="33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生产操作人员培训包括设备结构原理、性能、操作、清洗消毒、故障排除等基本</w:t>
            </w: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需提供</w:t>
            </w:r>
            <w:r>
              <w:rPr>
                <w:rFonts w:hint="eastAsia"/>
                <w:b/>
                <w:bCs/>
                <w:sz w:val="21"/>
                <w:szCs w:val="20"/>
                <w:lang w:eastAsia="zh-CN"/>
              </w:rPr>
              <w:t>IQ、OQ、PQ</w:t>
            </w:r>
            <w:r>
              <w:rPr>
                <w:rFonts w:hint="eastAsia"/>
                <w:sz w:val="21"/>
                <w:szCs w:val="20"/>
                <w:lang w:eastAsia="zh-CN"/>
              </w:rPr>
              <w:t>验证。</w:t>
            </w:r>
          </w:p>
          <w:p>
            <w:pPr>
              <w:pStyle w:val="7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各验证工作开始前验证方案需经过本公司相关部门审核，并经质量保证部批准。</w:t>
            </w:r>
          </w:p>
          <w:p>
            <w:pPr>
              <w:pStyle w:val="7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验证工作应按时保质完成，供应商需提供验证工作计划表。</w:t>
            </w:r>
          </w:p>
          <w:p>
            <w:pPr>
              <w:pStyle w:val="7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验证项目应包含法规要求的测试项目，以及本公司提出的测试项目。</w:t>
            </w:r>
          </w:p>
          <w:p>
            <w:pPr>
              <w:pStyle w:val="7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验证工作完成后，验证记录经本公司相关部门审核，并经质量保证部批准。</w:t>
            </w:r>
          </w:p>
          <w:p>
            <w:pPr>
              <w:pStyle w:val="7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验收前，验证工作已成功完成，验证最终报告已经本公司相关部门审核，并经质量保证部批准。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设备质保期为一年，一年内免费保修，一年后应提供良好的售后服务。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货物到达买方使用现场后，由买卖双方共同验收，卖方工程师免费为买房提供调试。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供应商进厂施工需遵守安全和施工规定。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确认验收合格后，买卖双方签订验收报告。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2"/>
    </w:tbl>
    <w:p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107746"/>
      <w:bookmarkStart w:id="47" w:name="_Toc52271612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41"/>
        <w:spacing w:before="0" w:line="360" w:lineRule="auto"/>
        <w:ind w:left="357"/>
        <w:jc w:val="left"/>
        <w:rPr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permStart w:id="43" w:edGrp="everyone"/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不适用</w:t>
      </w:r>
      <w:permEnd w:id="43"/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15B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57B69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22B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5A0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2785"/>
    <w:rsid w:val="003531FA"/>
    <w:rsid w:val="0035416F"/>
    <w:rsid w:val="003549FE"/>
    <w:rsid w:val="00355AAC"/>
    <w:rsid w:val="00355D7D"/>
    <w:rsid w:val="003647CA"/>
    <w:rsid w:val="00370259"/>
    <w:rsid w:val="00370514"/>
    <w:rsid w:val="0037056A"/>
    <w:rsid w:val="003726DF"/>
    <w:rsid w:val="0037345A"/>
    <w:rsid w:val="00373FFA"/>
    <w:rsid w:val="0037455F"/>
    <w:rsid w:val="00375BC0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50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E56"/>
    <w:rsid w:val="00494F07"/>
    <w:rsid w:val="00496116"/>
    <w:rsid w:val="004965A0"/>
    <w:rsid w:val="00497335"/>
    <w:rsid w:val="004A05A7"/>
    <w:rsid w:val="004A23AF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0B8A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07CA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4D77"/>
    <w:rsid w:val="00806EAB"/>
    <w:rsid w:val="00810E52"/>
    <w:rsid w:val="00811CA7"/>
    <w:rsid w:val="00815B41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3B8F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065D3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6C9C"/>
    <w:rsid w:val="00977437"/>
    <w:rsid w:val="00977C89"/>
    <w:rsid w:val="00980AB3"/>
    <w:rsid w:val="00982044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24F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31A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35681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84B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68FD"/>
    <w:rsid w:val="00C274A6"/>
    <w:rsid w:val="00C278A1"/>
    <w:rsid w:val="00C31C03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67DFC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C4CB4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9CB"/>
    <w:rsid w:val="00E96D30"/>
    <w:rsid w:val="00EA1327"/>
    <w:rsid w:val="00EA1E2C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B7761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5895"/>
    <w:rsid w:val="00F8760D"/>
    <w:rsid w:val="00F87AAD"/>
    <w:rsid w:val="00F900E0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153D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uiPriority w:val="0"/>
    <w:rPr>
      <w:sz w:val="18"/>
      <w:szCs w:val="18"/>
    </w:rPr>
  </w:style>
  <w:style w:type="paragraph" w:styleId="13">
    <w:name w:val="footer"/>
    <w:basedOn w:val="1"/>
    <w:link w:val="34"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6"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uiPriority w:val="0"/>
    <w:rPr>
      <w:sz w:val="21"/>
      <w:szCs w:val="21"/>
    </w:rPr>
  </w:style>
  <w:style w:type="paragraph" w:customStyle="1" w:styleId="25">
    <w:name w:val="Table"/>
    <w:basedOn w:val="1"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字符"/>
    <w:link w:val="6"/>
    <w:semiHidden/>
    <w:uiPriority w:val="0"/>
    <w:rPr>
      <w:sz w:val="24"/>
      <w:lang w:val="en-GB" w:eastAsia="en-US"/>
    </w:rPr>
  </w:style>
  <w:style w:type="paragraph" w:customStyle="1" w:styleId="33">
    <w:name w:val="TOC Heading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qFormat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2">
    <w:name w:val="ordinary-span-edit2"/>
    <w:qFormat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字符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locked/>
    <w:uiPriority w:val="0"/>
    <w:rPr>
      <w:rFonts w:cs="Times New Roman"/>
      <w:sz w:val="18"/>
      <w:szCs w:val="18"/>
    </w:rPr>
  </w:style>
  <w:style w:type="paragraph" w:customStyle="1" w:styleId="47">
    <w:name w:val="列出段落1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534</Words>
  <Characters>3046</Characters>
  <Lines>25</Lines>
  <Paragraphs>7</Paragraphs>
  <TotalTime>16</TotalTime>
  <ScaleCrop>false</ScaleCrop>
  <LinksUpToDate>false</LinksUpToDate>
  <CharactersWithSpaces>3573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2022-02-10T07:05:00Z</dcterms:created>
  <dc:creator>Lilly</dc:creator>
  <cp:lastModifiedBy>汪洋</cp:lastModifiedBy>
  <cp:lastPrinted>2017-06-22T01:53:00Z</cp:lastPrinted>
  <dcterms:modified xsi:type="dcterms:W3CDTF">2022-06-29T06:15:31Z</dcterms:modified>
  <dc:title>生效期：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