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666358"/>
      <w:bookmarkStart w:id="3" w:name="_Toc482717189"/>
      <w:bookmarkStart w:id="4" w:name="_Toc483227223"/>
    </w:p>
    <w:p>
      <w:pPr>
        <w:spacing w:after="158" w:afterLines="50"/>
        <w:jc w:val="center"/>
        <w:rPr>
          <w:b/>
          <w:szCs w:val="21"/>
          <w:lang w:eastAsia="zh-CN"/>
        </w:rPr>
      </w:pPr>
      <w:r>
        <w:rPr>
          <w:rFonts w:hint="eastAsia"/>
          <w:b/>
          <w:sz w:val="28"/>
          <w:szCs w:val="28"/>
          <w:lang w:eastAsia="zh-CN"/>
        </w:rPr>
        <w:t>质量控制室</w:t>
      </w:r>
      <w:r>
        <w:rPr>
          <w:rFonts w:hint="eastAsia"/>
          <w:b/>
          <w:sz w:val="28"/>
          <w:szCs w:val="28"/>
          <w:lang w:val="en-US" w:eastAsia="zh-CN"/>
        </w:rPr>
        <w:t>智能电子拉力试验机</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
    <w:bookmarkEnd w:id="5"/>
    <w:p>
      <w:pPr>
        <w:pStyle w:val="45"/>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rPr>
          <w:rFonts w:hint="eastAsia"/>
        </w:rPr>
        <w:t>7</w:t>
      </w:r>
      <w:r>
        <w:rPr>
          <w:rFonts w:hint="eastAsia"/>
        </w:rPr>
        <w:fldChar w:fldCharType="end"/>
      </w:r>
    </w:p>
    <w:p>
      <w:pPr>
        <w:pStyle w:val="16"/>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rPr>
          <w:rFonts w:hint="eastAsia"/>
        </w:rPr>
        <w:t>8</w:t>
      </w:r>
      <w:r>
        <w:rPr>
          <w:rFonts w:hint="eastAsia"/>
        </w:rPr>
        <w:fldChar w:fldCharType="end"/>
      </w:r>
    </w:p>
    <w:p>
      <w:pPr>
        <w:pStyle w:val="16"/>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rPr>
        <w:t>11</w:t>
      </w:r>
      <w:r>
        <w:rPr>
          <w:rFonts w:hint="eastAsia"/>
        </w:rPr>
        <w:fldChar w:fldCharType="end"/>
      </w:r>
    </w:p>
    <w:p>
      <w:pPr>
        <w:pStyle w:val="16"/>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11</w:t>
      </w:r>
      <w:r>
        <w:rPr>
          <w:rFonts w:hint="eastAsia"/>
        </w:rPr>
        <w:fldChar w:fldCharType="end"/>
      </w:r>
    </w:p>
    <w:p>
      <w:pPr>
        <w:pStyle w:val="16"/>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rPr>
        <w:t>13</w:t>
      </w:r>
      <w:r>
        <w:rPr>
          <w:rFonts w:hint="eastAsia"/>
        </w:rPr>
        <w:fldChar w:fldCharType="end"/>
      </w:r>
    </w:p>
    <w:p>
      <w:pPr>
        <w:pStyle w:val="16"/>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
    <w:p>
      <w:pPr>
        <w:rPr>
          <w:lang w:val="en-US" w:eastAsia="zh-CN"/>
        </w:rPr>
      </w:pPr>
      <w:r>
        <w:rPr>
          <w:lang w:val="en-US" w:eastAsia="zh-CN"/>
        </w:rPr>
        <w:br w:type="page"/>
      </w:r>
      <w:bookmarkStart w:id="6" w:name="_Toc522107734"/>
    </w:p>
    <w:bookmarkEnd w:id="6"/>
    <w:p>
      <w:pPr>
        <w:pStyle w:val="40"/>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31"/>
        <w:spacing w:before="0" w:line="360" w:lineRule="auto"/>
        <w:ind w:left="357"/>
        <w:jc w:val="left"/>
        <w:rPr>
          <w:sz w:val="22"/>
          <w:lang w:eastAsia="zh-CN"/>
        </w:rPr>
      </w:pPr>
      <w:bookmarkStart w:id="9" w:name="_Toc482370061"/>
      <w:bookmarkStart w:id="10" w:name="_Toc482369805"/>
      <w:bookmarkStart w:id="11" w:name="_Toc482370349"/>
      <w:bookmarkStart w:id="12" w:name="_Toc482359936"/>
      <w:bookmarkStart w:id="13" w:name="_Toc481702475"/>
      <w:bookmarkStart w:id="14" w:name="_Toc482370141"/>
      <w:bookmarkStart w:id="15" w:name="_Toc482625279"/>
      <w:bookmarkStart w:id="16" w:name="_Toc482370757"/>
      <w:bookmarkStart w:id="17" w:name="_Toc482360281"/>
      <w:r>
        <w:rPr>
          <w:sz w:val="22"/>
          <w:lang w:eastAsia="zh-CN"/>
        </w:rPr>
        <w:t>本文件的目的是描述武汉生物制品研究所有限责任公司</w:t>
      </w:r>
      <w:r>
        <w:rPr>
          <w:rFonts w:hint="eastAsia"/>
          <w:sz w:val="22"/>
          <w:lang w:eastAsia="zh-CN"/>
        </w:rPr>
        <w:t>质量控制室</w:t>
      </w:r>
      <w:r>
        <w:rPr>
          <w:rFonts w:hint="eastAsia"/>
          <w:sz w:val="22"/>
          <w:lang w:val="en-US" w:eastAsia="zh-CN"/>
        </w:rPr>
        <w:t>智能电子拉力试验机</w:t>
      </w:r>
      <w:r>
        <w:rPr>
          <w:sz w:val="22"/>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1"/>
        <w:spacing w:before="0" w:line="360" w:lineRule="auto"/>
        <w:ind w:left="357"/>
        <w:jc w:val="left"/>
        <w:rPr>
          <w:sz w:val="22"/>
          <w:lang w:eastAsia="zh-CN"/>
        </w:rPr>
      </w:pPr>
      <w:r>
        <w:rPr>
          <w:sz w:val="22"/>
          <w:lang w:eastAsia="zh-CN"/>
        </w:rPr>
        <w:t>本URS适用于武汉生物制品研究所有限责任公司</w:t>
      </w:r>
      <w:r>
        <w:rPr>
          <w:rFonts w:hint="eastAsia"/>
          <w:sz w:val="22"/>
          <w:lang w:eastAsia="zh-CN"/>
        </w:rPr>
        <w:t>质量控制室</w:t>
      </w:r>
      <w:r>
        <w:rPr>
          <w:rFonts w:hint="eastAsia"/>
          <w:sz w:val="22"/>
          <w:lang w:val="en-US" w:eastAsia="zh-CN"/>
        </w:rPr>
        <w:t>智能电子拉力试验机</w:t>
      </w:r>
      <w:r>
        <w:rPr>
          <w:sz w:val="22"/>
          <w:lang w:eastAsia="zh-CN"/>
        </w:rPr>
        <w:t>。</w:t>
      </w:r>
      <w:bookmarkEnd w:id="9"/>
      <w:bookmarkEnd w:id="10"/>
      <w:bookmarkEnd w:id="11"/>
      <w:bookmarkEnd w:id="12"/>
      <w:bookmarkEnd w:id="13"/>
      <w:bookmarkEnd w:id="14"/>
      <w:bookmarkEnd w:id="15"/>
      <w:bookmarkEnd w:id="16"/>
      <w:bookmarkEnd w:id="17"/>
    </w:p>
    <w:p>
      <w:pPr>
        <w:pStyle w:val="31"/>
        <w:spacing w:before="0" w:line="360" w:lineRule="auto"/>
        <w:ind w:left="357"/>
        <w:jc w:val="left"/>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31"/>
        <w:numPr>
          <w:ilvl w:val="0"/>
          <w:numId w:val="4"/>
        </w:numPr>
        <w:spacing w:before="0" w:line="360" w:lineRule="auto"/>
        <w:jc w:val="left"/>
        <w:rPr>
          <w:rFonts w:ascii="宋体" w:hAnsi="宋体" w:cs="宋体"/>
          <w:sz w:val="21"/>
          <w:szCs w:val="18"/>
          <w:lang w:eastAsia="zh-CN"/>
        </w:rPr>
      </w:pPr>
      <w:r>
        <w:rPr>
          <w:rFonts w:hint="eastAsia" w:ascii="宋体" w:hAnsi="宋体" w:cs="宋体"/>
          <w:sz w:val="21"/>
          <w:szCs w:val="18"/>
          <w:lang w:eastAsia="zh-CN"/>
        </w:rPr>
        <w:t>GMP法规指南和SOP</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SOP-06-12-0005 用户需求编写审批SOP</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《中国药典 》20</w:t>
      </w:r>
      <w:r>
        <w:rPr>
          <w:rFonts w:hint="eastAsia" w:ascii="宋体" w:hAnsi="宋体" w:cs="宋体"/>
          <w:sz w:val="21"/>
          <w:szCs w:val="18"/>
          <w:lang w:val="en-US" w:eastAsia="zh-CN"/>
        </w:rPr>
        <w:t>20</w:t>
      </w:r>
      <w:r>
        <w:rPr>
          <w:rFonts w:hint="eastAsia" w:ascii="宋体" w:hAnsi="宋体" w:cs="宋体"/>
          <w:sz w:val="21"/>
          <w:szCs w:val="18"/>
          <w:lang w:eastAsia="zh-CN"/>
        </w:rPr>
        <w:t>年版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《药品生产质量管理规范》（2010修订版）及附录</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GMP附件1《计算机化系统》（2015版）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GMP附件2《确认与验证》（2015版）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GAMP5</w:t>
      </w:r>
    </w:p>
    <w:p>
      <w:pPr>
        <w:pStyle w:val="31"/>
        <w:numPr>
          <w:ilvl w:val="0"/>
          <w:numId w:val="4"/>
        </w:numPr>
        <w:spacing w:before="0" w:line="360" w:lineRule="auto"/>
        <w:jc w:val="left"/>
        <w:rPr>
          <w:rFonts w:ascii="宋体" w:hAnsi="宋体" w:cs="宋体"/>
          <w:sz w:val="21"/>
          <w:szCs w:val="18"/>
          <w:lang w:eastAsia="zh-CN"/>
        </w:rPr>
      </w:pPr>
      <w:r>
        <w:rPr>
          <w:rFonts w:hint="eastAsia" w:ascii="宋体" w:hAnsi="宋体" w:cs="宋体"/>
          <w:sz w:val="21"/>
          <w:szCs w:val="18"/>
          <w:lang w:eastAsia="zh-CN"/>
        </w:rPr>
        <w:t>安全及环保法规指南</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电气安全应符合GB4793.1和GB4793.4的要求。</w:t>
      </w:r>
    </w:p>
    <w:p>
      <w:pPr>
        <w:pStyle w:val="31"/>
        <w:spacing w:before="0" w:line="360" w:lineRule="auto"/>
        <w:jc w:val="left"/>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31"/>
        <w:spacing w:before="0" w:line="360" w:lineRule="auto"/>
        <w:ind w:left="357"/>
        <w:jc w:val="left"/>
        <w:rPr>
          <w:i/>
          <w:color w:val="4472C4"/>
          <w:szCs w:val="21"/>
          <w:lang w:eastAsia="zh-CN"/>
        </w:rPr>
      </w:pPr>
      <w:r>
        <w:rPr>
          <w:rFonts w:hint="eastAsia"/>
          <w:color w:val="000000"/>
          <w:sz w:val="22"/>
          <w:lang w:eastAsia="zh-CN"/>
        </w:rPr>
        <w:t>质量控制室需购买</w:t>
      </w:r>
      <w:r>
        <w:rPr>
          <w:rFonts w:hint="eastAsia"/>
          <w:color w:val="000000"/>
          <w:sz w:val="22"/>
          <w:lang w:val="en-US" w:eastAsia="zh-CN"/>
        </w:rPr>
        <w:t>1</w:t>
      </w:r>
      <w:r>
        <w:rPr>
          <w:rFonts w:hint="eastAsia"/>
          <w:color w:val="000000"/>
          <w:sz w:val="22"/>
          <w:lang w:eastAsia="zh-CN"/>
        </w:rPr>
        <w:t>台</w:t>
      </w:r>
      <w:r>
        <w:rPr>
          <w:rFonts w:hint="eastAsia"/>
          <w:sz w:val="22"/>
          <w:lang w:val="en-US" w:eastAsia="zh-CN"/>
        </w:rPr>
        <w:t>智能电子拉力试验机</w:t>
      </w:r>
      <w:r>
        <w:rPr>
          <w:rFonts w:hint="eastAsia"/>
          <w:color w:val="000000"/>
          <w:sz w:val="22"/>
          <w:lang w:eastAsia="zh-CN"/>
        </w:rPr>
        <w:t>主要用于</w:t>
      </w:r>
      <w:r>
        <w:rPr>
          <w:rFonts w:hint="eastAsia"/>
          <w:color w:val="000000"/>
          <w:sz w:val="22"/>
          <w:lang w:val="en-US" w:eastAsia="zh-CN"/>
        </w:rPr>
        <w:t>铝塑组合盖开启力、胶塞穿刺力、安瓿瓶折断力等提供性能测试</w:t>
      </w:r>
      <w:r>
        <w:rPr>
          <w:rFonts w:hint="eastAsia"/>
          <w:color w:val="000000"/>
          <w:sz w:val="22"/>
          <w:lang w:eastAsia="zh-CN"/>
        </w:rPr>
        <w:t>。</w:t>
      </w:r>
    </w:p>
    <w:p>
      <w:pPr>
        <w:pStyle w:val="40"/>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bookmarkStart w:id="49" w:name="_GoBack"/>
      <w:bookmarkEnd w:id="49"/>
    </w:p>
    <w:p>
      <w:pPr>
        <w:pStyle w:val="40"/>
        <w:spacing w:after="158" w:afterLines="50"/>
        <w:ind w:left="425" w:firstLine="0" w:firstLineChars="0"/>
        <w:rPr>
          <w:rFonts w:ascii="Times New Roman" w:hAnsi="Times New Roman"/>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val="en-US" w:eastAsia="zh-CN"/>
              </w:rPr>
            </w:pPr>
            <w:r>
              <w:rPr>
                <w:rFonts w:hint="eastAsia"/>
                <w:color w:val="000000"/>
                <w:szCs w:val="21"/>
                <w:lang w:val="en-US" w:eastAsia="zh-CN"/>
              </w:rPr>
              <w:t>质量控制室原辅料生化检测区</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val="en-US" w:eastAsia="zh-CN"/>
              </w:rPr>
            </w:pPr>
            <w:r>
              <w:rPr>
                <w:rFonts w:hint="eastAsia"/>
                <w:color w:val="000000"/>
                <w:szCs w:val="21"/>
                <w:lang w:val="en-US" w:eastAsia="zh-CN"/>
              </w:rPr>
              <w:t>不大于500（长）*500（宽）*1600（高）mm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）不超出房间地面承重要求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szCs w:val="21"/>
              </w:rPr>
            </w:pPr>
          </w:p>
        </w:tc>
        <w:tc>
          <w:tcPr>
            <w:tcW w:w="9253" w:type="dxa"/>
            <w:gridSpan w:val="2"/>
            <w:vAlign w:val="center"/>
          </w:tcPr>
          <w:p>
            <w:pPr>
              <w:jc w:val="both"/>
              <w:rPr>
                <w:szCs w:val="21"/>
                <w:lang w:eastAsia="zh-CN"/>
              </w:rPr>
            </w:pPr>
            <w:r>
              <w:rPr>
                <w:color w:val="000000"/>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szCs w:val="21"/>
                <w:lang w:val="en-US" w:eastAsia="zh-CN"/>
              </w:rPr>
            </w:pPr>
            <w:r>
              <w:rPr>
                <w:szCs w:val="21"/>
                <w:lang w:val="en-US" w:eastAsia="zh-CN"/>
              </w:rPr>
              <w:t>适用于我公司</w:t>
            </w:r>
            <w:r>
              <w:rPr>
                <w:color w:val="000000"/>
                <w:szCs w:val="21"/>
                <w:lang w:val="en-US" w:eastAsia="zh-CN"/>
              </w:rPr>
              <w:t>工作环境温度：能适应</w:t>
            </w:r>
            <w:r>
              <w:rPr>
                <w:rFonts w:hint="eastAsia"/>
                <w:color w:val="000000"/>
                <w:szCs w:val="21"/>
                <w:lang w:val="en-US" w:eastAsia="zh-CN"/>
              </w:rPr>
              <w:t>10℃</w:t>
            </w:r>
            <w:r>
              <w:rPr>
                <w:color w:val="000000"/>
                <w:szCs w:val="21"/>
                <w:lang w:val="en-US" w:eastAsia="zh-CN"/>
              </w:rPr>
              <w:t>～3</w:t>
            </w:r>
            <w:r>
              <w:rPr>
                <w:rFonts w:hint="eastAsia"/>
                <w:color w:val="000000"/>
                <w:szCs w:val="21"/>
                <w:lang w:val="en-US" w:eastAsia="zh-CN"/>
              </w:rPr>
              <w:t>0℃</w:t>
            </w:r>
            <w:r>
              <w:rPr>
                <w:color w:val="000000"/>
                <w:szCs w:val="21"/>
                <w:lang w:val="en-US" w:eastAsia="zh-CN"/>
              </w:rPr>
              <w:t xml:space="preserve">环境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szCs w:val="21"/>
                <w:lang w:val="en-US" w:eastAsia="zh-CN"/>
              </w:rPr>
            </w:pPr>
            <w:r>
              <w:rPr>
                <w:szCs w:val="21"/>
                <w:lang w:val="en-US" w:eastAsia="zh-CN"/>
              </w:rPr>
              <w:t>适用于我公司工</w:t>
            </w:r>
            <w:r>
              <w:rPr>
                <w:color w:val="000000"/>
                <w:szCs w:val="21"/>
                <w:lang w:val="en-US" w:eastAsia="zh-CN"/>
              </w:rPr>
              <w:t>作环境湿度：</w:t>
            </w:r>
            <w:r>
              <w:rPr>
                <w:rFonts w:hint="eastAsia"/>
                <w:color w:val="000000"/>
                <w:szCs w:val="21"/>
                <w:lang w:val="en-US" w:eastAsia="zh-CN"/>
              </w:rPr>
              <w:t>小于70</w:t>
            </w:r>
            <w:r>
              <w:rPr>
                <w:color w:val="000000"/>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szCs w:val="21"/>
                <w:lang w:val="en-US" w:eastAsia="zh-CN"/>
              </w:rPr>
              <w:t>适用于我公司</w:t>
            </w:r>
            <w:r>
              <w:rPr>
                <w:color w:val="000000"/>
                <w:szCs w:val="21"/>
                <w:lang w:val="en-US" w:eastAsia="zh-CN"/>
              </w:rPr>
              <w:t xml:space="preserve">工作环境洁净级别： </w:t>
            </w:r>
            <w:r>
              <w:rPr>
                <w:rFonts w:hint="eastAsia"/>
                <w:color w:val="000000"/>
                <w:szCs w:val="21"/>
                <w:lang w:val="en-US" w:eastAsia="zh-CN"/>
              </w:rPr>
              <w:t>普通区域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交流电电源：</w:t>
            </w:r>
            <w:r>
              <w:rPr>
                <w:rFonts w:hint="eastAsia" w:ascii="宋体" w:hAnsi="宋体" w:cs="宋体"/>
                <w:szCs w:val="21"/>
                <w:lang w:eastAsia="zh-CN"/>
              </w:rPr>
              <w:t>电源220V/50Hz</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设备外观应端正、整齐，不得有明显的偏歪、毛刺和锈蚀等缺陷。表面应易于清洁消毒，耐腐蚀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制造/供应单位；</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产品注册号；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型号；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生产日期或编号；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对设备必要的说明；</w:t>
            </w:r>
          </w:p>
          <w:p>
            <w:pPr>
              <w:numPr>
                <w:ilvl w:val="1"/>
                <w:numId w:val="7"/>
              </w:numPr>
              <w:tabs>
                <w:tab w:val="left" w:pos="370"/>
                <w:tab w:val="clear" w:pos="1440"/>
              </w:tabs>
              <w:spacing w:line="276" w:lineRule="auto"/>
              <w:ind w:left="370" w:hanging="370"/>
              <w:jc w:val="both"/>
              <w:rPr>
                <w:szCs w:val="21"/>
                <w:lang w:val="en-US" w:eastAsia="zh-CN"/>
              </w:rPr>
            </w:pPr>
            <w:r>
              <w:rPr>
                <w:rFonts w:hint="eastAsia"/>
                <w:szCs w:val="21"/>
                <w:lang w:val="en-US" w:eastAsia="zh-CN"/>
              </w:rPr>
              <w:t>必要的功能标识及说明（</w:t>
            </w:r>
            <w:r>
              <w:rPr>
                <w:rFonts w:hint="eastAsia"/>
                <w:lang w:eastAsia="zh-CN"/>
              </w:rPr>
              <w:t>包括制冷剂型号及注入量等</w:t>
            </w:r>
            <w:r>
              <w:rPr>
                <w:rFonts w:hint="eastAsia"/>
                <w:szCs w:val="21"/>
                <w:lang w:val="en-US" w:eastAsia="zh-CN"/>
              </w:rPr>
              <w:t>）</w:t>
            </w:r>
          </w:p>
          <w:p>
            <w:pPr>
              <w:pStyle w:val="7"/>
              <w:numPr>
                <w:ilvl w:val="1"/>
                <w:numId w:val="7"/>
              </w:numPr>
              <w:tabs>
                <w:tab w:val="left" w:pos="370"/>
                <w:tab w:val="clear" w:pos="1440"/>
              </w:tabs>
              <w:spacing w:line="276" w:lineRule="auto"/>
              <w:ind w:left="370" w:hanging="370"/>
              <w:rPr>
                <w:sz w:val="21"/>
                <w:szCs w:val="21"/>
                <w:lang w:eastAsia="zh-CN"/>
              </w:rPr>
            </w:pP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5"/>
      <w:bookmarkEnd w:id="26"/>
    </w:tbl>
    <w:p>
      <w:pPr>
        <w:pStyle w:val="40"/>
        <w:spacing w:after="158" w:afterLines="50"/>
        <w:ind w:left="425" w:firstLine="0" w:firstLineChars="0"/>
        <w:rPr>
          <w:rFonts w:ascii="Times New Roman" w:hAnsi="Times New Roman"/>
          <w:szCs w:val="21"/>
        </w:rPr>
      </w:pPr>
    </w:p>
    <w:p>
      <w:pPr>
        <w:pStyle w:val="40"/>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p>
      <w:pPr>
        <w:pStyle w:val="31"/>
        <w:spacing w:before="0" w:line="360" w:lineRule="auto"/>
        <w:ind w:left="357"/>
        <w:jc w:val="left"/>
        <w:rPr>
          <w:bCs/>
          <w:i/>
          <w:color w:val="4472C4"/>
          <w:kern w:val="4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color w:val="EEECE1"/>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pStyle w:val="7"/>
              <w:spacing w:line="360" w:lineRule="auto"/>
              <w:rPr>
                <w:rFonts w:ascii="宋体"/>
                <w:b/>
                <w:color w:val="000000"/>
                <w:sz w:val="21"/>
                <w:szCs w:val="21"/>
                <w:lang w:eastAsia="zh-CN"/>
              </w:rPr>
            </w:pPr>
            <w:r>
              <w:rPr>
                <w:sz w:val="21"/>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themeColor="text1"/>
                <w:szCs w:val="21"/>
                <w14:textFill>
                  <w14:solidFill>
                    <w14:schemeClr w14:val="tx1"/>
                  </w14:solidFill>
                </w14:textFill>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精度</w:t>
            </w:r>
            <w:r>
              <w:rPr>
                <w:rFonts w:ascii="宋体" w:hAnsi="宋体"/>
                <w:lang w:eastAsia="zh-CN"/>
              </w:rPr>
              <w:t>0</w:t>
            </w:r>
            <w:r>
              <w:rPr>
                <w:rFonts w:hint="eastAsia" w:ascii="宋体" w:hAnsi="宋体"/>
                <w:lang w:eastAsia="zh-CN"/>
              </w:rPr>
              <w:t>.</w:t>
            </w:r>
            <w:r>
              <w:rPr>
                <w:rFonts w:ascii="宋体" w:hAnsi="宋体"/>
                <w:lang w:eastAsia="zh-CN"/>
              </w:rPr>
              <w:t>5</w:t>
            </w:r>
            <w:r>
              <w:rPr>
                <w:rFonts w:hint="eastAsia" w:ascii="宋体" w:hAnsi="宋体"/>
                <w:lang w:eastAsia="zh-CN"/>
              </w:rPr>
              <w:t>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试验速度</w:t>
            </w:r>
            <w:r>
              <w:rPr>
                <w:rFonts w:ascii="宋体" w:hAnsi="宋体"/>
                <w:lang w:eastAsia="zh-CN"/>
              </w:rPr>
              <w:t>1-500mm/min</w:t>
            </w:r>
            <w:r>
              <w:rPr>
                <w:rFonts w:hint="eastAsia" w:ascii="宋体" w:hAnsi="宋体"/>
                <w:lang w:eastAsia="zh-CN"/>
              </w:rPr>
              <w:t>（无极变速）</w:t>
            </w:r>
          </w:p>
        </w:tc>
        <w:tc>
          <w:tcPr>
            <w:tcW w:w="2125" w:type="dxa"/>
            <w:vAlign w:val="center"/>
          </w:tcPr>
          <w:p>
            <w:pPr>
              <w:jc w:val="both"/>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位移精度±</w:t>
            </w:r>
            <w:r>
              <w:rPr>
                <w:rFonts w:ascii="宋体" w:hAnsi="宋体"/>
                <w:lang w:eastAsia="zh-CN"/>
              </w:rPr>
              <w:t>0.5%</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试验宽度</w:t>
            </w:r>
            <w:r>
              <w:rPr>
                <w:rFonts w:ascii="宋体" w:hAnsi="宋体"/>
                <w:lang w:eastAsia="zh-CN"/>
              </w:rPr>
              <w:t>30mm</w:t>
            </w:r>
            <w:r>
              <w:rPr>
                <w:rFonts w:hint="eastAsia" w:ascii="宋体" w:hAnsi="宋体"/>
                <w:lang w:eastAsia="zh-CN"/>
              </w:rPr>
              <w:t>（其他夹具可定制）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行程</w:t>
            </w:r>
            <w:r>
              <w:rPr>
                <w:rFonts w:ascii="宋体" w:hAnsi="宋体"/>
                <w:lang w:eastAsia="zh-CN"/>
              </w:rPr>
              <w:t>1000mm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Calibri" w:hAnsi="Calibri"/>
                <w:lang w:eastAsia="zh-CN"/>
              </w:rPr>
              <w:t>测控程序必须是稳定可靠的，且有软件著作权证书,程序免费终生升级</w:t>
            </w:r>
            <w:r>
              <w:rPr>
                <w:rFonts w:hint="eastAsia" w:ascii="Calibri" w:hAnsi="Calibri"/>
                <w:lang w:val="en-US" w:eastAsia="zh-CN"/>
              </w:rPr>
              <w:t>(需生产厂家提供证书）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bookmarkStart w:id="29" w:name="_Toc522716122"/>
            <w:bookmarkStart w:id="30" w:name="_Toc522107742"/>
            <w:bookmarkStart w:id="31" w:name="_Toc482370767"/>
            <w:bookmarkStart w:id="32" w:name="_Toc481702480"/>
            <w:bookmarkStart w:id="33" w:name="_Toc482370151"/>
            <w:bookmarkStart w:id="34" w:name="_Toc482370359"/>
            <w:bookmarkStart w:id="35" w:name="_Toc482717202"/>
            <w:bookmarkStart w:id="36" w:name="_Toc482625289"/>
            <w:bookmarkStart w:id="37" w:name="_Toc482360291"/>
            <w:bookmarkStart w:id="38" w:name="_Toc482370071"/>
            <w:bookmarkStart w:id="39" w:name="_Toc482359946"/>
            <w:bookmarkStart w:id="40" w:name="_Toc482369815"/>
            <w:bookmarkStart w:id="41" w:name="_Toc483400317"/>
            <w:bookmarkStart w:id="42" w:name="_Toc483227237"/>
          </w:p>
        </w:tc>
        <w:tc>
          <w:tcPr>
            <w:tcW w:w="7128" w:type="dxa"/>
            <w:vAlign w:val="center"/>
          </w:tcPr>
          <w:p>
            <w:pPr>
              <w:tabs>
                <w:tab w:val="left" w:pos="898"/>
              </w:tabs>
              <w:spacing w:line="276" w:lineRule="auto"/>
              <w:jc w:val="both"/>
              <w:rPr>
                <w:rFonts w:ascii="Calibri" w:hAnsi="Calibri"/>
                <w:lang w:eastAsia="zh-CN"/>
              </w:rPr>
            </w:pPr>
            <w:r>
              <w:rPr>
                <w:rFonts w:hint="eastAsia" w:ascii="宋体" w:hAnsi="宋体" w:cs="宋体"/>
                <w:kern w:val="2"/>
                <w:szCs w:val="21"/>
                <w:lang w:val="en-US" w:eastAsia="zh-CN"/>
              </w:rPr>
              <w:t>无需借助计算机，主机即可单机独立操作，可存储、查询、打印测试结果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Calibri" w:hAnsi="Calibri"/>
                <w:color w:val="auto"/>
                <w:lang w:eastAsia="zh-CN"/>
              </w:rPr>
            </w:pPr>
            <w:r>
              <w:rPr>
                <w:rFonts w:hint="eastAsia"/>
                <w:bCs/>
                <w:color w:val="auto"/>
                <w:szCs w:val="21"/>
                <w:lang w:val="en-US" w:eastAsia="zh-CN"/>
              </w:rPr>
              <w:t>仪器配有测试软件，配合笔记本电脑可以备份数据和审计追踪功能，方便数据查询和管理。</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Calibri" w:hAnsi="Calibri"/>
                <w:color w:val="auto"/>
                <w:lang w:eastAsia="zh-CN"/>
              </w:rPr>
            </w:pPr>
            <w:r>
              <w:rPr>
                <w:rFonts w:hint="eastAsia" w:ascii="Calibri" w:hAnsi="Calibri"/>
                <w:color w:val="auto"/>
                <w:lang w:val="en-US" w:eastAsia="zh-CN"/>
              </w:rPr>
              <w:t>笔记本电脑配置要求：</w:t>
            </w:r>
            <w:r>
              <w:rPr>
                <w:rFonts w:ascii="Calibri" w:hAnsi="Calibri"/>
                <w:color w:val="auto"/>
                <w:lang w:val="en-US" w:eastAsia="zh-CN"/>
              </w:rPr>
              <w:t>处理器：intel i5</w:t>
            </w:r>
            <w:r>
              <w:rPr>
                <w:rFonts w:hint="eastAsia" w:ascii="Calibri" w:hAnsi="Calibri"/>
                <w:color w:val="auto"/>
                <w:lang w:val="en-US" w:eastAsia="zh-CN"/>
              </w:rPr>
              <w:t>、</w:t>
            </w:r>
            <w:r>
              <w:rPr>
                <w:rFonts w:ascii="Calibri" w:hAnsi="Calibri"/>
                <w:color w:val="auto"/>
                <w:lang w:val="en-US" w:eastAsia="zh-CN"/>
              </w:rPr>
              <w:t>固态硬盘（SSD）：512GB</w:t>
            </w:r>
            <w:r>
              <w:rPr>
                <w:rFonts w:hint="eastAsia" w:ascii="Calibri" w:hAnsi="Calibri"/>
                <w:color w:val="auto"/>
                <w:lang w:val="en-US" w:eastAsia="zh-CN"/>
              </w:rPr>
              <w:t>、</w:t>
            </w:r>
            <w:r>
              <w:rPr>
                <w:rFonts w:ascii="Calibri" w:hAnsi="Calibri"/>
                <w:color w:val="auto"/>
                <w:lang w:val="en-US" w:eastAsia="zh-CN"/>
              </w:rPr>
              <w:t>系统：Windows 1</w:t>
            </w:r>
            <w:r>
              <w:rPr>
                <w:rFonts w:hint="eastAsia" w:ascii="Calibri" w:hAnsi="Calibri"/>
                <w:color w:val="auto"/>
                <w:lang w:val="en-US" w:eastAsia="zh-CN"/>
              </w:rPr>
              <w:t>0专业版、</w:t>
            </w:r>
            <w:r>
              <w:rPr>
                <w:rFonts w:ascii="Calibri" w:hAnsi="Calibri"/>
                <w:color w:val="auto"/>
                <w:lang w:val="en-US" w:eastAsia="zh-CN"/>
              </w:rPr>
              <w:t>内存容量：16GB</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Calibri" w:hAnsi="Calibri"/>
                <w:color w:val="auto"/>
                <w:lang w:eastAsia="zh-CN"/>
              </w:rPr>
            </w:pPr>
            <w:r>
              <w:rPr>
                <w:rFonts w:hint="eastAsia" w:ascii="Calibri" w:hAnsi="Calibri"/>
                <w:color w:val="auto"/>
                <w:lang w:eastAsia="zh-CN"/>
              </w:rPr>
              <w:t>配置：主机、安瓿瓶折断力测试夹具、胶塞穿刺力测试夹具、铝塑组合盖开启力测试夹具、微型打印机、</w:t>
            </w:r>
            <w:r>
              <w:rPr>
                <w:rFonts w:hint="eastAsia" w:ascii="Calibri" w:hAnsi="Calibri"/>
                <w:color w:val="auto"/>
                <w:lang w:val="en-US" w:eastAsia="zh-CN"/>
              </w:rPr>
              <w:t>测试软件、笔记本电脑</w:t>
            </w:r>
          </w:p>
        </w:tc>
        <w:tc>
          <w:tcPr>
            <w:tcW w:w="2125" w:type="dxa"/>
            <w:vAlign w:val="center"/>
          </w:tcPr>
          <w:p>
            <w:pPr>
              <w:jc w:val="both"/>
              <w:rPr>
                <w:szCs w:val="21"/>
                <w:lang w:eastAsia="zh-CN"/>
              </w:rPr>
            </w:pPr>
            <w:r>
              <w:rPr>
                <w:rFonts w:hint="eastAsia"/>
                <w:szCs w:val="21"/>
                <w:lang w:eastAsia="zh-CN"/>
              </w:rPr>
              <w:t>关键</w:t>
            </w:r>
          </w:p>
        </w:tc>
      </w:tr>
    </w:tbl>
    <w:p>
      <w:pPr>
        <w:pStyle w:val="40"/>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9"/>
    </w:p>
    <w:p>
      <w:pPr>
        <w:pStyle w:val="31"/>
        <w:spacing w:before="0" w:line="360" w:lineRule="auto"/>
        <w:ind w:left="425"/>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系统断电对系统设置及数据完整性无影响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14:textFill>
                  <w14:solidFill>
                    <w14:schemeClr w14:val="tx1"/>
                  </w14:solidFill>
                </w14:textFill>
              </w:rPr>
            </w:pPr>
            <w:r>
              <w:rPr>
                <w:color w:val="000000" w:themeColor="text1"/>
                <w:szCs w:val="21"/>
                <w:lang w:eastAsia="zh-CN"/>
                <w14:textFill>
                  <w14:solidFill>
                    <w14:schemeClr w14:val="tx1"/>
                  </w14:solidFill>
                </w14:textFill>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kern w:val="2"/>
                <w:szCs w:val="21"/>
                <w:lang w:val="en-US" w:eastAsia="zh-CN"/>
              </w:rPr>
            </w:pPr>
            <w:r>
              <w:rPr>
                <w:rFonts w:hint="eastAsia" w:ascii="宋体" w:hAnsi="宋体" w:cs="宋体"/>
                <w:kern w:val="2"/>
                <w:szCs w:val="21"/>
                <w:lang w:val="en-US" w:eastAsia="zh-CN"/>
              </w:rPr>
              <w:t>满足GMP要求的数据本地存储、自动处理、统计测试数据功能，并以不可修改删除的格式导出至计算机，导出的文件可以备份，保证测试结果的永久保存。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kern w:val="2"/>
                <w:szCs w:val="21"/>
                <w:lang w:val="en-US" w:eastAsia="zh-CN"/>
              </w:rPr>
              <w:t>仪器自带微型打印机，可打印设备型号、设备序号、实验人员、式样名称、试验编号、测试结果、测试模式、检测时间等完整试验信息（要求有实物图片证明）。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pStyle w:val="6"/>
              <w:keepNext w:val="0"/>
              <w:keepLines w:val="0"/>
              <w:pageBreakBefore w:val="0"/>
              <w:widowControl/>
              <w:kinsoku/>
              <w:wordWrap/>
              <w:overflowPunct w:val="0"/>
              <w:topLinePunct w:val="0"/>
              <w:autoSpaceDE w:val="0"/>
              <w:autoSpaceDN w:val="0"/>
              <w:bidi w:val="0"/>
              <w:adjustRightInd w:val="0"/>
              <w:snapToGrid/>
              <w:spacing w:line="320" w:lineRule="exact"/>
              <w:textAlignment w:val="baseline"/>
              <w:rPr>
                <w:rFonts w:hint="eastAsia" w:ascii="宋体" w:hAnsi="宋体" w:cs="宋体"/>
                <w:kern w:val="2"/>
                <w:szCs w:val="21"/>
                <w:lang w:val="en-US" w:eastAsia="zh-CN"/>
              </w:rPr>
            </w:pPr>
            <w:r>
              <w:rPr>
                <w:rFonts w:hint="eastAsia" w:ascii="宋体" w:hAnsi="宋体" w:eastAsia="宋体" w:cs="宋体"/>
                <w:kern w:val="2"/>
                <w:sz w:val="21"/>
                <w:szCs w:val="21"/>
                <w:lang w:val="en-US" w:eastAsia="zh-CN" w:bidi="ar-SA"/>
              </w:rPr>
              <w:t>计算机存储容量应满足设备连续使用五年以上且不会造成设备卡顿，应有存储容量报警提示，防止存储满时数据自动覆盖。要求计算机操作系统版本为win10专业版以上，要求设备所有数据可被备份服务器抓取，此项应在OQ或CSV中进行验证。</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kern w:val="2"/>
                <w:szCs w:val="21"/>
                <w:lang w:val="en-US" w:eastAsia="zh-CN"/>
              </w:rPr>
              <w:t>分级权限功能: 通满足新版GMP要求，仪器需独具至少</w:t>
            </w:r>
            <w:r>
              <w:rPr>
                <w:rFonts w:hint="eastAsia" w:ascii="宋体" w:hAnsi="宋体" w:cs="宋体"/>
                <w:color w:val="000000" w:themeColor="text1"/>
                <w:kern w:val="2"/>
                <w:szCs w:val="21"/>
                <w:lang w:val="en-US" w:eastAsia="zh-CN"/>
                <w14:textFill>
                  <w14:solidFill>
                    <w14:schemeClr w14:val="tx1"/>
                  </w14:solidFill>
                </w14:textFill>
              </w:rPr>
              <w:t>四</w:t>
            </w:r>
            <w:r>
              <w:rPr>
                <w:rFonts w:hint="eastAsia" w:ascii="宋体" w:hAnsi="宋体" w:cs="宋体"/>
                <w:kern w:val="2"/>
                <w:szCs w:val="21"/>
                <w:lang w:val="en-US" w:eastAsia="zh-CN"/>
              </w:rPr>
              <w:t>级用户分级权限管理功能，每一级别具有用户名和密码，管理员可设置其权限（需实物图片证明）。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val="en-US" w:eastAsia="zh-CN"/>
              </w:rPr>
              <w:t>密码和账户要求：</w:t>
            </w:r>
            <w:r>
              <w:rPr>
                <w:rFonts w:hint="eastAsia"/>
                <w:b w:val="0"/>
                <w:bCs w:val="0"/>
                <w:color w:val="auto"/>
                <w:lang w:val="en-US" w:eastAsia="zh-CN"/>
              </w:rPr>
              <w:t>仪器具有首次登陆强制更改用户名和密码的功能</w:t>
            </w:r>
            <w:r>
              <w:rPr>
                <w:rFonts w:hint="eastAsia"/>
                <w:b w:val="0"/>
                <w:bCs w:val="0"/>
                <w:color w:val="auto"/>
                <w:lang w:eastAsia="zh-CN"/>
              </w:rPr>
              <w:t>（需实物图片证明）。</w:t>
            </w:r>
            <w:r>
              <w:rPr>
                <w:rFonts w:hint="eastAsia"/>
                <w:lang w:val="en-US" w:eastAsia="zh-CN"/>
              </w:rPr>
              <w:t>密码最少位数8位，需要每三个月提醒更换，需要设置为至少两种字符。应有密码输入错误最大次数限制。密码应可被被账号所有者及管理员修改。</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s="宋体"/>
                <w:szCs w:val="21"/>
                <w:lang w:val="en-US" w:eastAsia="zh-CN"/>
              </w:rPr>
            </w:pPr>
            <w:r>
              <w:rPr>
                <w:rFonts w:hint="eastAsia" w:ascii="宋体" w:hAnsi="宋体" w:eastAsia="宋体" w:cs="宋体"/>
                <w:szCs w:val="21"/>
                <w:lang w:eastAsia="zh-CN"/>
              </w:rPr>
              <w:t>审计追踪功能：</w:t>
            </w:r>
            <w:r>
              <w:rPr>
                <w:rFonts w:hint="eastAsia" w:ascii="宋体" w:hAnsi="宋体" w:eastAsia="宋体" w:cs="宋体"/>
                <w:szCs w:val="21"/>
                <w:lang w:val="en-US" w:eastAsia="zh-CN"/>
              </w:rPr>
              <w:t>满足GMP要求</w:t>
            </w:r>
            <w:r>
              <w:rPr>
                <w:rFonts w:hint="eastAsia" w:ascii="宋体" w:hAnsi="宋体" w:cs="宋体"/>
                <w:szCs w:val="21"/>
                <w:lang w:val="en-US" w:eastAsia="zh-CN"/>
              </w:rPr>
              <w:t>，审计的内容</w:t>
            </w:r>
            <w:r>
              <w:rPr>
                <w:rFonts w:hint="eastAsia" w:ascii="宋体" w:hAnsi="宋体" w:eastAsia="宋体" w:cs="宋体"/>
                <w:szCs w:val="21"/>
                <w:lang w:eastAsia="zh-CN"/>
              </w:rPr>
              <w:t>包括操作者、操作时间、操作过程、操作原因</w:t>
            </w:r>
            <w:r>
              <w:rPr>
                <w:rFonts w:hint="eastAsia" w:ascii="宋体" w:hAnsi="宋体" w:cs="宋体"/>
                <w:szCs w:val="21"/>
                <w:lang w:eastAsia="zh-CN"/>
              </w:rPr>
              <w:t>；</w:t>
            </w:r>
            <w:r>
              <w:rPr>
                <w:rFonts w:hint="eastAsia" w:ascii="宋体" w:hAnsi="宋体" w:eastAsia="宋体" w:cs="宋体"/>
                <w:szCs w:val="21"/>
                <w:lang w:eastAsia="zh-CN"/>
              </w:rPr>
              <w:t>数据的产生、修改、删除、再处理、重新命</w:t>
            </w:r>
            <w:r>
              <w:rPr>
                <w:rFonts w:hint="eastAsia" w:ascii="宋体" w:hAnsi="宋体" w:cs="宋体"/>
                <w:szCs w:val="21"/>
                <w:lang w:val="en-US" w:eastAsia="zh-CN"/>
              </w:rPr>
              <w:t>名、转移</w:t>
            </w:r>
          </w:p>
          <w:p>
            <w:pPr>
              <w:spacing w:line="276" w:lineRule="auto"/>
              <w:jc w:val="both"/>
              <w:rPr>
                <w:szCs w:val="21"/>
                <w:lang w:eastAsia="zh-CN"/>
              </w:rPr>
            </w:pPr>
            <w:r>
              <w:rPr>
                <w:rFonts w:hint="eastAsia" w:ascii="宋体" w:hAnsi="宋体" w:cs="宋体"/>
                <w:szCs w:val="21"/>
                <w:lang w:val="en-US" w:eastAsia="zh-CN"/>
              </w:rPr>
              <w:t>和对系统的设置、配置、参数及时间戳的变更或修改。审计追踪功能应不可关闭也不可被修改，并应在OQ中验证。</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屏幕显示的结果</w:t>
            </w:r>
            <w:r>
              <w:rPr>
                <w:rFonts w:hint="eastAsia"/>
                <w:szCs w:val="21"/>
                <w:lang w:eastAsia="zh-CN"/>
              </w:rPr>
              <w:t>、存储的电子记录及打印纸质记录内容</w:t>
            </w:r>
            <w:r>
              <w:rPr>
                <w:szCs w:val="21"/>
                <w:lang w:eastAsia="zh-CN"/>
              </w:rPr>
              <w:t>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记录保存格式应为不可修改的格式， 并可查询</w:t>
            </w:r>
          </w:p>
        </w:tc>
        <w:tc>
          <w:tcPr>
            <w:tcW w:w="2125" w:type="dxa"/>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pStyle w:val="6"/>
              <w:rPr>
                <w:szCs w:val="21"/>
                <w:lang w:eastAsia="zh-CN"/>
              </w:rPr>
            </w:pPr>
            <w:r>
              <w:rPr>
                <w:rFonts w:hint="eastAsia" w:ascii="Times New Roman" w:hAnsi="Times New Roman" w:eastAsia="宋体" w:cs="Times New Roman"/>
                <w:sz w:val="21"/>
                <w:szCs w:val="21"/>
                <w:lang w:val="en-GB" w:eastAsia="zh-CN" w:bidi="ar-SA"/>
              </w:rPr>
              <w:t>厂家提供备份数据读取策略及相关说明，提供备份数据读取正版软件，</w:t>
            </w:r>
            <w:r>
              <w:rPr>
                <w:rFonts w:hint="eastAsia" w:ascii="Times New Roman" w:hAnsi="Times New Roman" w:eastAsia="宋体" w:cs="Times New Roman"/>
                <w:sz w:val="21"/>
                <w:szCs w:val="21"/>
                <w:lang w:val="en-US" w:eastAsia="zh-CN" w:bidi="ar-SA"/>
              </w:rPr>
              <w:t>设备所有数据可被备份服务器抓取，此项应在OQ或CSV中进行验证。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系统带时间功能并可以进行校准</w:t>
            </w:r>
          </w:p>
        </w:tc>
        <w:tc>
          <w:tcPr>
            <w:tcW w:w="2125" w:type="dxa"/>
            <w:vAlign w:val="center"/>
          </w:tcPr>
          <w:p>
            <w:pPr>
              <w:jc w:val="both"/>
              <w:rPr>
                <w:szCs w:val="21"/>
                <w:lang w:val="en-US" w:eastAsia="zh-CN"/>
              </w:rPr>
            </w:pPr>
            <w:r>
              <w:rPr>
                <w:rFonts w:hint="eastAsia"/>
                <w:szCs w:val="21"/>
                <w:lang w:val="en-US" w:eastAsia="zh-CN"/>
              </w:rPr>
              <w:t>关键</w:t>
            </w:r>
          </w:p>
        </w:tc>
      </w:tr>
    </w:tbl>
    <w:p>
      <w:pPr>
        <w:spacing w:after="158" w:afterLines="50"/>
        <w:rPr>
          <w:b/>
          <w:lang w:eastAsia="zh-CN"/>
        </w:rPr>
      </w:pPr>
    </w:p>
    <w:p>
      <w:pPr>
        <w:pStyle w:val="40"/>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1"/>
        <w:spacing w:before="0" w:line="360" w:lineRule="auto"/>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9253" w:type="dxa"/>
            <w:gridSpan w:val="2"/>
            <w:vAlign w:val="center"/>
          </w:tcPr>
          <w:p>
            <w:pPr>
              <w:tabs>
                <w:tab w:val="left" w:pos="556"/>
              </w:tabs>
              <w:jc w:val="both"/>
              <w:rPr>
                <w:szCs w:val="21"/>
                <w:lang w:val="en-US" w:eastAsia="zh-CN"/>
              </w:rPr>
            </w:pPr>
            <w:r>
              <w:rPr>
                <w:rFonts w:hint="eastAsia"/>
                <w:szCs w:val="21"/>
                <w:lang w:val="en-US" w:eastAsia="zh-CN"/>
              </w:rPr>
              <w:t>N/A</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1"/>
        <w:spacing w:before="0" w:line="360" w:lineRule="auto"/>
        <w:jc w:val="left"/>
        <w:rPr>
          <w:i/>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color w:val="000000"/>
                <w:szCs w:val="21"/>
                <w:lang w:eastAsia="zh-CN"/>
              </w:rPr>
              <w:t>供应商所提供的文件需要与执行和设计约束的一致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设计选型文件：设备详细的设计说明、功能说明、配置说明与清单等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图纸：各种验证、维修等活动所需的电子版及打印版系统实物图、布局图、设备尺寸图、设备局部图（与功能相关的细节图）、</w:t>
            </w:r>
            <w:r>
              <w:rPr>
                <w:szCs w:val="21"/>
                <w:lang w:eastAsia="zh-CN"/>
              </w:rPr>
              <w:t>P&amp;ID</w:t>
            </w:r>
            <w:r>
              <w:rPr>
                <w:rFonts w:hint="eastAsia"/>
                <w:szCs w:val="21"/>
                <w:lang w:eastAsia="zh-CN"/>
              </w:rPr>
              <w:t>图、控制原理图、接线图、</w:t>
            </w:r>
            <w:r>
              <w:rPr>
                <w:szCs w:val="21"/>
                <w:lang w:eastAsia="zh-CN"/>
              </w:rPr>
              <w:t>PLC</w:t>
            </w:r>
            <w:r>
              <w:rPr>
                <w:rFonts w:hint="eastAsia"/>
                <w:szCs w:val="21"/>
                <w:lang w:eastAsia="zh-CN"/>
              </w:rPr>
              <w:t>图、拓扑图、架构图、计算机化系统相关图纸、图纸清单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零配件、部件、易损件、备件及仪器仪表清单：包括编号、对应厂家名称、生产地、规格及必要说明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第三方校验报告及计量证书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必要的材质清单及材质证书（写明材料有效期）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验证文件：</w:t>
            </w:r>
          </w:p>
          <w:p>
            <w:pPr>
              <w:numPr>
                <w:ilvl w:val="1"/>
                <w:numId w:val="7"/>
              </w:numPr>
              <w:tabs>
                <w:tab w:val="left" w:pos="370"/>
                <w:tab w:val="clear" w:pos="1440"/>
              </w:tabs>
              <w:ind w:left="370" w:hanging="370"/>
              <w:jc w:val="both"/>
              <w:rPr>
                <w:szCs w:val="21"/>
                <w:lang w:eastAsia="zh-CN"/>
              </w:rPr>
            </w:pPr>
            <w:r>
              <w:rPr>
                <w:rFonts w:hint="eastAsia"/>
                <w:szCs w:val="21"/>
                <w:lang w:eastAsia="zh-CN"/>
              </w:rPr>
              <w:t>验证计划</w:t>
            </w:r>
          </w:p>
          <w:p>
            <w:pPr>
              <w:numPr>
                <w:ilvl w:val="1"/>
                <w:numId w:val="7"/>
              </w:numPr>
              <w:tabs>
                <w:tab w:val="left" w:pos="370"/>
                <w:tab w:val="clear" w:pos="1440"/>
              </w:tabs>
              <w:ind w:left="370" w:hanging="370"/>
              <w:jc w:val="both"/>
              <w:rPr>
                <w:szCs w:val="21"/>
                <w:lang w:eastAsia="zh-CN"/>
              </w:rPr>
            </w:pP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numPr>
                <w:ilvl w:val="1"/>
                <w:numId w:val="7"/>
              </w:numPr>
              <w:tabs>
                <w:tab w:val="left" w:pos="370"/>
                <w:tab w:val="clear" w:pos="1440"/>
              </w:tabs>
              <w:ind w:left="370" w:hanging="370"/>
              <w:jc w:val="both"/>
              <w:rPr>
                <w:szCs w:val="21"/>
                <w:lang w:eastAsia="zh-CN"/>
              </w:rPr>
            </w:pPr>
            <w:r>
              <w:rPr>
                <w:rFonts w:hint="eastAsia"/>
                <w:szCs w:val="21"/>
                <w:lang w:eastAsia="zh-CN"/>
              </w:rPr>
              <w:t>设计确认及文件（</w:t>
            </w:r>
            <w:r>
              <w:rPr>
                <w:szCs w:val="21"/>
                <w:lang w:eastAsia="zh-CN"/>
              </w:rPr>
              <w:t>DQ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安装确认及文件（</w:t>
            </w:r>
            <w:r>
              <w:rPr>
                <w:szCs w:val="21"/>
                <w:lang w:eastAsia="zh-CN"/>
              </w:rPr>
              <w:t>IQ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运行确认及文件（</w:t>
            </w:r>
            <w:r>
              <w:rPr>
                <w:szCs w:val="21"/>
                <w:lang w:eastAsia="zh-CN"/>
              </w:rPr>
              <w:t>OQ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设备生产商负责制定设备验证计划、评估文件、</w:t>
            </w:r>
            <w:r>
              <w:rPr>
                <w:szCs w:val="21"/>
                <w:lang w:eastAsia="zh-CN"/>
              </w:rPr>
              <w:t>DQ/IQ/OQ</w:t>
            </w:r>
            <w:r>
              <w:rPr>
                <w:rFonts w:hint="eastAsia"/>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tabs>
                <w:tab w:val="left" w:pos="368"/>
                <w:tab w:val="left" w:pos="370"/>
              </w:tabs>
              <w:jc w:val="both"/>
              <w:rPr>
                <w:szCs w:val="21"/>
                <w:lang w:eastAsia="zh-CN"/>
              </w:rPr>
            </w:pPr>
            <w:r>
              <w:rPr>
                <w:rFonts w:hint="eastAsia"/>
                <w:szCs w:val="21"/>
                <w:lang w:eastAsia="zh-CN"/>
              </w:rPr>
              <w:t>验证补充文件：</w:t>
            </w:r>
          </w:p>
          <w:p>
            <w:pPr>
              <w:numPr>
                <w:ilvl w:val="1"/>
                <w:numId w:val="7"/>
              </w:numPr>
              <w:tabs>
                <w:tab w:val="left" w:pos="370"/>
                <w:tab w:val="clear" w:pos="1440"/>
              </w:tabs>
              <w:ind w:left="370" w:hanging="370"/>
              <w:jc w:val="both"/>
              <w:rPr>
                <w:szCs w:val="21"/>
                <w:lang w:eastAsia="zh-CN"/>
              </w:rPr>
            </w:pPr>
            <w:r>
              <w:rPr>
                <w:rFonts w:hint="eastAsia"/>
                <w:szCs w:val="21"/>
                <w:lang w:eastAsia="zh-CN"/>
              </w:rPr>
              <w:t>追溯矩阵（</w:t>
            </w:r>
            <w:r>
              <w:rPr>
                <w:szCs w:val="21"/>
                <w:lang w:eastAsia="zh-CN"/>
              </w:rPr>
              <w:t>RTM</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验证总结报告（</w:t>
            </w:r>
            <w:r>
              <w:rPr>
                <w:szCs w:val="21"/>
                <w:lang w:eastAsia="zh-CN"/>
              </w:rPr>
              <w:t>VSR</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设备生产商可提供追溯矩阵、验证总结报告更好。</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文件具体要求：</w:t>
            </w:r>
          </w:p>
          <w:p>
            <w:pPr>
              <w:numPr>
                <w:ilvl w:val="1"/>
                <w:numId w:val="7"/>
              </w:numPr>
              <w:tabs>
                <w:tab w:val="left" w:pos="370"/>
                <w:tab w:val="clear" w:pos="1440"/>
              </w:tabs>
              <w:ind w:left="370" w:hanging="370"/>
              <w:jc w:val="both"/>
              <w:rPr>
                <w:szCs w:val="21"/>
                <w:lang w:eastAsia="zh-CN"/>
              </w:rPr>
            </w:pPr>
            <w:r>
              <w:rPr>
                <w:rFonts w:hint="eastAsia"/>
                <w:szCs w:val="21"/>
                <w:lang w:eastAsia="zh-CN"/>
              </w:rPr>
              <w:t>系统相关方案中，应明确本系统的配置、规格，并且通过分析阐述每一个系统环节的必要性；</w:t>
            </w:r>
          </w:p>
          <w:p>
            <w:pPr>
              <w:numPr>
                <w:ilvl w:val="1"/>
                <w:numId w:val="7"/>
              </w:numPr>
              <w:tabs>
                <w:tab w:val="left" w:pos="370"/>
                <w:tab w:val="clear" w:pos="1440"/>
              </w:tabs>
              <w:ind w:left="370" w:hanging="370"/>
              <w:jc w:val="both"/>
              <w:rPr>
                <w:szCs w:val="21"/>
                <w:lang w:eastAsia="zh-CN"/>
              </w:rPr>
            </w:pPr>
            <w:r>
              <w:rPr>
                <w:rFonts w:hint="eastAsia"/>
                <w:szCs w:val="21"/>
                <w:lang w:eastAsia="zh-CN"/>
              </w:rPr>
              <w:t>标书中明确系统所有组件的品牌、材质、型号，并且注明每一个组件的保修期。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sz w:val="24"/>
                <w:lang w:val="en-US" w:eastAsia="zh-CN"/>
              </w:rPr>
            </w:pPr>
            <w:r>
              <w:rPr>
                <w:rFonts w:hint="eastAsia"/>
                <w:szCs w:val="21"/>
                <w:lang w:eastAsia="zh-CN"/>
              </w:rPr>
              <w:t>满足</w:t>
            </w:r>
            <w:r>
              <w:rPr>
                <w:szCs w:val="21"/>
                <w:lang w:eastAsia="zh-CN"/>
              </w:rPr>
              <w:t>GEP</w:t>
            </w:r>
            <w:r>
              <w:rPr>
                <w:rFonts w:hint="eastAsia"/>
                <w:szCs w:val="21"/>
                <w:lang w:eastAsia="zh-CN"/>
              </w:rPr>
              <w:t>的工程文件交付包</w:t>
            </w:r>
            <w:r>
              <w:rPr>
                <w:szCs w:val="21"/>
                <w:lang w:val="en-US"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1"/>
        <w:spacing w:before="0" w:line="360" w:lineRule="auto"/>
        <w:ind w:left="357"/>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color w:val="000000" w:themeColor="text1"/>
                <w:szCs w:val="21"/>
                <w:lang w:eastAsia="zh-CN"/>
                <w14:textFill>
                  <w14:solidFill>
                    <w14:schemeClr w14:val="tx1"/>
                  </w14:solidFill>
                </w14:textFill>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szCs w:val="21"/>
                <w:lang w:eastAsia="zh-CN"/>
              </w:rPr>
            </w:pPr>
            <w:r>
              <w:rPr>
                <w:rFonts w:hint="eastAsia"/>
                <w:szCs w:val="21"/>
                <w:lang w:eastAsia="zh-CN"/>
              </w:rPr>
              <w:t>设备供应商应免费对设备使用方人员进行全面培训，包括对生产操作人员及设备维护、维修人员，培训还应有安全使用和应急处置措施的相关内容，并填写培训记录。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r>
              <w:rPr>
                <w:rFonts w:hint="eastAsia" w:ascii="Times New Roman" w:hAnsi="Times New Roman"/>
                <w:szCs w:val="21"/>
              </w:rPr>
              <w:t>设</w:t>
            </w:r>
          </w:p>
        </w:tc>
        <w:tc>
          <w:tcPr>
            <w:tcW w:w="7128" w:type="dxa"/>
            <w:vAlign w:val="center"/>
          </w:tcPr>
          <w:p>
            <w:pPr>
              <w:spacing w:line="276" w:lineRule="auto"/>
              <w:jc w:val="both"/>
              <w:rPr>
                <w:lang w:eastAsia="zh-CN"/>
              </w:rPr>
            </w:pPr>
            <w:r>
              <w:rPr>
                <w:rFonts w:hint="eastAsia"/>
                <w:lang w:eastAsia="zh-CN"/>
              </w:rPr>
              <w:t>设备供应商按照设备使用人员要求负责分批次运输到质量控制室</w:t>
            </w:r>
            <w:r>
              <w:rPr>
                <w:rFonts w:hint="eastAsia"/>
                <w:lang w:val="en-US" w:eastAsia="zh-CN"/>
              </w:rPr>
              <w:t>原材料生化检测区</w:t>
            </w:r>
            <w:r>
              <w:rPr>
                <w:rFonts w:hint="eastAsia"/>
                <w:lang w:eastAsia="zh-CN"/>
              </w:rPr>
              <w:t>摆放安装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themeColor="text1"/>
                <w:szCs w:val="21"/>
                <w:lang w:eastAsia="zh-CN"/>
                <w14:textFill>
                  <w14:solidFill>
                    <w14:schemeClr w14:val="tx1"/>
                  </w14:solidFill>
                </w14:textFill>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验证包括验证计划、系统评估、计算机化系统评估、风险评估、</w:t>
            </w:r>
            <w:r>
              <w:rPr>
                <w:lang w:eastAsia="zh-CN"/>
              </w:rPr>
              <w:t>DQ</w:t>
            </w:r>
            <w:r>
              <w:rPr>
                <w:rFonts w:hint="eastAsia"/>
                <w:lang w:eastAsia="zh-CN"/>
              </w:rPr>
              <w:t>、</w:t>
            </w:r>
            <w:r>
              <w:rPr>
                <w:lang w:eastAsia="zh-CN"/>
              </w:rPr>
              <w:t>IQ</w:t>
            </w:r>
            <w:r>
              <w:rPr>
                <w:rFonts w:hint="eastAsia"/>
                <w:lang w:eastAsia="zh-CN"/>
              </w:rPr>
              <w:t>、</w:t>
            </w:r>
            <w:r>
              <w:rPr>
                <w:lang w:eastAsia="zh-CN"/>
              </w:rPr>
              <w:t>OQ</w:t>
            </w:r>
            <w:r>
              <w:rPr>
                <w:rFonts w:hint="eastAsia"/>
                <w:lang w:eastAsia="zh-CN"/>
              </w:rPr>
              <w:t>、</w:t>
            </w:r>
            <w:r>
              <w:rPr>
                <w:lang w:eastAsia="zh-CN"/>
              </w:rPr>
              <w:t>RTM</w:t>
            </w:r>
            <w:r>
              <w:rPr>
                <w:rFonts w:hint="eastAsia"/>
                <w:lang w:eastAsia="zh-CN"/>
              </w:rPr>
              <w:t>、</w:t>
            </w:r>
            <w:r>
              <w:rPr>
                <w:lang w:eastAsia="zh-CN"/>
              </w:rPr>
              <w:t>VSR</w:t>
            </w:r>
            <w:r>
              <w:rPr>
                <w:rFonts w:hint="eastAsia"/>
                <w:lang w:eastAsia="zh-CN"/>
              </w:rPr>
              <w:t>文件与服务，供应商必须派出具备该类系统验证经验，且熟悉验证相关文件编写及验证工作实施的验证工程师开展验证工作。厂家协助完成</w:t>
            </w:r>
            <w:r>
              <w:rPr>
                <w:lang w:eastAsia="zh-CN"/>
              </w:rPr>
              <w:t>PQ</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仪器保修期自安装之日起计不少于1年（含1年）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cs="宋体"/>
                <w:szCs w:val="21"/>
                <w:lang w:eastAsia="zh-CN"/>
              </w:rPr>
              <w:t>保修期间，在用户正确操作过程中（人为因素除外），仪器发生故障或配件损坏，供方售后服务部需免费上门维修并更换损坏配件；如人为损坏或超出保修期，则根据仪器损坏程度收取更换配件的费用。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cs="宋体"/>
                <w:szCs w:val="21"/>
                <w:lang w:eastAsia="zh-CN"/>
              </w:rPr>
              <w:t>在保修期外，提供终身免费的技术支持及使用指导服务，只收取基本材料费及运费。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rPr>
                <w:lang w:eastAsia="zh-CN"/>
              </w:rPr>
            </w:pPr>
            <w:r>
              <w:rPr>
                <w:rFonts w:hint="eastAsia" w:ascii="宋体" w:hAnsi="宋体" w:cs="宋体"/>
                <w:szCs w:val="21"/>
                <w:lang w:eastAsia="zh-CN"/>
              </w:rPr>
              <w:t>要求供应商能够提供符合国际标准的设备GMP验证方案（IQ、OQ、PQ），配合买方完成设备验收工作。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货物到达买方使用现场后，由买卖双方共同验收，</w:t>
            </w:r>
            <w:r>
              <w:rPr>
                <w:rFonts w:hint="eastAsia" w:ascii="宋体" w:hAnsi="宋体" w:cs="宋体"/>
                <w:szCs w:val="21"/>
                <w:lang w:eastAsia="zh-CN"/>
              </w:rPr>
              <w:t>仪器安装完毕，仪器安装人员需对仪器进行调试，直至仪器正常运转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tabs>
                <w:tab w:val="left" w:pos="2098"/>
              </w:tabs>
              <w:spacing w:line="276" w:lineRule="auto"/>
              <w:jc w:val="both"/>
              <w:rPr>
                <w:lang w:eastAsia="zh-CN"/>
              </w:rPr>
            </w:pPr>
            <w:r>
              <w:rPr>
                <w:rFonts w:hint="eastAsia"/>
                <w:lang w:eastAsia="zh-CN"/>
              </w:rPr>
              <w:t>卖方工程师免费为买方提供调试</w:t>
            </w:r>
            <w:r>
              <w:rPr>
                <w:rFonts w:hint="eastAsia" w:ascii="宋体" w:hAnsi="宋体" w:cs="宋体"/>
                <w:szCs w:val="21"/>
                <w:lang w:eastAsia="zh-CN"/>
              </w:rPr>
              <w:t>供应商可提供安装、调试、培训等技术支持。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供应商进厂施工需遵守安全和施工规定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40"/>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GB" w:eastAsia="zh-CN" w:bidi="ar-SA"/>
        </w:rPr>
        <w:t>主机</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GB" w:eastAsia="zh-CN" w:bidi="ar-SA"/>
        </w:rPr>
        <w:t>安瓿瓶折断力测试夹具、</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GB" w:eastAsia="zh-CN" w:bidi="ar-SA"/>
        </w:rPr>
        <w:t>胶塞穿刺力测试夹具、</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GB" w:eastAsia="zh-CN" w:bidi="ar-SA"/>
        </w:rPr>
        <w:t>铝塑组合盖开启力测试夹具、</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GB" w:eastAsia="zh-CN" w:bidi="ar-SA"/>
        </w:rPr>
        <w:t>微型打印机、</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cs="Times New Roman"/>
          <w:sz w:val="21"/>
          <w:lang w:val="en-US" w:eastAsia="zh-CN" w:bidi="ar-SA"/>
        </w:rPr>
        <w:t>手动封盖机、</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US" w:eastAsia="zh-CN" w:bidi="ar-SA"/>
        </w:rPr>
        <w:t>测试软件、</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US" w:eastAsia="zh-CN" w:bidi="ar-SA"/>
        </w:rPr>
        <w:t>笔记本电脑</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US" w:eastAsia="zh-CN" w:bidi="ar-SA"/>
        </w:rPr>
        <w:t>验证文件</w:t>
      </w:r>
    </w:p>
    <w:p>
      <w:pPr>
        <w:pStyle w:val="31"/>
        <w:numPr>
          <w:ilvl w:val="0"/>
          <w:numId w:val="12"/>
        </w:numPr>
        <w:spacing w:before="0" w:line="360" w:lineRule="auto"/>
        <w:ind w:left="357"/>
        <w:jc w:val="left"/>
        <w:rPr>
          <w:rFonts w:hint="eastAsia" w:ascii="Times New Roman" w:hAnsi="Times New Roman" w:eastAsia="宋体" w:cs="Times New Roman"/>
          <w:sz w:val="21"/>
          <w:lang w:val="en-GB" w:eastAsia="zh-CN" w:bidi="ar-SA"/>
        </w:rPr>
      </w:pPr>
      <w:r>
        <w:rPr>
          <w:rFonts w:hint="eastAsia" w:ascii="Times New Roman" w:hAnsi="Times New Roman" w:eastAsia="宋体" w:cs="Times New Roman"/>
          <w:sz w:val="21"/>
          <w:lang w:val="en-US" w:eastAsia="zh-CN" w:bidi="ar-SA"/>
        </w:rPr>
        <w:t>计量证书</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6FB60C"/>
    <w:multiLevelType w:val="singleLevel"/>
    <w:tmpl w:val="576FB60C"/>
    <w:lvl w:ilvl="0" w:tentative="0">
      <w:start w:val="1"/>
      <w:numFmt w:val="decimal"/>
      <w:suff w:val="nothing"/>
      <w:lvlText w:val="%1、"/>
      <w:lvlJc w:val="left"/>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6"/>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3224"/>
    <w:rsid w:val="00093EF0"/>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BA1"/>
    <w:rsid w:val="000D7C49"/>
    <w:rsid w:val="000E0DDB"/>
    <w:rsid w:val="000E1477"/>
    <w:rsid w:val="000E17B5"/>
    <w:rsid w:val="000E41B5"/>
    <w:rsid w:val="000E51FF"/>
    <w:rsid w:val="000E5684"/>
    <w:rsid w:val="000E5B57"/>
    <w:rsid w:val="000F0D08"/>
    <w:rsid w:val="000F2CD3"/>
    <w:rsid w:val="000F36B9"/>
    <w:rsid w:val="000F3A00"/>
    <w:rsid w:val="000F4E03"/>
    <w:rsid w:val="000F606A"/>
    <w:rsid w:val="000F706D"/>
    <w:rsid w:val="00100217"/>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A2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1419"/>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2D5A"/>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54F"/>
    <w:rsid w:val="00324B23"/>
    <w:rsid w:val="003257E0"/>
    <w:rsid w:val="00325FFA"/>
    <w:rsid w:val="00330D16"/>
    <w:rsid w:val="00330FFF"/>
    <w:rsid w:val="00331986"/>
    <w:rsid w:val="00333C91"/>
    <w:rsid w:val="0033695C"/>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5A6"/>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0DC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2DE2"/>
    <w:rsid w:val="00484A8D"/>
    <w:rsid w:val="00485F58"/>
    <w:rsid w:val="00486A4E"/>
    <w:rsid w:val="00486B09"/>
    <w:rsid w:val="0049139F"/>
    <w:rsid w:val="00494F07"/>
    <w:rsid w:val="00496116"/>
    <w:rsid w:val="004965A0"/>
    <w:rsid w:val="00497335"/>
    <w:rsid w:val="00497D19"/>
    <w:rsid w:val="004A05A7"/>
    <w:rsid w:val="004A3F98"/>
    <w:rsid w:val="004A5532"/>
    <w:rsid w:val="004A5958"/>
    <w:rsid w:val="004A76DF"/>
    <w:rsid w:val="004B05C5"/>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272A"/>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32"/>
    <w:rsid w:val="005A34B0"/>
    <w:rsid w:val="005A3ECF"/>
    <w:rsid w:val="005A523D"/>
    <w:rsid w:val="005A6821"/>
    <w:rsid w:val="005B2393"/>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21E"/>
    <w:rsid w:val="005F6CB3"/>
    <w:rsid w:val="005F7252"/>
    <w:rsid w:val="005F7612"/>
    <w:rsid w:val="005F7663"/>
    <w:rsid w:val="005F7D63"/>
    <w:rsid w:val="006047DA"/>
    <w:rsid w:val="00607170"/>
    <w:rsid w:val="00607408"/>
    <w:rsid w:val="0061068D"/>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25C"/>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0F4E"/>
    <w:rsid w:val="00723A0F"/>
    <w:rsid w:val="00724673"/>
    <w:rsid w:val="00726CB6"/>
    <w:rsid w:val="00727255"/>
    <w:rsid w:val="0072779B"/>
    <w:rsid w:val="00727CCF"/>
    <w:rsid w:val="007330CD"/>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E90"/>
    <w:rsid w:val="00772C42"/>
    <w:rsid w:val="0077302F"/>
    <w:rsid w:val="00773103"/>
    <w:rsid w:val="00773661"/>
    <w:rsid w:val="00774A61"/>
    <w:rsid w:val="00774E08"/>
    <w:rsid w:val="00774E72"/>
    <w:rsid w:val="0077746F"/>
    <w:rsid w:val="007775FE"/>
    <w:rsid w:val="00780A5F"/>
    <w:rsid w:val="00781592"/>
    <w:rsid w:val="00784913"/>
    <w:rsid w:val="00785B90"/>
    <w:rsid w:val="0078639C"/>
    <w:rsid w:val="007913D3"/>
    <w:rsid w:val="0079790C"/>
    <w:rsid w:val="007A102A"/>
    <w:rsid w:val="007A1498"/>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6C06"/>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333"/>
    <w:rsid w:val="00863982"/>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58C4"/>
    <w:rsid w:val="008B6CD2"/>
    <w:rsid w:val="008B72DD"/>
    <w:rsid w:val="008C050B"/>
    <w:rsid w:val="008C1132"/>
    <w:rsid w:val="008C302A"/>
    <w:rsid w:val="008C3D9D"/>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521"/>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5F7"/>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C09"/>
    <w:rsid w:val="00A56E60"/>
    <w:rsid w:val="00A571B3"/>
    <w:rsid w:val="00A626B5"/>
    <w:rsid w:val="00A62DF0"/>
    <w:rsid w:val="00A63620"/>
    <w:rsid w:val="00A63ECE"/>
    <w:rsid w:val="00A6510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91E"/>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4B5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503CD"/>
    <w:rsid w:val="00B548AB"/>
    <w:rsid w:val="00B54BBE"/>
    <w:rsid w:val="00B54C46"/>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5E07"/>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24F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014"/>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A58"/>
    <w:rsid w:val="00E078BD"/>
    <w:rsid w:val="00E078F8"/>
    <w:rsid w:val="00E07C24"/>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6FF1"/>
    <w:rsid w:val="00E774FE"/>
    <w:rsid w:val="00E809A0"/>
    <w:rsid w:val="00E80AF7"/>
    <w:rsid w:val="00E84407"/>
    <w:rsid w:val="00E85E54"/>
    <w:rsid w:val="00E86146"/>
    <w:rsid w:val="00E863D7"/>
    <w:rsid w:val="00E866A2"/>
    <w:rsid w:val="00E86A76"/>
    <w:rsid w:val="00E87A90"/>
    <w:rsid w:val="00E904D1"/>
    <w:rsid w:val="00E92425"/>
    <w:rsid w:val="00E92AD3"/>
    <w:rsid w:val="00E959EA"/>
    <w:rsid w:val="00E96237"/>
    <w:rsid w:val="00E965D7"/>
    <w:rsid w:val="00E96D30"/>
    <w:rsid w:val="00EA1327"/>
    <w:rsid w:val="00EA623C"/>
    <w:rsid w:val="00EA6395"/>
    <w:rsid w:val="00EA781E"/>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245D"/>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7B3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335D1C"/>
    <w:rsid w:val="015B2FA3"/>
    <w:rsid w:val="03483935"/>
    <w:rsid w:val="05CA091A"/>
    <w:rsid w:val="09480032"/>
    <w:rsid w:val="09A75CFF"/>
    <w:rsid w:val="0A7416C4"/>
    <w:rsid w:val="0E633CD3"/>
    <w:rsid w:val="0EDD0562"/>
    <w:rsid w:val="0FC009D4"/>
    <w:rsid w:val="11817E9D"/>
    <w:rsid w:val="13533D7B"/>
    <w:rsid w:val="145B2846"/>
    <w:rsid w:val="15BC254B"/>
    <w:rsid w:val="17D26FAC"/>
    <w:rsid w:val="18077DE2"/>
    <w:rsid w:val="18181734"/>
    <w:rsid w:val="182C7DB9"/>
    <w:rsid w:val="18B11676"/>
    <w:rsid w:val="19831B12"/>
    <w:rsid w:val="19917708"/>
    <w:rsid w:val="1F2203DE"/>
    <w:rsid w:val="1F5D5ADA"/>
    <w:rsid w:val="1FA90436"/>
    <w:rsid w:val="20663C6B"/>
    <w:rsid w:val="23A957AE"/>
    <w:rsid w:val="24E13C97"/>
    <w:rsid w:val="29207F6D"/>
    <w:rsid w:val="2F586BA0"/>
    <w:rsid w:val="34E0181F"/>
    <w:rsid w:val="39187C05"/>
    <w:rsid w:val="3AD8058D"/>
    <w:rsid w:val="3BAF3E41"/>
    <w:rsid w:val="3E8B2E18"/>
    <w:rsid w:val="409E3492"/>
    <w:rsid w:val="40C72B2E"/>
    <w:rsid w:val="42515D9C"/>
    <w:rsid w:val="43E62DEE"/>
    <w:rsid w:val="45F84F6C"/>
    <w:rsid w:val="46EF0F5A"/>
    <w:rsid w:val="472A7930"/>
    <w:rsid w:val="47D25D5A"/>
    <w:rsid w:val="48D0588E"/>
    <w:rsid w:val="4A2961DA"/>
    <w:rsid w:val="4B70318A"/>
    <w:rsid w:val="4CF31070"/>
    <w:rsid w:val="4D7B1D78"/>
    <w:rsid w:val="4E5B6701"/>
    <w:rsid w:val="4F6E77C2"/>
    <w:rsid w:val="4F971CD5"/>
    <w:rsid w:val="5074205B"/>
    <w:rsid w:val="50B607B6"/>
    <w:rsid w:val="50B85C5B"/>
    <w:rsid w:val="51F44F4D"/>
    <w:rsid w:val="51F629B0"/>
    <w:rsid w:val="523936D5"/>
    <w:rsid w:val="529B4AF0"/>
    <w:rsid w:val="54196FBA"/>
    <w:rsid w:val="5444288A"/>
    <w:rsid w:val="54D10981"/>
    <w:rsid w:val="54EC2168"/>
    <w:rsid w:val="56D038EC"/>
    <w:rsid w:val="59124326"/>
    <w:rsid w:val="592F6CF5"/>
    <w:rsid w:val="5B156983"/>
    <w:rsid w:val="5D9D6F39"/>
    <w:rsid w:val="5FA720B7"/>
    <w:rsid w:val="5FB24FCF"/>
    <w:rsid w:val="606065B4"/>
    <w:rsid w:val="61D17DCF"/>
    <w:rsid w:val="62E70213"/>
    <w:rsid w:val="631A4FCE"/>
    <w:rsid w:val="66EB7476"/>
    <w:rsid w:val="67B8595C"/>
    <w:rsid w:val="685679BE"/>
    <w:rsid w:val="68977E8E"/>
    <w:rsid w:val="69410E9B"/>
    <w:rsid w:val="6B5D06C2"/>
    <w:rsid w:val="6B9845CC"/>
    <w:rsid w:val="6BA15861"/>
    <w:rsid w:val="6C682001"/>
    <w:rsid w:val="6C9A7328"/>
    <w:rsid w:val="6DA468C3"/>
    <w:rsid w:val="6DB100C6"/>
    <w:rsid w:val="6F377E4C"/>
    <w:rsid w:val="6F6B20EF"/>
    <w:rsid w:val="6FC50077"/>
    <w:rsid w:val="700E0A47"/>
    <w:rsid w:val="707E6BE2"/>
    <w:rsid w:val="71676E35"/>
    <w:rsid w:val="72C071E2"/>
    <w:rsid w:val="75172E19"/>
    <w:rsid w:val="76E7759D"/>
    <w:rsid w:val="77E56B45"/>
    <w:rsid w:val="78487C41"/>
    <w:rsid w:val="79BE7FE3"/>
    <w:rsid w:val="7A2A1FAC"/>
    <w:rsid w:val="7A315BAC"/>
    <w:rsid w:val="7B327E7C"/>
    <w:rsid w:val="7C100C33"/>
    <w:rsid w:val="7D1263DA"/>
    <w:rsid w:val="7F7B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Date"/>
    <w:basedOn w:val="1"/>
    <w:next w:val="1"/>
    <w:link w:val="33"/>
    <w:qFormat/>
    <w:uiPriority w:val="99"/>
    <w:pPr>
      <w:widowControl w:val="0"/>
      <w:overflowPunct/>
      <w:autoSpaceDE/>
      <w:autoSpaceDN/>
      <w:adjustRightInd/>
      <w:ind w:left="100" w:leftChars="2500"/>
      <w:jc w:val="both"/>
      <w:textAlignment w:val="auto"/>
    </w:pPr>
    <w:rPr>
      <w:kern w:val="2"/>
      <w:szCs w:val="24"/>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320"/>
        <w:tab w:val="right" w:pos="8640"/>
      </w:tabs>
    </w:pPr>
    <w:rPr>
      <w:sz w:val="24"/>
    </w:rPr>
  </w:style>
  <w:style w:type="paragraph" w:styleId="15">
    <w:name w:val="header"/>
    <w:basedOn w:val="1"/>
    <w:link w:val="37"/>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2"/>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character" w:customStyle="1" w:styleId="26">
    <w:name w:val="Footer Char"/>
    <w:semiHidden/>
    <w:qFormat/>
    <w:locked/>
    <w:uiPriority w:val="0"/>
    <w:rPr>
      <w:rFonts w:cs="Times New Roman"/>
      <w:sz w:val="18"/>
      <w:szCs w:val="18"/>
    </w:rPr>
  </w:style>
  <w:style w:type="character" w:customStyle="1" w:styleId="27">
    <w:name w:val="keyword"/>
    <w:basedOn w:val="22"/>
    <w:qFormat/>
    <w:uiPriority w:val="0"/>
  </w:style>
  <w:style w:type="character" w:customStyle="1" w:styleId="28">
    <w:name w:val="批注文字 Char"/>
    <w:link w:val="6"/>
    <w:semiHidden/>
    <w:qFormat/>
    <w:uiPriority w:val="0"/>
    <w:rPr>
      <w:sz w:val="24"/>
      <w:lang w:val="en-GB" w:eastAsia="en-US"/>
    </w:rPr>
  </w:style>
  <w:style w:type="character" w:customStyle="1" w:styleId="29">
    <w:name w:val="页脚 Char"/>
    <w:link w:val="14"/>
    <w:qFormat/>
    <w:uiPriority w:val="99"/>
    <w:rPr>
      <w:sz w:val="24"/>
      <w:lang w:val="en-GB" w:eastAsia="en-US"/>
    </w:rPr>
  </w:style>
  <w:style w:type="character" w:customStyle="1" w:styleId="30">
    <w:name w:val="Text Char"/>
    <w:link w:val="31"/>
    <w:qFormat/>
    <w:locked/>
    <w:uiPriority w:val="0"/>
    <w:rPr>
      <w:sz w:val="24"/>
      <w:lang w:eastAsia="en-US"/>
    </w:rPr>
  </w:style>
  <w:style w:type="paragraph" w:customStyle="1" w:styleId="31">
    <w:name w:val="Text"/>
    <w:basedOn w:val="1"/>
    <w:link w:val="30"/>
    <w:qFormat/>
    <w:uiPriority w:val="0"/>
    <w:pPr>
      <w:overflowPunct/>
      <w:autoSpaceDE/>
      <w:autoSpaceDN/>
      <w:adjustRightInd/>
      <w:spacing w:before="120"/>
      <w:jc w:val="both"/>
      <w:textAlignment w:val="auto"/>
    </w:pPr>
    <w:rPr>
      <w:sz w:val="24"/>
    </w:rPr>
  </w:style>
  <w:style w:type="character" w:customStyle="1" w:styleId="32">
    <w:name w:val="标题 Char"/>
    <w:link w:val="18"/>
    <w:qFormat/>
    <w:uiPriority w:val="0"/>
    <w:rPr>
      <w:rFonts w:ascii="Calibri Light" w:hAnsi="Calibri Light" w:cs="Times New Roman"/>
      <w:b/>
      <w:bCs/>
      <w:sz w:val="32"/>
      <w:szCs w:val="32"/>
      <w:lang w:val="en-GB" w:eastAsia="en-US"/>
    </w:rPr>
  </w:style>
  <w:style w:type="character" w:customStyle="1" w:styleId="33">
    <w:name w:val="日期 Char"/>
    <w:link w:val="11"/>
    <w:qFormat/>
    <w:uiPriority w:val="99"/>
    <w:rPr>
      <w:kern w:val="2"/>
      <w:sz w:val="21"/>
      <w:szCs w:val="24"/>
    </w:rPr>
  </w:style>
  <w:style w:type="character" w:customStyle="1" w:styleId="34">
    <w:name w:val="instruction standard blue"/>
    <w:qFormat/>
    <w:uiPriority w:val="1"/>
    <w:rPr>
      <w:rFonts w:cs="Arial"/>
      <w:i/>
      <w:color w:val="0070C0"/>
    </w:rPr>
  </w:style>
  <w:style w:type="character" w:customStyle="1" w:styleId="35">
    <w:name w:val="numbering blue Zchn"/>
    <w:link w:val="36"/>
    <w:qFormat/>
    <w:uiPriority w:val="0"/>
    <w:rPr>
      <w:rFonts w:ascii="Arial" w:hAnsi="Arial" w:eastAsia="PMingLiU"/>
      <w:color w:val="0070C0"/>
      <w:lang w:eastAsia="zh-TW"/>
    </w:rPr>
  </w:style>
  <w:style w:type="paragraph" w:customStyle="1" w:styleId="36">
    <w:name w:val="numbering blue"/>
    <w:basedOn w:val="1"/>
    <w:link w:val="35"/>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7">
    <w:name w:val="页眉 Char"/>
    <w:link w:val="15"/>
    <w:qFormat/>
    <w:uiPriority w:val="0"/>
    <w:rPr>
      <w:rFonts w:eastAsia="宋体"/>
      <w:sz w:val="24"/>
      <w:lang w:val="en-GB" w:eastAsia="en-US" w:bidi="ar-SA"/>
    </w:rPr>
  </w:style>
  <w:style w:type="character" w:customStyle="1" w:styleId="38">
    <w:name w:val="ordinary-span-edit2"/>
    <w:qFormat/>
    <w:uiPriority w:val="0"/>
  </w:style>
  <w:style w:type="character" w:customStyle="1" w:styleId="39">
    <w:name w:val="apple-converted-space"/>
    <w:basedOn w:val="22"/>
    <w:qFormat/>
    <w:uiPriority w:val="0"/>
  </w:style>
  <w:style w:type="paragraph" w:styleId="40">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1">
    <w:name w:val="Default Text"/>
    <w:basedOn w:val="1"/>
    <w:qFormat/>
    <w:uiPriority w:val="0"/>
    <w:pPr>
      <w:overflowPunct/>
      <w:textAlignment w:val="auto"/>
    </w:pPr>
    <w:rPr>
      <w:rFonts w:ascii="Arial" w:hAnsi="Arial"/>
      <w:szCs w:val="24"/>
      <w:lang w:val="en-US"/>
    </w:rPr>
  </w:style>
  <w:style w:type="paragraph" w:customStyle="1" w:styleId="42">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3">
    <w:name w:val="Table text"/>
    <w:basedOn w:val="1"/>
    <w:qFormat/>
    <w:uiPriority w:val="0"/>
    <w:pPr>
      <w:overflowPunct/>
      <w:autoSpaceDE/>
      <w:autoSpaceDN/>
      <w:adjustRightInd/>
      <w:spacing w:before="120" w:after="120"/>
      <w:jc w:val="both"/>
      <w:textAlignment w:val="auto"/>
    </w:pPr>
    <w:rPr>
      <w:lang w:val="en-US"/>
    </w:rPr>
  </w:style>
  <w:style w:type="paragraph" w:customStyle="1" w:styleId="4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5">
    <w:name w:val="_Style 44"/>
    <w:basedOn w:val="2"/>
    <w:next w:val="1"/>
    <w:qFormat/>
    <w:uiPriority w:val="39"/>
    <w:pPr>
      <w:numPr>
        <w:numId w:val="0"/>
      </w:numPr>
      <w:outlineLvl w:val="9"/>
    </w:pPr>
  </w:style>
  <w:style w:type="paragraph" w:customStyle="1" w:styleId="46">
    <w:name w:val="Style"/>
    <w:basedOn w:val="1"/>
    <w:qFormat/>
    <w:uiPriority w:val="0"/>
    <w:pPr>
      <w:overflowPunct/>
      <w:textAlignment w:val="auto"/>
    </w:pPr>
    <w:rPr>
      <w:rFonts w:ascii="Arial" w:hAnsi="Arial"/>
      <w:szCs w:val="24"/>
      <w:lang w:val="en-US"/>
    </w:rPr>
  </w:style>
  <w:style w:type="paragraph" w:customStyle="1" w:styleId="47">
    <w:name w:val="正文1"/>
    <w:basedOn w:val="1"/>
    <w:qFormat/>
    <w:uiPriority w:val="0"/>
    <w:pPr>
      <w:overflowPunct/>
      <w:textAlignment w:val="auto"/>
    </w:pPr>
    <w:rPr>
      <w:rFonts w:ascii="Arial" w:hAnsi="Arial"/>
      <w:sz w:val="20"/>
      <w:lang w:val="en-US"/>
    </w:rPr>
  </w:style>
  <w:style w:type="paragraph" w:customStyle="1" w:styleId="48">
    <w:name w:val="_Style 47"/>
    <w:semiHidden/>
    <w:qFormat/>
    <w:uiPriority w:val="99"/>
    <w:rPr>
      <w:rFonts w:ascii="Times New Roman" w:hAnsi="Times New Roman" w:eastAsia="宋体" w:cs="Times New Roman"/>
      <w:sz w:val="24"/>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755</Words>
  <Characters>4305</Characters>
  <Lines>35</Lines>
  <Paragraphs>10</Paragraphs>
  <TotalTime>3</TotalTime>
  <ScaleCrop>false</ScaleCrop>
  <LinksUpToDate>false</LinksUpToDate>
  <CharactersWithSpaces>5050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2019-04-30T04:19:00Z</dcterms:created>
  <dc:creator>Lilly</dc:creator>
  <cp:lastModifiedBy>汪洋</cp:lastModifiedBy>
  <cp:lastPrinted>2020-06-10T01:35:00Z</cp:lastPrinted>
  <dcterms:modified xsi:type="dcterms:W3CDTF">2022-07-06T02:27:30Z</dcterms:modified>
  <dc:title>生效期：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8E7DB755E5484092B766AFB3EBCB1A30</vt:lpwstr>
  </property>
</Properties>
</file>