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4532399"/>
      <w:bookmarkStart w:id="2" w:name="_Toc483400307"/>
      <w:bookmarkStart w:id="3" w:name="_Toc482717189"/>
      <w:bookmarkStart w:id="4" w:name="_Toc483666358"/>
    </w:p>
    <w:p>
      <w:pPr>
        <w:spacing w:after="158" w:afterLines="50"/>
        <w:jc w:val="center"/>
        <w:rPr>
          <w:b/>
          <w:szCs w:val="21"/>
          <w:lang w:eastAsia="zh-CN"/>
        </w:rPr>
      </w:pPr>
      <w:permStart w:id="0" w:edGrp="everyone"/>
      <w:r>
        <w:rPr>
          <w:rFonts w:hint="eastAsia"/>
          <w:b/>
          <w:sz w:val="28"/>
          <w:szCs w:val="28"/>
          <w:lang w:eastAsia="zh-CN"/>
        </w:rPr>
        <w:t>凝胶成像</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permStart w:id="1" w:edGrp="everyone"/>
      <w:permEnd w:id="1"/>
      <w:bookmarkStart w:id="5" w:name="OLE_LINK4"/>
    </w:p>
    <w:bookmarkEnd w:id="5"/>
    <w:p>
      <w:pPr>
        <w:pStyle w:val="34"/>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rPr>
          <w:rFonts w:hint="eastAsia"/>
        </w:rPr>
        <w:t>10</w:t>
      </w:r>
      <w:r>
        <w:rPr>
          <w:rFonts w:hint="eastAsia"/>
        </w:rP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rPr>
        <w:t>10</w:t>
      </w:r>
      <w:r>
        <w:rPr>
          <w:rFonts w:hint="eastAsia"/>
        </w:rP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rPr>
        <w:t>11</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rPr>
          <w:rFonts w:hint="eastAsia"/>
        </w:rPr>
        <w:t>13</w:t>
      </w:r>
      <w:r>
        <w:rPr>
          <w:rFonts w:hint="eastAsia"/>
        </w:rP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42"/>
        <w:spacing w:before="0" w:line="360" w:lineRule="auto"/>
        <w:ind w:left="357"/>
        <w:jc w:val="left"/>
        <w:rPr>
          <w:szCs w:val="21"/>
          <w:lang w:eastAsia="zh-CN"/>
        </w:rPr>
      </w:pPr>
      <w:bookmarkStart w:id="8" w:name="_Toc482370061"/>
      <w:bookmarkStart w:id="9" w:name="_Toc482370349"/>
      <w:bookmarkStart w:id="10" w:name="_Toc482360281"/>
      <w:bookmarkStart w:id="11" w:name="_Toc482359936"/>
      <w:bookmarkStart w:id="12" w:name="_Toc482370141"/>
      <w:bookmarkStart w:id="13" w:name="_Toc482370757"/>
      <w:bookmarkStart w:id="14" w:name="_Toc482369805"/>
      <w:bookmarkStart w:id="15" w:name="_Toc482625279"/>
      <w:bookmarkStart w:id="16" w:name="_Toc481702475"/>
      <w:r>
        <w:rPr>
          <w:szCs w:val="21"/>
          <w:lang w:eastAsia="zh-CN"/>
        </w:rPr>
        <w:t>本文件的目的是描述武汉生物制品研究所有限责任公司</w:t>
      </w:r>
      <w:permStart w:id="3" w:edGrp="everyone"/>
      <w:r>
        <w:rPr>
          <w:rFonts w:hint="eastAsia"/>
          <w:iCs/>
          <w:szCs w:val="21"/>
          <w:lang w:eastAsia="zh-CN"/>
        </w:rPr>
        <w:t>细菌类疫苗研究室-</w:t>
      </w:r>
      <w:r>
        <w:rPr>
          <w:rFonts w:hint="eastAsia"/>
          <w:szCs w:val="21"/>
          <w:lang w:eastAsia="zh-CN"/>
        </w:rPr>
        <w:t>科研楼A区二楼实验室</w:t>
      </w:r>
      <w:r>
        <w:rPr>
          <w:rFonts w:hint="eastAsia"/>
          <w:iCs/>
          <w:szCs w:val="21"/>
          <w:lang w:eastAsia="zh-CN"/>
        </w:rPr>
        <w:t>凝胶成像</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iCs/>
          <w:szCs w:val="21"/>
          <w:lang w:eastAsia="zh-CN"/>
        </w:rPr>
        <w:t>细菌类疫苗研究室-</w:t>
      </w:r>
      <w:r>
        <w:rPr>
          <w:rFonts w:hint="eastAsia"/>
          <w:szCs w:val="21"/>
          <w:lang w:eastAsia="zh-CN"/>
        </w:rPr>
        <w:t>科研楼A区二楼实验室</w:t>
      </w:r>
      <w:r>
        <w:rPr>
          <w:rFonts w:hint="eastAsia"/>
          <w:iCs/>
          <w:szCs w:val="21"/>
          <w:lang w:eastAsia="zh-CN"/>
        </w:rPr>
        <w:t>凝胶成像</w:t>
      </w:r>
      <w:permEnd w:id="4"/>
      <w:r>
        <w:rPr>
          <w:szCs w:val="21"/>
          <w:lang w:eastAsia="zh-CN"/>
        </w:rPr>
        <w:t>。</w:t>
      </w:r>
      <w:bookmarkEnd w:id="8"/>
      <w:bookmarkEnd w:id="9"/>
      <w:bookmarkEnd w:id="10"/>
      <w:bookmarkEnd w:id="11"/>
      <w:bookmarkEnd w:id="12"/>
      <w:bookmarkEnd w:id="13"/>
      <w:bookmarkEnd w:id="14"/>
      <w:bookmarkEnd w:id="15"/>
      <w:bookmarkEnd w:id="16"/>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w:t>
      </w:r>
      <w:r>
        <w:rPr>
          <w:rFonts w:hint="eastAsia"/>
          <w:iCs/>
          <w:szCs w:val="21"/>
          <w:lang w:eastAsia="zh-CN"/>
        </w:rPr>
        <w:t>20</w:t>
      </w:r>
      <w:r>
        <w:rPr>
          <w:iCs/>
          <w:szCs w:val="21"/>
        </w:rPr>
        <w:t>年版</w:t>
      </w:r>
    </w:p>
    <w:p>
      <w:pPr>
        <w:pStyle w:val="42"/>
        <w:numPr>
          <w:ilvl w:val="0"/>
          <w:numId w:val="5"/>
        </w:numPr>
        <w:spacing w:before="0" w:line="360" w:lineRule="auto"/>
        <w:ind w:left="777"/>
        <w:jc w:val="left"/>
        <w:rPr>
          <w:szCs w:val="21"/>
          <w:lang w:eastAsia="zh-CN"/>
        </w:rPr>
      </w:pPr>
      <w:r>
        <w:rPr>
          <w:rFonts w:hint="eastAsia" w:ascii="宋体" w:hAnsi="宋体"/>
          <w:lang w:eastAsia="zh-CN"/>
        </w:rPr>
        <w:t>《药品生产质量管理规范》（2010修订版）</w:t>
      </w:r>
      <w:r>
        <w:rPr>
          <w:rFonts w:hint="eastAsia"/>
          <w:lang w:eastAsia="zh-CN"/>
        </w:rPr>
        <w:t>及附录</w:t>
      </w:r>
    </w:p>
    <w:p>
      <w:pPr>
        <w:pStyle w:val="42"/>
        <w:numPr>
          <w:ilvl w:val="0"/>
          <w:numId w:val="5"/>
        </w:numPr>
        <w:spacing w:before="0" w:line="360" w:lineRule="auto"/>
        <w:ind w:left="777"/>
        <w:jc w:val="left"/>
        <w:rPr>
          <w:szCs w:val="21"/>
          <w:lang w:eastAsia="zh-CN"/>
        </w:rPr>
      </w:pPr>
      <w:r>
        <w:rPr>
          <w:lang w:eastAsia="zh-CN"/>
        </w:rPr>
        <w:t>GMP</w:t>
      </w:r>
      <w:r>
        <w:rPr>
          <w:rFonts w:hint="eastAsia"/>
          <w:lang w:eastAsia="zh-CN"/>
        </w:rPr>
        <w:t>附件</w:t>
      </w:r>
      <w:r>
        <w:rPr>
          <w:lang w:eastAsia="zh-CN"/>
        </w:rPr>
        <w:t>1</w:t>
      </w:r>
      <w:r>
        <w:rPr>
          <w:rFonts w:hint="eastAsia"/>
          <w:lang w:eastAsia="zh-CN"/>
        </w:rPr>
        <w:t>《计算机化系统》（</w:t>
      </w:r>
      <w:r>
        <w:rPr>
          <w:lang w:eastAsia="zh-CN"/>
        </w:rPr>
        <w:t>2015</w:t>
      </w:r>
      <w:r>
        <w:rPr>
          <w:rFonts w:hint="eastAsia"/>
          <w:lang w:eastAsia="zh-CN"/>
        </w:rPr>
        <w:t>版）</w:t>
      </w:r>
    </w:p>
    <w:p>
      <w:pPr>
        <w:pStyle w:val="42"/>
        <w:numPr>
          <w:ilvl w:val="0"/>
          <w:numId w:val="5"/>
        </w:numPr>
        <w:spacing w:before="0" w:line="360" w:lineRule="auto"/>
        <w:ind w:left="777"/>
        <w:jc w:val="left"/>
        <w:rPr>
          <w:szCs w:val="21"/>
          <w:lang w:eastAsia="zh-CN"/>
        </w:rPr>
      </w:pPr>
      <w:r>
        <w:rPr>
          <w:lang w:eastAsia="zh-CN"/>
        </w:rPr>
        <w:t>GMP</w:t>
      </w:r>
      <w:r>
        <w:rPr>
          <w:rFonts w:hint="eastAsia"/>
          <w:lang w:eastAsia="zh-CN"/>
        </w:rPr>
        <w:t>附件</w:t>
      </w:r>
      <w:r>
        <w:rPr>
          <w:lang w:eastAsia="zh-CN"/>
        </w:rPr>
        <w:t>2</w:t>
      </w:r>
      <w:r>
        <w:rPr>
          <w:rFonts w:hint="eastAsia"/>
          <w:lang w:eastAsia="zh-CN"/>
        </w:rPr>
        <w:t>《确认与验证》（</w:t>
      </w:r>
      <w:r>
        <w:rPr>
          <w:lang w:eastAsia="zh-CN"/>
        </w:rPr>
        <w:t>2015</w:t>
      </w:r>
      <w:r>
        <w:rPr>
          <w:rFonts w:hint="eastAsia"/>
          <w:lang w:eastAsia="zh-CN"/>
        </w:rPr>
        <w:t>版）</w:t>
      </w:r>
    </w:p>
    <w:p>
      <w:pPr>
        <w:pStyle w:val="42"/>
        <w:numPr>
          <w:ilvl w:val="0"/>
          <w:numId w:val="5"/>
        </w:numPr>
        <w:spacing w:before="0" w:line="360" w:lineRule="auto"/>
        <w:ind w:left="777"/>
        <w:jc w:val="left"/>
        <w:rPr>
          <w:szCs w:val="21"/>
          <w:lang w:eastAsia="zh-CN"/>
        </w:rPr>
      </w:pPr>
      <w:r>
        <w:rPr>
          <w:rFonts w:hint="eastAsia"/>
          <w:lang w:eastAsia="zh-CN"/>
        </w:rPr>
        <w:t>GAMP5</w:t>
      </w:r>
    </w:p>
    <w:p>
      <w:pPr>
        <w:pStyle w:val="42"/>
        <w:numPr>
          <w:ilvl w:val="0"/>
          <w:numId w:val="5"/>
        </w:numPr>
        <w:spacing w:before="0" w:line="360" w:lineRule="auto"/>
        <w:ind w:left="777"/>
        <w:jc w:val="left"/>
        <w:rPr>
          <w:szCs w:val="21"/>
          <w:lang w:eastAsia="zh-CN"/>
        </w:rPr>
      </w:pPr>
      <w:r>
        <w:rPr>
          <w:rFonts w:hint="eastAsia"/>
          <w:lang w:eastAsia="zh-CN"/>
        </w:rPr>
        <w:t>21CFR Part11</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spacing w:before="0" w:line="360" w:lineRule="auto"/>
        <w:ind w:left="357"/>
        <w:jc w:val="left"/>
        <w:rPr>
          <w:szCs w:val="21"/>
          <w:lang w:eastAsia="zh-CN"/>
        </w:rPr>
      </w:pPr>
      <w:permStart w:id="6" w:edGrp="everyone"/>
      <w:r>
        <w:rPr>
          <w:szCs w:val="21"/>
          <w:lang w:eastAsia="zh-CN"/>
        </w:rPr>
        <w:sym w:font="Wingdings" w:char="F06C"/>
      </w:r>
      <w:r>
        <w:rPr>
          <w:rFonts w:hint="eastAsia"/>
          <w:szCs w:val="21"/>
          <w:lang w:eastAsia="zh-CN"/>
        </w:rPr>
        <w:t xml:space="preserve"> </w:t>
      </w:r>
      <w:r>
        <w:rPr>
          <w:szCs w:val="21"/>
          <w:lang w:eastAsia="zh-CN"/>
        </w:rPr>
        <w:t xml:space="preserve">     电气安全应符合GB4793.1和GB4793.4的要求</w:t>
      </w:r>
      <w:r>
        <w:rPr>
          <w:rFonts w:hint="eastAsia"/>
          <w:szCs w:val="21"/>
          <w:lang w:eastAsia="zh-CN"/>
        </w:rPr>
        <w:t>。</w:t>
      </w:r>
    </w:p>
    <w:permEnd w:id="6"/>
    <w:p>
      <w:pPr>
        <w:pStyle w:val="42"/>
        <w:spacing w:before="0" w:line="360" w:lineRule="auto"/>
        <w:jc w:val="left"/>
        <w:rPr>
          <w:szCs w:val="21"/>
          <w:lang w:eastAsia="zh-CN"/>
        </w:rPr>
      </w:pPr>
      <w:permStart w:id="7" w:edGrp="everyone"/>
    </w:p>
    <w:permEnd w:id="7"/>
    <w:p>
      <w:pPr>
        <w:pStyle w:val="32"/>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r>
        <w:rPr>
          <w:rFonts w:ascii="Times New Roman" w:hAnsi="Times New Roman"/>
          <w:b/>
        </w:rPr>
        <w:t>系统描述</w:t>
      </w:r>
      <w:bookmarkEnd w:id="21"/>
      <w:bookmarkEnd w:id="22"/>
    </w:p>
    <w:p>
      <w:pPr>
        <w:pStyle w:val="42"/>
        <w:spacing w:before="0" w:line="360" w:lineRule="auto"/>
        <w:ind w:left="357"/>
        <w:jc w:val="left"/>
        <w:rPr>
          <w:i/>
          <w:color w:val="4472C4"/>
          <w:szCs w:val="21"/>
          <w:lang w:eastAsia="zh-CN"/>
        </w:rPr>
      </w:pPr>
      <w:permStart w:id="8" w:edGrp="everyone"/>
      <w:r>
        <w:rPr>
          <w:szCs w:val="21"/>
        </w:rPr>
        <w:t>采集化学发光（chemiluminescence）、比色（colorimetric）、荧光（fluorescence）等核酸凝胶、蛋白凝胶、印迹膜等的数字图像，并对获得的图像进行数据分析。</w:t>
      </w:r>
      <w:permEnd w:id="8"/>
    </w:p>
    <w:p>
      <w:pPr>
        <w:pStyle w:val="32"/>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8" w:type="dxa"/>
            <w:shd w:val="clear" w:color="auto" w:fill="D9D9D9"/>
            <w:vAlign w:val="center"/>
          </w:tcPr>
          <w:p>
            <w:pPr>
              <w:jc w:val="center"/>
              <w:rPr>
                <w:b/>
                <w:szCs w:val="21"/>
              </w:rPr>
            </w:pPr>
            <w:bookmarkStart w:id="24" w:name="OLE_LINK1"/>
            <w:bookmarkStart w:id="25" w:name="OLE_LINK2"/>
            <w:r>
              <w:rPr>
                <w:b/>
                <w:szCs w:val="21"/>
              </w:rPr>
              <w:t>编号</w:t>
            </w:r>
          </w:p>
        </w:tc>
        <w:tc>
          <w:tcPr>
            <w:tcW w:w="6966" w:type="dxa"/>
            <w:shd w:val="clear" w:color="auto" w:fill="D9D9D9"/>
            <w:vAlign w:val="center"/>
          </w:tcPr>
          <w:p>
            <w:pPr>
              <w:jc w:val="center"/>
              <w:rPr>
                <w:b/>
                <w:szCs w:val="21"/>
                <w:lang w:eastAsia="zh-CN"/>
              </w:rPr>
            </w:pPr>
            <w:r>
              <w:rPr>
                <w:b/>
                <w:szCs w:val="21"/>
                <w:lang w:eastAsia="zh-CN"/>
              </w:rPr>
              <w:t>需求</w:t>
            </w:r>
          </w:p>
        </w:tc>
        <w:tc>
          <w:tcPr>
            <w:tcW w:w="208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
        </w:tc>
        <w:tc>
          <w:tcPr>
            <w:tcW w:w="9049"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6966"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本设备安装于细菌类</w:t>
            </w:r>
            <w:r>
              <w:rPr>
                <w:szCs w:val="21"/>
                <w:lang w:val="en-US" w:eastAsia="zh-CN"/>
              </w:rPr>
              <w:t>疫苗研究室</w:t>
            </w:r>
            <w:r>
              <w:rPr>
                <w:rFonts w:hint="eastAsia"/>
                <w:szCs w:val="21"/>
                <w:lang w:val="en-US" w:eastAsia="zh-CN"/>
              </w:rPr>
              <w:t>实验室内。</w:t>
            </w:r>
          </w:p>
        </w:tc>
        <w:tc>
          <w:tcPr>
            <w:tcW w:w="2083" w:type="dxa"/>
            <w:shd w:val="clear" w:color="auto" w:fill="auto"/>
            <w:vAlign w:val="center"/>
          </w:tcPr>
          <w:p>
            <w:pPr>
              <w:jc w:val="both"/>
              <w:rPr>
                <w:i/>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
        </w:tc>
        <w:tc>
          <w:tcPr>
            <w:tcW w:w="9049"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6966"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3"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66"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3" w:type="dxa"/>
            <w:shd w:val="clear" w:color="auto" w:fill="auto"/>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
        </w:tc>
        <w:tc>
          <w:tcPr>
            <w:tcW w:w="9049"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2" w:edGrp="everyone"/>
          </w:p>
        </w:tc>
        <w:tc>
          <w:tcPr>
            <w:tcW w:w="6966" w:type="dxa"/>
            <w:shd w:val="clear" w:color="auto" w:fill="auto"/>
            <w:vAlign w:val="center"/>
          </w:tcPr>
          <w:p>
            <w:pPr>
              <w:spacing w:line="360" w:lineRule="auto"/>
              <w:outlineLvl w:val="0"/>
              <w:rPr>
                <w:i/>
                <w:color w:val="0070C0"/>
                <w:szCs w:val="21"/>
                <w:lang w:val="en-US" w:eastAsia="zh-CN"/>
              </w:rPr>
            </w:pPr>
            <w:r>
              <w:rPr>
                <w:rFonts w:hint="eastAsia" w:ascii="宋体" w:hAnsi="宋体"/>
                <w:color w:val="000000"/>
                <w:szCs w:val="21"/>
                <w:lang w:eastAsia="zh-CN"/>
              </w:rPr>
              <w:t>其重量不超出房间地面承重要求。</w:t>
            </w:r>
          </w:p>
        </w:tc>
        <w:tc>
          <w:tcPr>
            <w:tcW w:w="2083" w:type="dxa"/>
            <w:shd w:val="clear" w:color="auto" w:fill="auto"/>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
        </w:tc>
        <w:tc>
          <w:tcPr>
            <w:tcW w:w="9049"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8D8D8" w:themeFill="background1" w:themeFillShade="D9"/>
            <w:vAlign w:val="center"/>
          </w:tcPr>
          <w:p>
            <w:pPr>
              <w:rPr>
                <w:szCs w:val="21"/>
              </w:rPr>
            </w:pPr>
            <w:permStart w:id="13" w:edGrp="everyone"/>
          </w:p>
        </w:tc>
        <w:tc>
          <w:tcPr>
            <w:tcW w:w="9049" w:type="dxa"/>
            <w:gridSpan w:val="2"/>
            <w:shd w:val="clear" w:color="auto" w:fill="auto"/>
            <w:vAlign w:val="center"/>
          </w:tcPr>
          <w:p>
            <w:pPr>
              <w:jc w:val="both"/>
              <w:rPr>
                <w:szCs w:val="21"/>
                <w:lang w:eastAsia="zh-CN"/>
              </w:rPr>
            </w:pPr>
            <w:r>
              <w:rPr>
                <w:rFonts w:hint="eastAsia"/>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ermStart w:id="14" w:edGrp="everyone"/>
            <w:permEnd w:id="14"/>
          </w:p>
        </w:tc>
        <w:tc>
          <w:tcPr>
            <w:tcW w:w="9049"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6966" w:type="dxa"/>
            <w:shd w:val="clear" w:color="auto" w:fill="auto"/>
            <w:vAlign w:val="center"/>
          </w:tcPr>
          <w:p>
            <w:pPr>
              <w:spacing w:line="276" w:lineRule="auto"/>
              <w:jc w:val="both"/>
              <w:rPr>
                <w:iCs/>
                <w:szCs w:val="21"/>
                <w:lang w:eastAsia="zh-CN"/>
              </w:rPr>
            </w:pPr>
            <w:r>
              <w:rPr>
                <w:iCs/>
                <w:lang w:eastAsia="zh-CN"/>
              </w:rPr>
              <w:t>工作环境温度：能适应10</w:t>
            </w:r>
            <w:r>
              <w:rPr>
                <w:rFonts w:hint="eastAsia" w:ascii="宋体" w:hAnsi="宋体" w:cs="宋体"/>
                <w:iCs/>
                <w:lang w:eastAsia="zh-CN"/>
              </w:rPr>
              <w:t>℃</w:t>
            </w:r>
            <w:r>
              <w:rPr>
                <w:iCs/>
                <w:lang w:eastAsia="zh-CN"/>
              </w:rPr>
              <w:t>～32</w:t>
            </w:r>
            <w:r>
              <w:rPr>
                <w:rFonts w:hint="eastAsia" w:ascii="宋体" w:hAnsi="宋体" w:cs="宋体"/>
                <w:iCs/>
                <w:lang w:eastAsia="zh-CN"/>
              </w:rPr>
              <w:t>℃</w:t>
            </w:r>
            <w:r>
              <w:rPr>
                <w:iCs/>
                <w:lang w:eastAsia="zh-CN"/>
              </w:rPr>
              <w:t xml:space="preserve">环境 </w:t>
            </w:r>
          </w:p>
        </w:tc>
        <w:tc>
          <w:tcPr>
            <w:tcW w:w="2083"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6966" w:type="dxa"/>
            <w:shd w:val="clear" w:color="auto" w:fill="auto"/>
            <w:vAlign w:val="center"/>
          </w:tcPr>
          <w:p>
            <w:pPr>
              <w:spacing w:line="276" w:lineRule="auto"/>
              <w:jc w:val="both"/>
              <w:rPr>
                <w:iCs/>
                <w:szCs w:val="21"/>
                <w:lang w:eastAsia="zh-CN"/>
              </w:rPr>
            </w:pPr>
            <w:r>
              <w:rPr>
                <w:color w:val="000000"/>
                <w:lang w:eastAsia="zh-CN"/>
              </w:rPr>
              <w:t>工作环境湿度：至少包括</w:t>
            </w:r>
            <w:r>
              <w:rPr>
                <w:lang w:eastAsia="zh-CN"/>
              </w:rPr>
              <w:t>45%～65%</w:t>
            </w:r>
          </w:p>
        </w:tc>
        <w:tc>
          <w:tcPr>
            <w:tcW w:w="2083"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6966" w:type="dxa"/>
            <w:shd w:val="clear" w:color="auto" w:fill="auto"/>
            <w:vAlign w:val="center"/>
          </w:tcPr>
          <w:p>
            <w:pPr>
              <w:spacing w:line="276" w:lineRule="auto"/>
              <w:jc w:val="both"/>
              <w:rPr>
                <w:iCs/>
                <w:lang w:eastAsia="zh-CN"/>
              </w:rPr>
            </w:pPr>
            <w:r>
              <w:rPr>
                <w:iCs/>
                <w:lang w:eastAsia="zh-CN"/>
              </w:rPr>
              <w:t>工作环境洁净级别：普通区域</w:t>
            </w:r>
            <w:r>
              <w:rPr>
                <w:rFonts w:hint="eastAsia"/>
                <w:iCs/>
                <w:lang w:eastAsia="zh-CN"/>
              </w:rPr>
              <w:t xml:space="preserve"> </w:t>
            </w:r>
          </w:p>
        </w:tc>
        <w:tc>
          <w:tcPr>
            <w:tcW w:w="2083"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
        </w:tc>
        <w:tc>
          <w:tcPr>
            <w:tcW w:w="9049"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6966" w:type="dxa"/>
            <w:shd w:val="clear" w:color="auto" w:fill="auto"/>
            <w:vAlign w:val="center"/>
          </w:tcPr>
          <w:p>
            <w:pPr>
              <w:spacing w:line="276" w:lineRule="auto"/>
              <w:jc w:val="both"/>
              <w:rPr>
                <w:color w:val="000000"/>
                <w:lang w:eastAsia="zh-CN"/>
              </w:rPr>
            </w:pPr>
            <w:r>
              <w:rPr>
                <w:lang w:eastAsia="zh-CN"/>
              </w:rPr>
              <w:t>交流电电源：～220±10%V，50±1Hz</w:t>
            </w:r>
          </w:p>
        </w:tc>
        <w:tc>
          <w:tcPr>
            <w:tcW w:w="2083"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D9D9D9"/>
            <w:vAlign w:val="center"/>
          </w:tcPr>
          <w:p>
            <w:pPr>
              <w:pStyle w:val="32"/>
              <w:numPr>
                <w:ilvl w:val="0"/>
                <w:numId w:val="6"/>
              </w:numPr>
              <w:ind w:firstLineChars="0"/>
              <w:rPr>
                <w:rFonts w:ascii="Times New Roman" w:hAnsi="Times New Roman"/>
                <w:szCs w:val="21"/>
              </w:rPr>
            </w:pPr>
          </w:p>
        </w:tc>
        <w:tc>
          <w:tcPr>
            <w:tcW w:w="9049"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ermStart w:id="19" w:edGrp="everyone"/>
          </w:p>
        </w:tc>
        <w:tc>
          <w:tcPr>
            <w:tcW w:w="6966" w:type="dxa"/>
            <w:shd w:val="clear" w:color="auto" w:fill="auto"/>
            <w:vAlign w:val="center"/>
          </w:tcPr>
          <w:p>
            <w:pPr>
              <w:spacing w:line="276" w:lineRule="auto"/>
              <w:jc w:val="both"/>
              <w:rPr>
                <w:i/>
                <w:color w:val="000000"/>
                <w:lang w:eastAsia="zh-CN"/>
              </w:rPr>
            </w:pPr>
            <w:r>
              <w:rPr>
                <w:color w:val="000000"/>
                <w:lang w:eastAsia="zh-CN"/>
              </w:rPr>
              <w:t>仪器外观应端正、整齐，不得有明显的偏歪、毛刺和锈蚀等缺陷，且仪器内部表面不得有凹陷、毛刺和锈蚀等缺陷。</w:t>
            </w:r>
          </w:p>
        </w:tc>
        <w:tc>
          <w:tcPr>
            <w:tcW w:w="2083"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8"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66"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083" w:type="dxa"/>
            <w:shd w:val="clear" w:color="auto" w:fill="auto"/>
            <w:vAlign w:val="center"/>
          </w:tcPr>
          <w:p>
            <w:pPr>
              <w:jc w:val="both"/>
              <w:rPr>
                <w:szCs w:val="21"/>
                <w:lang w:eastAsia="zh-CN"/>
              </w:rPr>
            </w:pPr>
            <w:r>
              <w:rPr>
                <w:rFonts w:hint="eastAsia"/>
                <w:szCs w:val="21"/>
                <w:lang w:eastAsia="zh-CN"/>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2"/>
        <w:spacing w:before="0" w:line="360" w:lineRule="auto"/>
        <w:ind w:left="357"/>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71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90" w:type="dxa"/>
            <w:shd w:val="clear" w:color="auto" w:fill="D9D9D9"/>
            <w:vAlign w:val="center"/>
          </w:tcPr>
          <w:p>
            <w:pPr>
              <w:jc w:val="center"/>
              <w:rPr>
                <w:b/>
                <w:szCs w:val="21"/>
              </w:rPr>
            </w:pPr>
            <w:r>
              <w:rPr>
                <w:b/>
                <w:szCs w:val="21"/>
              </w:rPr>
              <w:t>编号</w:t>
            </w:r>
          </w:p>
        </w:tc>
        <w:tc>
          <w:tcPr>
            <w:tcW w:w="6963" w:type="dxa"/>
            <w:shd w:val="clear" w:color="auto" w:fill="D9D9D9"/>
            <w:vAlign w:val="center"/>
          </w:tcPr>
          <w:p>
            <w:pPr>
              <w:jc w:val="center"/>
              <w:rPr>
                <w:b/>
                <w:szCs w:val="21"/>
                <w:lang w:eastAsia="zh-CN"/>
              </w:rPr>
            </w:pPr>
            <w:r>
              <w:rPr>
                <w:b/>
                <w:szCs w:val="21"/>
                <w:lang w:eastAsia="zh-CN"/>
              </w:rPr>
              <w:t>需求</w:t>
            </w:r>
          </w:p>
        </w:tc>
        <w:tc>
          <w:tcPr>
            <w:tcW w:w="2084"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D9D9D9"/>
            <w:vAlign w:val="center"/>
          </w:tcPr>
          <w:p>
            <w:pPr>
              <w:pStyle w:val="32"/>
              <w:numPr>
                <w:ilvl w:val="0"/>
                <w:numId w:val="8"/>
              </w:numPr>
              <w:ind w:firstLineChars="0"/>
              <w:rPr>
                <w:rFonts w:ascii="Times New Roman" w:hAnsi="Times New Roman"/>
                <w:szCs w:val="21"/>
              </w:rPr>
            </w:pPr>
          </w:p>
        </w:tc>
        <w:tc>
          <w:tcPr>
            <w:tcW w:w="9047"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D8D8D8" w:themeFill="background1" w:themeFillShade="D9"/>
            <w:vAlign w:val="center"/>
          </w:tcPr>
          <w:p>
            <w:pPr>
              <w:rPr>
                <w:szCs w:val="21"/>
                <w:lang w:eastAsia="zh-CN"/>
              </w:rPr>
            </w:pPr>
            <w:permStart w:id="21" w:edGrp="everyone"/>
          </w:p>
        </w:tc>
        <w:tc>
          <w:tcPr>
            <w:tcW w:w="9047"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D9D9D9"/>
            <w:vAlign w:val="center"/>
          </w:tcPr>
          <w:p>
            <w:pPr>
              <w:pStyle w:val="32"/>
              <w:numPr>
                <w:ilvl w:val="0"/>
                <w:numId w:val="8"/>
              </w:numPr>
              <w:ind w:firstLineChars="0"/>
              <w:rPr>
                <w:rFonts w:ascii="Times New Roman" w:hAnsi="Times New Roman"/>
                <w:szCs w:val="21"/>
              </w:rPr>
            </w:pPr>
          </w:p>
        </w:tc>
        <w:tc>
          <w:tcPr>
            <w:tcW w:w="9047"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6963" w:type="dxa"/>
            <w:shd w:val="clear" w:color="auto" w:fill="auto"/>
            <w:vAlign w:val="center"/>
          </w:tcPr>
          <w:p>
            <w:pPr>
              <w:spacing w:line="360" w:lineRule="auto"/>
              <w:rPr>
                <w:szCs w:val="21"/>
                <w:lang w:eastAsia="zh-CN"/>
              </w:rPr>
            </w:pPr>
            <w:r>
              <w:rPr>
                <w:szCs w:val="21"/>
                <w:lang w:eastAsia="zh-CN"/>
              </w:rPr>
              <w:t>功能涵盖：化学发光，光密度成像，荧光成像等</w:t>
            </w:r>
          </w:p>
        </w:tc>
        <w:tc>
          <w:tcPr>
            <w:tcW w:w="2084"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D9D9D9"/>
            <w:vAlign w:val="center"/>
          </w:tcPr>
          <w:p>
            <w:pPr>
              <w:pStyle w:val="32"/>
              <w:numPr>
                <w:ilvl w:val="0"/>
                <w:numId w:val="8"/>
              </w:numPr>
              <w:ind w:firstLineChars="0"/>
              <w:rPr>
                <w:rFonts w:ascii="Times New Roman" w:hAnsi="Times New Roman"/>
                <w:szCs w:val="21"/>
              </w:rPr>
            </w:pPr>
          </w:p>
        </w:tc>
        <w:tc>
          <w:tcPr>
            <w:tcW w:w="9047"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6963" w:type="dxa"/>
            <w:shd w:val="clear" w:color="auto" w:fill="auto"/>
            <w:vAlign w:val="center"/>
          </w:tcPr>
          <w:p>
            <w:pPr>
              <w:spacing w:line="360" w:lineRule="auto"/>
              <w:rPr>
                <w:color w:val="57585B"/>
                <w:szCs w:val="21"/>
                <w:lang w:val="en-US" w:eastAsia="zh-CN" w:bidi="ar"/>
              </w:rPr>
            </w:pPr>
            <w:r>
              <w:rPr>
                <w:szCs w:val="21"/>
                <w:lang w:eastAsia="zh-CN"/>
              </w:rPr>
              <w:t>CCD检测器：超冷CCD</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6963" w:type="dxa"/>
            <w:shd w:val="clear" w:color="auto" w:fill="auto"/>
            <w:vAlign w:val="center"/>
          </w:tcPr>
          <w:p>
            <w:pPr>
              <w:spacing w:line="360" w:lineRule="auto"/>
              <w:rPr>
                <w:color w:val="57585B"/>
                <w:szCs w:val="21"/>
                <w:lang w:val="en-US" w:eastAsia="zh-CN" w:bidi="ar"/>
              </w:rPr>
            </w:pPr>
            <w:r>
              <w:rPr>
                <w:szCs w:val="21"/>
              </w:rPr>
              <w:t>图像分辨率：4 megapixels</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5" w:edGrp="everyone"/>
          </w:p>
        </w:tc>
        <w:tc>
          <w:tcPr>
            <w:tcW w:w="6963" w:type="dxa"/>
            <w:shd w:val="clear" w:color="auto" w:fill="auto"/>
            <w:vAlign w:val="center"/>
          </w:tcPr>
          <w:p>
            <w:pPr>
              <w:spacing w:line="360" w:lineRule="auto"/>
              <w:rPr>
                <w:szCs w:val="21"/>
              </w:rPr>
            </w:pPr>
            <w:r>
              <w:rPr>
                <w:szCs w:val="21"/>
              </w:rPr>
              <w:t>像素大小：6.45µm×6.45µm</w:t>
            </w:r>
          </w:p>
        </w:tc>
        <w:tc>
          <w:tcPr>
            <w:tcW w:w="2084" w:type="dxa"/>
            <w:shd w:val="clear" w:color="auto" w:fill="auto"/>
            <w:vAlign w:val="center"/>
          </w:tcPr>
          <w:p>
            <w:pPr>
              <w:jc w:val="both"/>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6963" w:type="dxa"/>
            <w:shd w:val="clear" w:color="auto" w:fill="auto"/>
            <w:vAlign w:val="center"/>
          </w:tcPr>
          <w:p>
            <w:pPr>
              <w:spacing w:line="360" w:lineRule="auto"/>
              <w:rPr>
                <w:szCs w:val="21"/>
                <w:lang w:val="en-US" w:eastAsia="zh-CN"/>
              </w:rPr>
            </w:pPr>
            <w:r>
              <w:rPr>
                <w:szCs w:val="21"/>
              </w:rPr>
              <w:t>*CCD暗电流：0.001 e/p/s</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7" w:edGrp="everyone"/>
          </w:p>
        </w:tc>
        <w:tc>
          <w:tcPr>
            <w:tcW w:w="6963" w:type="dxa"/>
            <w:shd w:val="clear" w:color="auto" w:fill="auto"/>
            <w:vAlign w:val="center"/>
          </w:tcPr>
          <w:p>
            <w:pPr>
              <w:spacing w:line="360" w:lineRule="auto"/>
              <w:rPr>
                <w:szCs w:val="21"/>
                <w:lang w:val="en-US" w:eastAsia="zh-CN"/>
              </w:rPr>
            </w:pPr>
            <w:r>
              <w:rPr>
                <w:szCs w:val="21"/>
                <w:lang w:eastAsia="zh-CN"/>
              </w:rPr>
              <w:t>16bit数据采集（65,535灰度级，4.8OD）</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8" w:edGrp="everyone"/>
          </w:p>
        </w:tc>
        <w:tc>
          <w:tcPr>
            <w:tcW w:w="6963" w:type="dxa"/>
            <w:shd w:val="clear" w:color="auto" w:fill="auto"/>
            <w:vAlign w:val="center"/>
          </w:tcPr>
          <w:p>
            <w:pPr>
              <w:spacing w:line="360" w:lineRule="auto"/>
              <w:rPr>
                <w:szCs w:val="21"/>
                <w:lang w:val="en-US" w:eastAsia="zh-CN"/>
              </w:rPr>
            </w:pPr>
            <w:r>
              <w:rPr>
                <w:szCs w:val="21"/>
                <w:lang w:eastAsia="zh-CN"/>
              </w:rPr>
              <w:t>智能样品托盘技术，自动识别插入的样品盘类型，选择成像功能</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28"/>
      <w:tr>
        <w:tblPrEx>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29" w:edGrp="everyone"/>
          </w:p>
        </w:tc>
        <w:tc>
          <w:tcPr>
            <w:tcW w:w="6963" w:type="dxa"/>
            <w:shd w:val="clear" w:color="auto" w:fill="auto"/>
            <w:vAlign w:val="center"/>
          </w:tcPr>
          <w:p>
            <w:pPr>
              <w:spacing w:line="276" w:lineRule="auto"/>
              <w:rPr>
                <w:szCs w:val="21"/>
                <w:lang w:eastAsia="zh-CN"/>
              </w:rPr>
            </w:pPr>
            <w:r>
              <w:rPr>
                <w:szCs w:val="21"/>
                <w:lang w:eastAsia="zh-CN"/>
              </w:rPr>
              <w:t>激发光源：反射白光，透射紫外</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30" w:edGrp="everyone"/>
          </w:p>
        </w:tc>
        <w:tc>
          <w:tcPr>
            <w:tcW w:w="6963" w:type="dxa"/>
            <w:shd w:val="clear" w:color="auto" w:fill="auto"/>
            <w:vAlign w:val="center"/>
          </w:tcPr>
          <w:p>
            <w:pPr>
              <w:spacing w:line="360" w:lineRule="auto"/>
              <w:rPr>
                <w:szCs w:val="21"/>
                <w:lang w:val="en-US" w:eastAsia="zh-CN"/>
              </w:rPr>
            </w:pPr>
            <w:r>
              <w:rPr>
                <w:szCs w:val="21"/>
                <w:lang w:eastAsia="zh-CN"/>
              </w:rPr>
              <w:t>照明控制：5种模式（标配透射UV，反射白光，化学发光），选配透射白光和XcitaBlue转换屏</w:t>
            </w:r>
          </w:p>
        </w:tc>
        <w:tc>
          <w:tcPr>
            <w:tcW w:w="2084" w:type="dxa"/>
            <w:shd w:val="clear" w:color="auto" w:fill="auto"/>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31" w:edGrp="everyone"/>
          </w:p>
        </w:tc>
        <w:tc>
          <w:tcPr>
            <w:tcW w:w="6963" w:type="dxa"/>
            <w:shd w:val="clear" w:color="auto" w:fill="auto"/>
            <w:vAlign w:val="center"/>
          </w:tcPr>
          <w:p>
            <w:pPr>
              <w:spacing w:line="360" w:lineRule="auto"/>
              <w:rPr>
                <w:szCs w:val="21"/>
                <w:lang w:val="en-US" w:eastAsia="zh-CN"/>
              </w:rPr>
            </w:pPr>
            <w:r>
              <w:rPr>
                <w:szCs w:val="21"/>
                <w:lang w:eastAsia="zh-CN"/>
              </w:rPr>
              <w:t>发射滤光片：</w:t>
            </w:r>
            <w:r>
              <w:rPr>
                <w:szCs w:val="21"/>
                <w:lang w:val="en-US" w:eastAsia="zh-CN"/>
              </w:rPr>
              <w:t>至少</w:t>
            </w:r>
            <w:r>
              <w:rPr>
                <w:szCs w:val="21"/>
                <w:lang w:eastAsia="zh-CN"/>
              </w:rPr>
              <w:t>内置1个</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32" w:edGrp="everyone"/>
          </w:p>
        </w:tc>
        <w:tc>
          <w:tcPr>
            <w:tcW w:w="6963" w:type="dxa"/>
            <w:shd w:val="clear" w:color="auto" w:fill="auto"/>
            <w:vAlign w:val="center"/>
          </w:tcPr>
          <w:p>
            <w:pPr>
              <w:spacing w:line="360" w:lineRule="auto"/>
              <w:rPr>
                <w:szCs w:val="21"/>
                <w:lang w:eastAsia="zh-CN"/>
              </w:rPr>
            </w:pPr>
            <w:r>
              <w:rPr>
                <w:szCs w:val="21"/>
                <w:lang w:eastAsia="zh-CN"/>
              </w:rPr>
              <w:t>*最大样品面积28 x 36 cm，最大成像面积26 x 35 cm，UV激发凝胶的最大成像面积25 x 26 cm</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6963" w:type="dxa"/>
            <w:shd w:val="clear" w:color="auto" w:fill="auto"/>
            <w:vAlign w:val="center"/>
          </w:tcPr>
          <w:p>
            <w:pPr>
              <w:spacing w:line="276" w:lineRule="auto"/>
              <w:rPr>
                <w:szCs w:val="21"/>
                <w:lang w:eastAsia="zh-CN"/>
              </w:rPr>
            </w:pPr>
            <w:r>
              <w:rPr>
                <w:szCs w:val="21"/>
                <w:lang w:eastAsia="zh-CN"/>
              </w:rPr>
              <w:t>UV防护板：方便直接用紫外平台进行样品肉眼观察或切胶</w:t>
            </w:r>
          </w:p>
        </w:tc>
        <w:tc>
          <w:tcPr>
            <w:tcW w:w="2084" w:type="dxa"/>
            <w:shd w:val="clear" w:color="auto" w:fill="auto"/>
            <w:vAlign w:val="center"/>
          </w:tcPr>
          <w:p>
            <w:pPr>
              <w:jc w:val="both"/>
              <w:rPr>
                <w:szCs w:val="21"/>
                <w:lang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34" w:edGrp="everyone"/>
          </w:p>
        </w:tc>
        <w:tc>
          <w:tcPr>
            <w:tcW w:w="6963" w:type="dxa"/>
            <w:shd w:val="clear" w:color="auto" w:fill="auto"/>
            <w:vAlign w:val="center"/>
          </w:tcPr>
          <w:p>
            <w:pPr>
              <w:spacing w:line="360" w:lineRule="auto"/>
              <w:rPr>
                <w:szCs w:val="21"/>
                <w:lang w:eastAsia="zh-CN"/>
              </w:rPr>
            </w:pPr>
            <w:r>
              <w:rPr>
                <w:szCs w:val="21"/>
                <w:lang w:eastAsia="zh-CN"/>
              </w:rPr>
              <w:t>具备pre-capture（预曝光）模式，10秒内展示预览图像，并根据所选目的区域，预测最佳曝光时间</w:t>
            </w:r>
          </w:p>
        </w:tc>
        <w:tc>
          <w:tcPr>
            <w:tcW w:w="2084"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D9D9D9"/>
            <w:vAlign w:val="center"/>
          </w:tcPr>
          <w:p>
            <w:pPr>
              <w:pStyle w:val="32"/>
              <w:numPr>
                <w:ilvl w:val="0"/>
                <w:numId w:val="8"/>
              </w:numPr>
              <w:ind w:firstLineChars="0"/>
              <w:rPr>
                <w:rFonts w:ascii="Times New Roman" w:hAnsi="Times New Roman"/>
                <w:szCs w:val="21"/>
              </w:rPr>
            </w:pPr>
            <w:permStart w:id="35" w:edGrp="everyone"/>
            <w:permEnd w:id="35"/>
          </w:p>
        </w:tc>
        <w:tc>
          <w:tcPr>
            <w:tcW w:w="9047"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6963" w:type="dxa"/>
            <w:shd w:val="clear" w:color="auto" w:fill="auto"/>
            <w:vAlign w:val="center"/>
          </w:tcPr>
          <w:p>
            <w:pPr>
              <w:spacing w:line="360" w:lineRule="auto"/>
              <w:rPr>
                <w:szCs w:val="21"/>
                <w:lang w:val="en-US" w:eastAsia="zh-CN"/>
              </w:rPr>
            </w:pPr>
            <w:r>
              <w:rPr>
                <w:szCs w:val="21"/>
                <w:lang w:eastAsia="zh-CN"/>
              </w:rPr>
              <w:t>可通过USB及Ethernet输出原始格式数据，及TIF、JPEG格式图片。数据输出方式：Excel表格式输出、PDF输出</w:t>
            </w:r>
          </w:p>
        </w:tc>
        <w:tc>
          <w:tcPr>
            <w:tcW w:w="208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bookmarkStart w:id="28" w:name="_Toc522716122"/>
            <w:bookmarkStart w:id="29" w:name="_Toc522107742"/>
            <w:bookmarkStart w:id="30" w:name="_Toc482370767"/>
            <w:bookmarkStart w:id="31" w:name="_Toc483400317"/>
            <w:bookmarkStart w:id="32" w:name="_Toc482359946"/>
            <w:bookmarkStart w:id="33" w:name="_Toc483227237"/>
            <w:bookmarkStart w:id="34" w:name="_Toc482360291"/>
            <w:bookmarkStart w:id="35" w:name="_Toc482625289"/>
            <w:bookmarkStart w:id="36" w:name="_Toc482370359"/>
            <w:bookmarkStart w:id="37" w:name="_Toc482370151"/>
            <w:bookmarkStart w:id="38" w:name="_Toc482370071"/>
            <w:bookmarkStart w:id="39" w:name="_Toc482717202"/>
            <w:bookmarkStart w:id="40" w:name="_Toc481702480"/>
            <w:bookmarkStart w:id="41" w:name="_Toc482369815"/>
          </w:p>
        </w:tc>
        <w:tc>
          <w:tcPr>
            <w:tcW w:w="6963" w:type="dxa"/>
            <w:shd w:val="clear" w:color="auto" w:fill="auto"/>
            <w:vAlign w:val="center"/>
          </w:tcPr>
          <w:p>
            <w:pPr>
              <w:spacing w:line="360" w:lineRule="auto"/>
              <w:rPr>
                <w:szCs w:val="21"/>
                <w:lang w:eastAsia="zh-CN"/>
              </w:rPr>
            </w:pPr>
            <w:r>
              <w:rPr>
                <w:szCs w:val="21"/>
                <w:lang w:eastAsia="zh-CN"/>
              </w:rPr>
              <w:t>显示过饱和像素保证精确定量</w:t>
            </w:r>
          </w:p>
        </w:tc>
        <w:tc>
          <w:tcPr>
            <w:tcW w:w="2084"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9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63" w:type="dxa"/>
            <w:shd w:val="clear" w:color="auto" w:fill="auto"/>
            <w:vAlign w:val="center"/>
          </w:tcPr>
          <w:p>
            <w:pPr>
              <w:spacing w:line="360" w:lineRule="auto"/>
              <w:rPr>
                <w:rFonts w:ascii="宋体" w:hAnsi="宋体" w:cs="Arial"/>
                <w:szCs w:val="21"/>
                <w:lang w:eastAsia="zh-CN"/>
              </w:rPr>
            </w:pPr>
            <w:r>
              <w:rPr>
                <w:rFonts w:hint="eastAsia" w:ascii="宋体" w:hAnsi="宋体" w:cs="Arial"/>
                <w:szCs w:val="21"/>
                <w:lang w:eastAsia="zh-CN"/>
              </w:rPr>
              <w:t>电脑分析软件可对数据进行</w:t>
            </w:r>
            <w:r>
              <w:rPr>
                <w:rFonts w:ascii="宋体" w:hAnsi="宋体" w:cs="Arial"/>
                <w:szCs w:val="21"/>
                <w:lang w:eastAsia="zh-CN"/>
              </w:rPr>
              <w:t>优化</w:t>
            </w:r>
            <w:r>
              <w:rPr>
                <w:rFonts w:hint="eastAsia" w:ascii="宋体" w:hAnsi="宋体" w:cs="Arial"/>
                <w:szCs w:val="21"/>
                <w:lang w:eastAsia="zh-CN"/>
              </w:rPr>
              <w:t>、</w:t>
            </w:r>
            <w:r>
              <w:rPr>
                <w:rFonts w:ascii="宋体" w:hAnsi="宋体" w:cs="Arial"/>
                <w:szCs w:val="21"/>
                <w:lang w:eastAsia="zh-CN"/>
              </w:rPr>
              <w:t>定量</w:t>
            </w:r>
            <w:r>
              <w:rPr>
                <w:rFonts w:hint="eastAsia" w:ascii="宋体" w:hAnsi="宋体" w:cs="Arial"/>
                <w:szCs w:val="21"/>
                <w:lang w:eastAsia="zh-CN"/>
              </w:rPr>
              <w:t>、</w:t>
            </w:r>
            <w:r>
              <w:rPr>
                <w:rFonts w:ascii="宋体" w:hAnsi="宋体" w:cs="Arial"/>
                <w:szCs w:val="21"/>
                <w:lang w:eastAsia="zh-CN"/>
              </w:rPr>
              <w:t>分析图</w:t>
            </w:r>
            <w:r>
              <w:rPr>
                <w:rFonts w:hint="eastAsia" w:ascii="宋体" w:hAnsi="宋体" w:cs="Arial"/>
                <w:szCs w:val="21"/>
                <w:lang w:eastAsia="zh-CN"/>
              </w:rPr>
              <w:t>像及报告输出</w:t>
            </w:r>
          </w:p>
        </w:tc>
        <w:tc>
          <w:tcPr>
            <w:tcW w:w="2084" w:type="dxa"/>
            <w:shd w:val="clear" w:color="auto" w:fill="auto"/>
            <w:vAlign w:val="center"/>
          </w:tcPr>
          <w:p>
            <w:pPr>
              <w:jc w:val="both"/>
              <w:rPr>
                <w:szCs w:val="21"/>
                <w:lang w:eastAsia="zh-CN"/>
              </w:rPr>
            </w:pPr>
            <w:r>
              <w:rPr>
                <w:rFonts w:hint="eastAsia"/>
                <w:szCs w:val="21"/>
                <w:lang w:eastAsia="zh-CN"/>
              </w:rPr>
              <w:t>关键</w:t>
            </w:r>
          </w:p>
        </w:tc>
      </w:tr>
      <w:permEnd w:id="36"/>
    </w:tbl>
    <w:p>
      <w:pPr>
        <w:pStyle w:val="32"/>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p>
      <w:pPr>
        <w:pStyle w:val="42"/>
        <w:spacing w:before="0" w:line="360" w:lineRule="auto"/>
        <w:ind w:left="425"/>
        <w:jc w:val="left"/>
        <w:rPr>
          <w:i/>
          <w:color w:val="4472C4"/>
          <w:szCs w:val="21"/>
          <w:lang w:eastAsia="zh-CN"/>
        </w:rPr>
      </w:pPr>
      <w:permStart w:id="37" w:edGrp="everyone"/>
    </w:p>
    <w:permEnd w:id="37"/>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6995"/>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38" w:edGrp="everyone"/>
          </w:p>
        </w:tc>
        <w:tc>
          <w:tcPr>
            <w:tcW w:w="6942" w:type="dxa"/>
            <w:shd w:val="clear" w:color="auto" w:fill="auto"/>
            <w:vAlign w:val="center"/>
          </w:tcPr>
          <w:p>
            <w:pPr>
              <w:rPr>
                <w:rFonts w:ascii="Arial" w:hAnsi="Arial" w:eastAsia="仿宋_GB2312" w:cs="Arial"/>
                <w:szCs w:val="21"/>
                <w:lang w:eastAsia="zh-CN"/>
              </w:rPr>
            </w:pPr>
            <w:r>
              <w:rPr>
                <w:rFonts w:hint="eastAsia"/>
                <w:szCs w:val="21"/>
                <w:lang w:eastAsia="zh-CN"/>
              </w:rPr>
              <w:t>具有故障报警功能</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rPr>
                <w:rFonts w:ascii="Arial" w:hAnsi="Arial" w:eastAsia="仿宋_GB2312" w:cs="Arial"/>
                <w:szCs w:val="21"/>
                <w:lang w:eastAsia="zh-CN"/>
              </w:rPr>
            </w:pPr>
            <w:r>
              <w:rPr>
                <w:rFonts w:hint="eastAsia"/>
                <w:szCs w:val="21"/>
                <w:lang w:eastAsia="zh-CN"/>
              </w:rPr>
              <w:t>系统断电对系统设置及数据完整性无影响</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rPr>
                <w:szCs w:val="21"/>
                <w:lang w:eastAsia="zh-CN"/>
              </w:rPr>
            </w:pPr>
            <w:r>
              <w:rPr>
                <w:rFonts w:hint="eastAsia"/>
                <w:iCs/>
                <w:szCs w:val="21"/>
                <w:lang w:eastAsia="zh-CN"/>
              </w:rPr>
              <w:t>应有接入局域网的能力以及对实验室数据信息管理系统兼容性</w:t>
            </w:r>
          </w:p>
        </w:tc>
        <w:tc>
          <w:tcPr>
            <w:tcW w:w="2308" w:type="dxa"/>
            <w:shd w:val="clear" w:color="auto" w:fill="auto"/>
            <w:vAlign w:val="center"/>
          </w:tcPr>
          <w:p>
            <w:pPr>
              <w:jc w:val="both"/>
              <w:rPr>
                <w:szCs w:val="21"/>
                <w:lang w:eastAsia="zh-CN"/>
              </w:rPr>
            </w:pPr>
            <w:r>
              <w:rPr>
                <w:rFonts w:hint="eastAsia"/>
                <w:szCs w:val="21"/>
                <w:lang w:eastAsia="zh-CN"/>
              </w:rPr>
              <w:t>期望</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ermStart w:id="39" w:edGrp="everyone"/>
            <w:permEnd w:id="39"/>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6942" w:type="dxa"/>
            <w:shd w:val="clear" w:color="auto" w:fill="auto"/>
            <w:vAlign w:val="center"/>
          </w:tcPr>
          <w:p>
            <w:pPr>
              <w:spacing w:line="276" w:lineRule="auto"/>
              <w:jc w:val="both"/>
              <w:rPr>
                <w:rFonts w:ascii="宋体" w:hAnsi="宋体"/>
                <w:szCs w:val="21"/>
                <w:lang w:eastAsia="zh-CN"/>
              </w:rPr>
            </w:pPr>
            <w:r>
              <w:rPr>
                <w:rFonts w:hint="eastAsia"/>
                <w:iCs/>
                <w:szCs w:val="21"/>
                <w:lang w:eastAsia="zh-CN"/>
              </w:rPr>
              <w:t>系统可兼容w</w:t>
            </w:r>
            <w:r>
              <w:rPr>
                <w:iCs/>
                <w:szCs w:val="21"/>
                <w:lang w:eastAsia="zh-CN"/>
              </w:rPr>
              <w:t>indows</w:t>
            </w:r>
            <w:r>
              <w:rPr>
                <w:rFonts w:hint="eastAsia"/>
                <w:iCs/>
                <w:szCs w:val="21"/>
                <w:lang w:eastAsia="zh-CN"/>
              </w:rPr>
              <w:t>系统权限划分，在w</w:t>
            </w:r>
            <w:r>
              <w:rPr>
                <w:iCs/>
                <w:szCs w:val="21"/>
                <w:lang w:eastAsia="zh-CN"/>
              </w:rPr>
              <w:t>indows</w:t>
            </w:r>
            <w:r>
              <w:rPr>
                <w:rFonts w:hint="eastAsia"/>
                <w:iCs/>
                <w:szCs w:val="21"/>
                <w:lang w:eastAsia="zh-CN"/>
              </w:rPr>
              <w:t>系统各级权限下可正常运行，且w</w:t>
            </w:r>
            <w:r>
              <w:rPr>
                <w:iCs/>
                <w:szCs w:val="21"/>
                <w:lang w:eastAsia="zh-CN"/>
              </w:rPr>
              <w:t>indows</w:t>
            </w:r>
            <w:r>
              <w:rPr>
                <w:rFonts w:hint="eastAsia"/>
                <w:iCs/>
                <w:szCs w:val="21"/>
                <w:lang w:eastAsia="zh-CN"/>
              </w:rPr>
              <w:t>账户的删除不影响该账户下的数据完整性，即其数据不得丢失。</w:t>
            </w:r>
          </w:p>
        </w:tc>
        <w:tc>
          <w:tcPr>
            <w:tcW w:w="2308"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szCs w:val="21"/>
                <w:lang w:eastAsia="zh-CN"/>
              </w:rPr>
            </w:pPr>
            <w:r>
              <w:rPr>
                <w:rFonts w:ascii="宋体" w:hAnsi="宋体"/>
                <w:szCs w:val="21"/>
                <w:lang w:eastAsia="zh-CN"/>
              </w:rPr>
              <w:t>仪器软件具有至少</w:t>
            </w:r>
            <w:r>
              <w:rPr>
                <w:rFonts w:hint="eastAsia" w:ascii="宋体" w:hAnsi="宋体"/>
                <w:szCs w:val="21"/>
                <w:lang w:val="en-US" w:eastAsia="zh-CN"/>
              </w:rPr>
              <w:t>3</w:t>
            </w:r>
            <w:r>
              <w:rPr>
                <w:rFonts w:ascii="宋体" w:hAnsi="宋体"/>
                <w:szCs w:val="21"/>
                <w:lang w:eastAsia="zh-CN"/>
              </w:rPr>
              <w:t>级用户分层权限管理及密码管理的功能</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szCs w:val="21"/>
                <w:lang w:eastAsia="zh-CN"/>
              </w:rPr>
            </w:pPr>
            <w:r>
              <w:rPr>
                <w:rFonts w:ascii="宋体" w:hAnsi="宋体"/>
                <w:szCs w:val="21"/>
                <w:lang w:eastAsia="zh-CN"/>
              </w:rPr>
              <w:t>仪器软件应可以设置多个用户，并有用户分级管理功能，每个等级拥有相应的可设置权限</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系统应可以为每个用户创建唯一的用户名和密码</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系统应不允许两个或多个用户拥有相同的用户名</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应有权限功能防止系统时间被更改</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屏幕显示的结果与打印报告应是一致的。</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用户在密码输入时，电脑显示器上应不显示实际密码（比如密码会以*或其他符合显示）</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系统管理员应可以重置密码</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应有安全保护以防止未授权的用户账号和密码进行使用，比如</w:t>
            </w:r>
            <w:r>
              <w:rPr>
                <w:rFonts w:hint="eastAsia" w:ascii="宋体" w:hAnsi="宋体"/>
                <w:szCs w:val="21"/>
                <w:lang w:eastAsia="zh-CN"/>
              </w:rPr>
              <w:t>3</w:t>
            </w:r>
            <w:r>
              <w:rPr>
                <w:rFonts w:ascii="宋体" w:hAnsi="宋体"/>
                <w:szCs w:val="21"/>
                <w:lang w:eastAsia="zh-CN"/>
              </w:rPr>
              <w:t>次无效登录尝试后将锁定账户等</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系统管理员应可以激活锁住的账户</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系统必须具有超时强制退出要求重新登录的功能。</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系统应可以允许用户和管理员更改自己的密码</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系统应可设置密码效期，如3个月</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系统应可提示密码效期信息以提醒用户更改密码。</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系统应有审计追踪功能，可以记录系统和安全的事件，比如登录登出、密码更改、方法参数更改、记录删除及操作人员和日期时间等</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审计追踪记录应不可被删除或更改</w:t>
            </w:r>
            <w:r>
              <w:rPr>
                <w:rFonts w:hint="eastAsia" w:ascii="宋体" w:hAnsi="宋体"/>
                <w:szCs w:val="21"/>
                <w:lang w:eastAsia="zh-CN"/>
              </w:rPr>
              <w:t>，满足21 CFR Part 11要求</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系统应可以新增、修改和禁用账户，这些权限应可被系统管理员禁用。</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应有控制措施以防止电子记录从应用软件外面被修改或删除。</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报告格式应包含以下内容：日期，名称，运行时间，产品名称，运行号等</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报告应为只读的格式</w:t>
            </w:r>
            <w:r>
              <w:rPr>
                <w:rFonts w:hint="eastAsia" w:ascii="宋体" w:hAnsi="宋体"/>
                <w:szCs w:val="21"/>
                <w:lang w:eastAsia="zh-CN"/>
              </w:rPr>
              <w:t>，</w:t>
            </w:r>
            <w:r>
              <w:rPr>
                <w:rFonts w:hint="eastAsia"/>
                <w:iCs/>
                <w:szCs w:val="21"/>
                <w:lang w:eastAsia="zh-CN"/>
              </w:rPr>
              <w:t>可查询、输出、备份恢复、打印。</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使用者应不能修改测试结果</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hint="eastAsia"/>
                <w:iCs/>
                <w:szCs w:val="21"/>
                <w:lang w:eastAsia="zh-CN"/>
              </w:rPr>
              <w:t>系统存储容量应满足所有电子记录可存储至产品有效期后1年</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rFonts w:ascii="宋体" w:hAnsi="宋体"/>
                <w:szCs w:val="21"/>
                <w:lang w:eastAsia="zh-CN"/>
              </w:rPr>
            </w:pPr>
            <w:r>
              <w:rPr>
                <w:rFonts w:hint="eastAsia"/>
                <w:iCs/>
                <w:szCs w:val="21"/>
                <w:lang w:eastAsia="zh-CN"/>
              </w:rPr>
              <w:t>系统断电恢复不影响系统及参数设置、数据完整性，恢复后系统可正常运行</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iCs/>
                <w:szCs w:val="21"/>
                <w:lang w:eastAsia="zh-CN"/>
              </w:rPr>
            </w:pPr>
            <w:r>
              <w:rPr>
                <w:rFonts w:hint="eastAsia"/>
                <w:iCs/>
                <w:szCs w:val="21"/>
                <w:lang w:eastAsia="zh-CN"/>
              </w:rPr>
              <w:t>供应商提供系统及程序备份盘及备份恢复说明</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iCs/>
                <w:szCs w:val="21"/>
                <w:lang w:eastAsia="zh-CN"/>
              </w:rPr>
            </w:pPr>
            <w:r>
              <w:rPr>
                <w:rFonts w:hint="eastAsia"/>
                <w:iCs/>
                <w:szCs w:val="21"/>
                <w:lang w:eastAsia="zh-CN"/>
              </w:rPr>
              <w:t>系统程序软件必须为正版</w:t>
            </w:r>
          </w:p>
        </w:tc>
        <w:tc>
          <w:tcPr>
            <w:tcW w:w="230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42" w:type="dxa"/>
            <w:shd w:val="clear" w:color="auto" w:fill="auto"/>
            <w:vAlign w:val="center"/>
          </w:tcPr>
          <w:p>
            <w:pPr>
              <w:spacing w:line="276" w:lineRule="auto"/>
              <w:jc w:val="both"/>
              <w:rPr>
                <w:iCs/>
                <w:szCs w:val="21"/>
                <w:lang w:eastAsia="zh-CN"/>
              </w:rPr>
            </w:pPr>
            <w:r>
              <w:rPr>
                <w:rFonts w:hint="eastAsia"/>
                <w:iCs/>
                <w:szCs w:val="21"/>
                <w:lang w:eastAsia="zh-CN"/>
              </w:rPr>
              <w:t>若有操作系统，则操作系统必须为正版，若操作系统为</w:t>
            </w:r>
            <w:r>
              <w:rPr>
                <w:iCs/>
                <w:szCs w:val="21"/>
                <w:lang w:eastAsia="zh-CN"/>
              </w:rPr>
              <w:t>Windows</w:t>
            </w:r>
            <w:r>
              <w:rPr>
                <w:rFonts w:hint="eastAsia"/>
                <w:iCs/>
                <w:szCs w:val="21"/>
                <w:lang w:eastAsia="zh-CN"/>
              </w:rPr>
              <w:t>，必须为专业版以上版本。</w:t>
            </w:r>
          </w:p>
        </w:tc>
        <w:tc>
          <w:tcPr>
            <w:tcW w:w="2308" w:type="dxa"/>
            <w:shd w:val="clear" w:color="auto" w:fill="auto"/>
            <w:vAlign w:val="center"/>
          </w:tcPr>
          <w:p>
            <w:pPr>
              <w:jc w:val="both"/>
              <w:rPr>
                <w:szCs w:val="21"/>
                <w:lang w:eastAsia="zh-CN"/>
              </w:rPr>
            </w:pPr>
            <w:r>
              <w:rPr>
                <w:rFonts w:hint="eastAsia"/>
                <w:szCs w:val="21"/>
                <w:lang w:eastAsia="zh-CN"/>
              </w:rPr>
              <w:t>关键</w:t>
            </w:r>
          </w:p>
        </w:tc>
      </w:tr>
      <w:permEnd w:id="40"/>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2"/>
        <w:spacing w:before="0" w:line="360" w:lineRule="auto"/>
        <w:ind w:left="357"/>
        <w:jc w:val="left"/>
        <w:rPr>
          <w:i/>
          <w:color w:val="4472C4"/>
          <w:szCs w:val="21"/>
          <w:lang w:eastAsia="zh-CN"/>
        </w:rPr>
      </w:pPr>
      <w:permStart w:id="41" w:edGrp="everyone"/>
    </w:p>
    <w:permEnd w:id="4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c>
          <w:tcPr>
            <w:tcW w:w="2125" w:type="dxa"/>
            <w:shd w:val="clear" w:color="auto" w:fill="auto"/>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ermStart w:id="42" w:edGrp="everyone"/>
          </w:p>
        </w:tc>
        <w:tc>
          <w:tcPr>
            <w:tcW w:w="7128" w:type="dxa"/>
            <w:shd w:val="clear" w:color="auto" w:fill="D9D9D9"/>
            <w:vAlign w:val="center"/>
          </w:tcPr>
          <w:p>
            <w:pPr>
              <w:jc w:val="both"/>
              <w:rPr>
                <w:szCs w:val="21"/>
                <w:lang w:eastAsia="zh-CN"/>
              </w:rPr>
            </w:pPr>
            <w:r>
              <w:rPr>
                <w:szCs w:val="21"/>
                <w:lang w:eastAsia="zh-CN"/>
              </w:rPr>
              <w:t>电气</w:t>
            </w:r>
            <w:permEnd w:id="42"/>
            <w:r>
              <w:rPr>
                <w:szCs w:val="21"/>
                <w:lang w:eastAsia="zh-CN"/>
              </w:rPr>
              <w:t>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122" w:type="dxa"/>
            <w:shd w:val="clear" w:color="auto" w:fill="auto"/>
            <w:vAlign w:val="center"/>
          </w:tcPr>
          <w:p>
            <w:pPr>
              <w:pStyle w:val="6"/>
              <w:rPr>
                <w:lang w:eastAsia="zh-CN"/>
              </w:rPr>
            </w:pPr>
            <w:r>
              <w:rPr>
                <w:lang w:eastAsia="zh-CN"/>
              </w:rPr>
              <w:t>凝胶成像仪应有良好的接地保护；</w:t>
            </w:r>
            <w:r>
              <w:rPr>
                <w:rFonts w:hint="eastAsia"/>
                <w:lang w:eastAsia="zh-CN"/>
              </w:rPr>
              <w:t>防尘防水能力应达到IP63及以上。</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3"/>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42"/>
        <w:spacing w:before="0" w:line="360" w:lineRule="auto"/>
        <w:ind w:left="357"/>
        <w:jc w:val="left"/>
        <w:rPr>
          <w:i/>
          <w:szCs w:val="21"/>
          <w:lang w:eastAsia="zh-CN"/>
        </w:rPr>
      </w:pPr>
      <w:permStart w:id="44" w:edGrp="everyone"/>
    </w:p>
    <w:permEnd w:id="4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6970" w:type="dxa"/>
            <w:shd w:val="clear" w:color="auto" w:fill="auto"/>
            <w:vAlign w:val="center"/>
          </w:tcPr>
          <w:p>
            <w:pPr>
              <w:jc w:val="both"/>
              <w:rPr>
                <w:szCs w:val="21"/>
                <w:lang w:eastAsia="zh-CN"/>
              </w:rPr>
            </w:pPr>
            <w:r>
              <w:rPr>
                <w:szCs w:val="21"/>
                <w:lang w:eastAsia="zh-CN"/>
              </w:rPr>
              <w:t xml:space="preserve"> </w:t>
            </w:r>
            <w:r>
              <w:rPr>
                <w:rFonts w:hint="eastAsia"/>
                <w:szCs w:val="21"/>
                <w:lang w:eastAsia="zh-CN"/>
              </w:rPr>
              <w:t>投标文件、合同及订单。</w:t>
            </w:r>
            <w:r>
              <w:rPr>
                <w:rFonts w:hint="eastAsia" w:ascii="宋体" w:hAnsi="宋体"/>
                <w:szCs w:val="21"/>
                <w:lang w:val="en-US" w:eastAsia="zh-CN"/>
              </w:rPr>
              <w:t>提交时限：设备开箱验收</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ermStart w:id="46" w:edGrp="everyone"/>
          </w:p>
        </w:tc>
        <w:tc>
          <w:tcPr>
            <w:tcW w:w="6970" w:type="dxa"/>
            <w:shd w:val="clear" w:color="auto" w:fill="auto"/>
            <w:vAlign w:val="center"/>
          </w:tcPr>
          <w:p>
            <w:pPr>
              <w:jc w:val="both"/>
              <w:rPr>
                <w:rFonts w:hAnsi="宋体"/>
                <w:szCs w:val="21"/>
                <w:u w:color="333333"/>
                <w:lang w:val="zh-TW" w:eastAsia="zh-TW"/>
              </w:rPr>
            </w:pPr>
            <w:r>
              <w:rPr>
                <w:rFonts w:hint="eastAsia"/>
                <w:szCs w:val="21"/>
                <w:lang w:eastAsia="zh-CN"/>
              </w:rPr>
              <w:t>卖方发运清单及相关检验报告。</w:t>
            </w:r>
            <w:r>
              <w:rPr>
                <w:rFonts w:hint="eastAsia" w:ascii="宋体" w:hAnsi="宋体"/>
                <w:szCs w:val="21"/>
                <w:lang w:val="en-US" w:eastAsia="zh-CN"/>
              </w:rPr>
              <w:t>提交时限：设备开箱验收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系统功能配置清单及说明，包含各组件名称、编号、型号、规格、品牌、材质等。</w:t>
            </w:r>
            <w:r>
              <w:rPr>
                <w:rFonts w:hint="eastAsia" w:ascii="宋体" w:hAnsi="宋体"/>
                <w:szCs w:val="21"/>
                <w:lang w:val="en-US" w:eastAsia="zh-CN"/>
              </w:rPr>
              <w:t>提交时限：设备开箱验收。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各种必要的合格证，包括部件合格证、第三方校验合格报告、材质证书等。</w:t>
            </w:r>
            <w:r>
              <w:rPr>
                <w:rFonts w:hint="eastAsia" w:ascii="宋体" w:hAnsi="宋体"/>
                <w:szCs w:val="21"/>
                <w:lang w:val="en-US" w:eastAsia="zh-CN"/>
              </w:rPr>
              <w:t>提交时限：设备开箱验收。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现场验收测试（</w:t>
            </w:r>
            <w:r>
              <w:rPr>
                <w:szCs w:val="21"/>
                <w:lang w:eastAsia="zh-CN"/>
              </w:rPr>
              <w:t>SAT</w:t>
            </w:r>
            <w:r>
              <w:rPr>
                <w:rFonts w:hint="eastAsia"/>
                <w:szCs w:val="21"/>
                <w:lang w:eastAsia="zh-CN"/>
              </w:rPr>
              <w:t>）报告</w:t>
            </w:r>
          </w:p>
        </w:tc>
        <w:tc>
          <w:tcPr>
            <w:tcW w:w="2082"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整机运行及维护手册应为中文，纸质文件至少一式三份，</w:t>
            </w:r>
            <w:r>
              <w:rPr>
                <w:rFonts w:hint="eastAsia" w:hAnsi="宋体"/>
                <w:szCs w:val="21"/>
                <w:u w:color="333333"/>
                <w:lang w:eastAsia="zh-CN"/>
              </w:rPr>
              <w:t>电子版</w:t>
            </w:r>
            <w:r>
              <w:rPr>
                <w:rFonts w:hint="eastAsia"/>
                <w:szCs w:val="21"/>
                <w:lang w:eastAsia="zh-CN"/>
              </w:rPr>
              <w:t>至少一份</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零配件、部件、易损件、备件及仪器仪表清单：包括编号、对应厂家名称、生产地、规格及必要说明。</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ermStart w:id="47" w:edGrp="everyone"/>
          </w:p>
        </w:tc>
        <w:tc>
          <w:tcPr>
            <w:tcW w:w="6970" w:type="dxa"/>
            <w:shd w:val="clear" w:color="auto" w:fill="auto"/>
            <w:vAlign w:val="center"/>
          </w:tcPr>
          <w:p>
            <w:pPr>
              <w:rPr>
                <w:szCs w:val="21"/>
                <w:u w:color="333333"/>
                <w:lang w:eastAsia="zh-CN"/>
              </w:rPr>
            </w:pPr>
            <w:r>
              <w:rPr>
                <w:rFonts w:hint="eastAsia" w:hAnsi="宋体"/>
                <w:szCs w:val="21"/>
                <w:u w:color="333333"/>
                <w:lang w:val="zh-TW" w:eastAsia="zh-TW"/>
              </w:rPr>
              <w:t>验证文件：</w:t>
            </w:r>
            <w:r>
              <w:rPr>
                <w:rFonts w:hint="eastAsia" w:hAnsi="宋体"/>
                <w:szCs w:val="21"/>
                <w:u w:color="333333"/>
                <w:lang w:eastAsia="zh-TW"/>
              </w:rPr>
              <w:t>应在合同签订后设备发运前交付审核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szCs w:val="21"/>
                <w:lang w:eastAsia="zh-CN"/>
              </w:rPr>
            </w:pPr>
            <w:r>
              <w:rPr>
                <w:rFonts w:hint="eastAsia"/>
                <w:szCs w:val="21"/>
                <w:lang w:eastAsia="zh-CN"/>
              </w:rPr>
              <w:t>（6）验证总结报告（</w:t>
            </w:r>
            <w:r>
              <w:rPr>
                <w:szCs w:val="21"/>
                <w:lang w:eastAsia="zh-CN"/>
              </w:rPr>
              <w:t>VSR</w:t>
            </w:r>
            <w:r>
              <w:rPr>
                <w:rFonts w:hint="eastAsia"/>
                <w:szCs w:val="21"/>
                <w:lang w:eastAsia="zh-CN"/>
              </w:rPr>
              <w:t>）</w:t>
            </w:r>
          </w:p>
          <w:p>
            <w:pPr>
              <w:rPr>
                <w:szCs w:val="21"/>
                <w:lang w:eastAsia="zh-CN"/>
              </w:rPr>
            </w:pPr>
            <w:r>
              <w:rPr>
                <w:rFonts w:hint="eastAsia"/>
                <w:szCs w:val="21"/>
                <w:lang w:eastAsia="zh-CN"/>
              </w:rPr>
              <w:t>（7）设备生产商负责制定设备验证计划、评估文件、</w:t>
            </w:r>
            <w:r>
              <w:rPr>
                <w:szCs w:val="21"/>
                <w:lang w:eastAsia="zh-CN"/>
              </w:rPr>
              <w:t>DQ/IQ/OQ</w:t>
            </w:r>
            <w:r>
              <w:rPr>
                <w:rFonts w:hint="eastAsia"/>
                <w:szCs w:val="21"/>
                <w:lang w:eastAsia="zh-CN"/>
              </w:rPr>
              <w:t>验证文件、验证总结报告，并负责验证工作的实施，该验证文件作为设备必备文件。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6970" w:type="dxa"/>
            <w:shd w:val="clear" w:color="auto" w:fill="auto"/>
            <w:vAlign w:val="center"/>
          </w:tcPr>
          <w:p>
            <w:pPr>
              <w:rPr>
                <w:rFonts w:ascii="宋体" w:hAnsi="宋体"/>
                <w:szCs w:val="21"/>
                <w:u w:color="333333"/>
                <w:lang w:eastAsia="zh-CN"/>
              </w:rPr>
            </w:pPr>
            <w:r>
              <w:rPr>
                <w:rFonts w:hint="eastAsia" w:ascii="宋体" w:hAnsi="宋体"/>
                <w:szCs w:val="21"/>
                <w:u w:color="333333"/>
                <w:lang w:val="zh-TW" w:eastAsia="zh-TW"/>
              </w:rPr>
              <w:t>文件具体要求：</w:t>
            </w:r>
          </w:p>
          <w:p>
            <w:pPr>
              <w:rPr>
                <w:rFonts w:ascii="宋体" w:hAnsi="宋体"/>
                <w:szCs w:val="21"/>
                <w:u w:color="333333"/>
                <w:lang w:eastAsia="zh-CN"/>
              </w:rPr>
            </w:pPr>
            <w:r>
              <w:rPr>
                <w:rFonts w:hint="eastAsia" w:ascii="宋体" w:hAnsi="宋体"/>
                <w:szCs w:val="21"/>
                <w:u w:color="333333"/>
                <w:lang w:val="zh-TW" w:eastAsia="zh-TW"/>
              </w:rPr>
              <w:t>（</w:t>
            </w:r>
            <w:r>
              <w:rPr>
                <w:rFonts w:ascii="宋体" w:hAnsi="宋体"/>
                <w:szCs w:val="21"/>
                <w:u w:color="333333"/>
                <w:lang w:eastAsia="zh-CN"/>
              </w:rPr>
              <w:t>1</w:t>
            </w:r>
            <w:r>
              <w:rPr>
                <w:rFonts w:hint="eastAsia" w:ascii="宋体" w:hAnsi="宋体"/>
                <w:szCs w:val="21"/>
                <w:u w:color="333333"/>
                <w:lang w:val="zh-TW" w:eastAsia="zh-TW"/>
              </w:rPr>
              <w:t>）系统相关方案中，应明确本系统的配置、规格，并且通过分析阐述每一个系统环节的必要性；</w:t>
            </w:r>
          </w:p>
          <w:p>
            <w:pPr>
              <w:rPr>
                <w:rFonts w:ascii="宋体" w:hAnsi="宋体"/>
                <w:szCs w:val="21"/>
                <w:u w:color="333333"/>
                <w:lang w:val="zh-TW" w:eastAsia="zh-TW"/>
              </w:rPr>
            </w:pPr>
            <w:r>
              <w:rPr>
                <w:rFonts w:hint="eastAsia" w:ascii="宋体" w:hAnsi="宋体"/>
                <w:szCs w:val="21"/>
                <w:u w:color="333333"/>
                <w:lang w:val="zh-TW" w:eastAsia="zh-TW"/>
              </w:rPr>
              <w:t>（</w:t>
            </w:r>
            <w:r>
              <w:rPr>
                <w:rFonts w:ascii="宋体" w:hAnsi="宋体"/>
                <w:szCs w:val="21"/>
                <w:u w:color="333333"/>
                <w:lang w:eastAsia="zh-CN"/>
              </w:rPr>
              <w:t>2</w:t>
            </w:r>
            <w:r>
              <w:rPr>
                <w:rFonts w:hint="eastAsia" w:ascii="宋体" w:hAnsi="宋体"/>
                <w:szCs w:val="21"/>
                <w:u w:color="333333"/>
                <w:lang w:val="zh-TW" w:eastAsia="zh-TW"/>
              </w:rPr>
              <w:t>）标书中明确系统所有组件的品牌、材质、型号，并且注明每一个组件的保修期；</w:t>
            </w:r>
          </w:p>
          <w:p>
            <w:pPr>
              <w:rPr>
                <w:rFonts w:ascii="宋体" w:hAnsi="宋体" w:cs="宋体"/>
                <w:color w:val="000000"/>
                <w:szCs w:val="21"/>
                <w:lang w:val="en-US" w:eastAsia="zh-CN" w:bidi="ar"/>
              </w:rPr>
            </w:pPr>
            <w:r>
              <w:rPr>
                <w:rFonts w:hint="eastAsia" w:ascii="宋体" w:hAnsi="宋体"/>
                <w:szCs w:val="21"/>
                <w:u w:color="333333"/>
                <w:lang w:eastAsia="zh-TW"/>
              </w:rPr>
              <w:t>（</w:t>
            </w:r>
            <w:r>
              <w:rPr>
                <w:rFonts w:ascii="宋体" w:hAnsi="宋体"/>
                <w:szCs w:val="21"/>
                <w:u w:color="333333"/>
                <w:lang w:eastAsia="zh-TW"/>
              </w:rPr>
              <w:t>3</w:t>
            </w:r>
            <w:r>
              <w:rPr>
                <w:rFonts w:hint="eastAsia" w:ascii="宋体" w:hAnsi="宋体"/>
                <w:szCs w:val="21"/>
                <w:u w:color="333333"/>
                <w:lang w:eastAsia="zh-TW"/>
              </w:rPr>
              <w:t>）除另有约定外，上述文件中方案或计划类文件应在合同签订后设备发运前交付审核</w:t>
            </w:r>
            <w:r>
              <w:rPr>
                <w:rFonts w:hint="eastAsia" w:ascii="宋体" w:hAnsi="宋体"/>
                <w:szCs w:val="21"/>
                <w:u w:color="333333"/>
                <w:lang w:eastAsia="zh-CN"/>
              </w:rPr>
              <w:t>，并在设备开箱验收时将最终批准的电子版全套资料交工程技术部存档。</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7"/>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2"/>
        <w:spacing w:before="0" w:line="360" w:lineRule="auto"/>
        <w:ind w:left="357"/>
        <w:jc w:val="left"/>
        <w:rPr>
          <w:i/>
          <w:color w:val="4472C4"/>
          <w:szCs w:val="21"/>
          <w:lang w:eastAsia="zh-CN"/>
        </w:rPr>
      </w:pPr>
      <w:permStart w:id="48" w:edGrp="everyone"/>
    </w:p>
    <w:permEnd w:id="4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7118"/>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49" w:edGrp="everyone"/>
          </w:p>
        </w:tc>
        <w:tc>
          <w:tcPr>
            <w:tcW w:w="712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设备供应商应免费对设备使用方人员进行全面培训，包括对生产操作人员及设备维护、维修人员，并填写培训记录。</w:t>
            </w:r>
          </w:p>
        </w:tc>
        <w:tc>
          <w:tcPr>
            <w:tcW w:w="2128" w:type="dxa"/>
            <w:shd w:val="clear" w:color="auto" w:fill="auto"/>
            <w:vAlign w:val="center"/>
          </w:tcPr>
          <w:p>
            <w:pPr>
              <w:jc w:val="both"/>
              <w:rPr>
                <w:szCs w:val="21"/>
                <w:lang w:eastAsia="zh-CN"/>
              </w:rPr>
            </w:pPr>
            <w:r>
              <w:rPr>
                <w:rFonts w:hint="eastAsia"/>
                <w:szCs w:val="21"/>
                <w:lang w:eastAsia="zh-CN"/>
              </w:rPr>
              <w:t>关键</w:t>
            </w:r>
          </w:p>
        </w:tc>
      </w:tr>
      <w:permEnd w:id="49"/>
      <w:tr>
        <w:tblPrEx>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0" w:edGrp="everyone"/>
          </w:p>
        </w:tc>
        <w:tc>
          <w:tcPr>
            <w:tcW w:w="712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生产操作人员培训包括设备结构原理、性能、操作、清洗消毒、故障排除等基本知识。合格标准为用户参加培训人员能够独立正确操作设备，会排除常见故障。</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1" w:edGrp="everyone"/>
          </w:p>
        </w:tc>
        <w:tc>
          <w:tcPr>
            <w:tcW w:w="7122" w:type="dxa"/>
            <w:shd w:val="clear" w:color="auto" w:fill="auto"/>
            <w:vAlign w:val="center"/>
          </w:tcPr>
          <w:p>
            <w:pPr>
              <w:spacing w:line="276" w:lineRule="auto"/>
              <w:jc w:val="both"/>
              <w:rPr>
                <w:rFonts w:ascii="宋体" w:hAnsi="宋体"/>
                <w:szCs w:val="21"/>
                <w:lang w:eastAsia="zh-CN"/>
              </w:rPr>
            </w:pPr>
            <w:r>
              <w:rPr>
                <w:rFonts w:ascii="宋体" w:hAnsi="宋体"/>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2" w:edGrp="everyone"/>
          </w:p>
        </w:tc>
        <w:tc>
          <w:tcPr>
            <w:tcW w:w="7122" w:type="dxa"/>
            <w:shd w:val="clear" w:color="auto" w:fill="auto"/>
            <w:vAlign w:val="center"/>
          </w:tcPr>
          <w:p>
            <w:pPr>
              <w:spacing w:line="276" w:lineRule="auto"/>
              <w:jc w:val="both"/>
              <w:rPr>
                <w:szCs w:val="21"/>
                <w:lang w:eastAsia="zh-CN"/>
              </w:rPr>
            </w:pPr>
            <w:r>
              <w:rPr>
                <w:rFonts w:ascii="宋体" w:hAnsi="宋体"/>
                <w:szCs w:val="21"/>
                <w:lang w:eastAsia="zh-CN"/>
              </w:rPr>
              <w:t>设备运输在运输途中需做好防护措施，不得有任何损伤。</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3" w:edGrp="everyone"/>
          </w:p>
        </w:tc>
        <w:tc>
          <w:tcPr>
            <w:tcW w:w="7122" w:type="dxa"/>
            <w:shd w:val="clear" w:color="auto" w:fill="auto"/>
            <w:vAlign w:val="center"/>
          </w:tcPr>
          <w:p>
            <w:pPr>
              <w:rPr>
                <w:lang w:eastAsia="zh-CN"/>
              </w:rPr>
            </w:pPr>
            <w:r>
              <w:rPr>
                <w:rFonts w:hint="eastAsia"/>
                <w:lang w:eastAsia="zh-CN"/>
              </w:rPr>
              <w:t>验证包括验证计划、</w:t>
            </w:r>
            <w:r>
              <w:rPr>
                <w:lang w:eastAsia="zh-CN"/>
              </w:rPr>
              <w:t>IQ</w:t>
            </w:r>
            <w:r>
              <w:rPr>
                <w:rFonts w:hint="eastAsia"/>
                <w:lang w:eastAsia="zh-CN"/>
              </w:rPr>
              <w:t>、</w:t>
            </w:r>
            <w:r>
              <w:rPr>
                <w:lang w:eastAsia="zh-CN"/>
              </w:rPr>
              <w:t>OQ</w:t>
            </w:r>
            <w:r>
              <w:rPr>
                <w:rFonts w:hint="eastAsia"/>
                <w:lang w:eastAsia="zh-CN"/>
              </w:rPr>
              <w:t>、文件与服务，供应商必须派出具备该类系统验证经验，且熟悉验证相关文件编写及验证工作实施的验证工程师开展验证工作。厂家协助完成</w:t>
            </w:r>
            <w:r>
              <w:rPr>
                <w:lang w:eastAsia="zh-CN"/>
              </w:rPr>
              <w:t>PQ</w:t>
            </w:r>
            <w:r>
              <w:rPr>
                <w:rFonts w:hint="eastAsia"/>
                <w:lang w:eastAsia="zh-CN"/>
              </w:rPr>
              <w:t>。</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ascii="Calibri" w:hAnsi="Calibri" w:cs="Calibri"/>
                <w:szCs w:val="21"/>
                <w:lang w:eastAsia="zh-CN"/>
              </w:rPr>
            </w:pPr>
            <w:r>
              <w:rPr>
                <w:rFonts w:hint="eastAsia"/>
                <w:lang w:eastAsia="zh-CN"/>
              </w:rPr>
              <w:t>各验证工作开始前验证方案需经过本公司相关部门审核，并经质量保证部批准。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ascii="Calibri" w:hAnsi="Calibri" w:cs="Calibri"/>
                <w:szCs w:val="21"/>
                <w:lang w:eastAsia="zh-CN"/>
              </w:rPr>
            </w:pPr>
            <w:r>
              <w:rPr>
                <w:rFonts w:hint="eastAsia"/>
                <w:lang w:eastAsia="zh-CN"/>
              </w:rPr>
              <w:t>验证工作应按时保质完成，供应商需提供验证工作计划表</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ascii="Calibri" w:hAnsi="Calibri" w:cs="Calibri"/>
                <w:szCs w:val="21"/>
                <w:lang w:eastAsia="zh-CN"/>
              </w:rPr>
            </w:pPr>
            <w:r>
              <w:rPr>
                <w:rFonts w:hint="eastAsia"/>
                <w:lang w:eastAsia="zh-CN"/>
              </w:rPr>
              <w:t>验证项目应包含法规要求的测试项目，以及本公司提出的测试项目。</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ascii="Calibri" w:hAnsi="Calibri" w:cs="Calibri"/>
                <w:szCs w:val="21"/>
                <w:lang w:eastAsia="zh-CN"/>
              </w:rPr>
            </w:pPr>
            <w:r>
              <w:rPr>
                <w:rFonts w:hint="eastAsia"/>
                <w:lang w:eastAsia="zh-CN"/>
              </w:rPr>
              <w:t>验证工作完成后，验证记录经本公司相关部门审核，并经质量保证部批准。</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rPr>
                <w:rFonts w:ascii="Calibri" w:hAnsi="Calibri" w:cs="Calibri"/>
                <w:szCs w:val="21"/>
                <w:lang w:eastAsia="zh-CN"/>
              </w:rPr>
            </w:pPr>
            <w:r>
              <w:rPr>
                <w:rFonts w:hint="eastAsia"/>
                <w:lang w:eastAsia="zh-CN"/>
              </w:rPr>
              <w:t>验收前，验证工作已成功完成，验证最终报告已经本公司相关部门审核，并经质量保证部批准。</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ermStart w:id="54" w:edGrp="everyone"/>
            <w:permEnd w:id="54"/>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5" w:edGrp="everyone"/>
          </w:p>
        </w:tc>
        <w:tc>
          <w:tcPr>
            <w:tcW w:w="7122" w:type="dxa"/>
            <w:shd w:val="clear" w:color="auto" w:fill="auto"/>
            <w:vAlign w:val="center"/>
          </w:tcPr>
          <w:p>
            <w:pPr>
              <w:pStyle w:val="7"/>
              <w:spacing w:line="360" w:lineRule="auto"/>
              <w:rPr>
                <w:sz w:val="21"/>
                <w:lang w:val="en-US" w:eastAsia="zh-CN"/>
              </w:rPr>
            </w:pPr>
            <w:r>
              <w:rPr>
                <w:sz w:val="21"/>
                <w:lang w:eastAsia="zh-CN"/>
              </w:rPr>
              <w:t>设备保质期从确认验收文件签署之后开始计算</w:t>
            </w:r>
            <w:r>
              <w:rPr>
                <w:rFonts w:hint="eastAsia"/>
                <w:sz w:val="21"/>
                <w:lang w:eastAsia="zh-CN"/>
              </w:rPr>
              <w:t>，质保一年：软件终生免费升级，硬件验收合格之日起质保1</w:t>
            </w:r>
            <w:r>
              <w:rPr>
                <w:sz w:val="21"/>
                <w:lang w:eastAsia="zh-CN"/>
              </w:rPr>
              <w:t>2</w:t>
            </w:r>
            <w:r>
              <w:rPr>
                <w:rFonts w:hint="eastAsia"/>
                <w:sz w:val="21"/>
                <w:lang w:eastAsia="zh-CN"/>
              </w:rPr>
              <w:t>个月，服务2</w:t>
            </w:r>
            <w:r>
              <w:rPr>
                <w:sz w:val="21"/>
                <w:lang w:eastAsia="zh-CN"/>
              </w:rPr>
              <w:t>4</w:t>
            </w:r>
            <w:r>
              <w:rPr>
                <w:rFonts w:hint="eastAsia"/>
                <w:sz w:val="21"/>
                <w:lang w:eastAsia="zh-CN"/>
              </w:rPr>
              <w:t>小时工作日响应，7</w:t>
            </w:r>
            <w:r>
              <w:rPr>
                <w:sz w:val="21"/>
                <w:lang w:eastAsia="zh-CN"/>
              </w:rPr>
              <w:t>2</w:t>
            </w:r>
            <w:r>
              <w:rPr>
                <w:rFonts w:hint="eastAsia"/>
                <w:sz w:val="21"/>
                <w:lang w:eastAsia="zh-CN"/>
              </w:rPr>
              <w:t>小时工作日上门服务。</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pStyle w:val="42"/>
              <w:spacing w:line="360" w:lineRule="auto"/>
              <w:rPr>
                <w:iCs/>
                <w:color w:val="FF0000"/>
                <w:szCs w:val="24"/>
                <w:lang w:eastAsia="zh-CN"/>
              </w:rPr>
            </w:pPr>
            <w:r>
              <w:rPr>
                <w:rFonts w:hint="eastAsia"/>
                <w:lang w:eastAsia="zh-CN"/>
              </w:rPr>
              <w:t>主机一台，</w:t>
            </w:r>
            <w:r>
              <w:rPr>
                <w:rFonts w:hint="eastAsia"/>
                <w:iCs/>
                <w:szCs w:val="24"/>
                <w:lang w:eastAsia="zh-CN"/>
              </w:rPr>
              <w:t>电脑一台，</w:t>
            </w:r>
            <w:r>
              <w:rPr>
                <w:iCs/>
                <w:szCs w:val="24"/>
                <w:lang w:eastAsia="zh-CN"/>
              </w:rPr>
              <w:t>化学发光样品盘</w:t>
            </w:r>
            <w:r>
              <w:rPr>
                <w:rFonts w:hint="eastAsia"/>
                <w:iCs/>
                <w:szCs w:val="24"/>
                <w:lang w:eastAsia="zh-CN"/>
              </w:rPr>
              <w:t>、</w:t>
            </w:r>
            <w:r>
              <w:rPr>
                <w:iCs/>
                <w:szCs w:val="24"/>
                <w:lang w:eastAsia="zh-CN"/>
              </w:rPr>
              <w:t>控制软件、电源线</w:t>
            </w:r>
            <w:r>
              <w:rPr>
                <w:rFonts w:hint="eastAsia"/>
                <w:iCs/>
                <w:szCs w:val="24"/>
                <w:lang w:eastAsia="zh-CN"/>
              </w:rPr>
              <w:t>和</w:t>
            </w:r>
            <w:r>
              <w:rPr>
                <w:iCs/>
                <w:szCs w:val="24"/>
                <w:lang w:eastAsia="zh-CN"/>
              </w:rPr>
              <w:t>操作手册</w:t>
            </w:r>
            <w:r>
              <w:rPr>
                <w:rFonts w:hint="eastAsia"/>
                <w:iCs/>
                <w:szCs w:val="24"/>
                <w:lang w:eastAsia="zh-CN"/>
              </w:rPr>
              <w:t>，还应有可选的图像</w:t>
            </w:r>
            <w:r>
              <w:rPr>
                <w:iCs/>
                <w:szCs w:val="24"/>
                <w:lang w:eastAsia="zh-CN"/>
              </w:rPr>
              <w:t>分析软件</w:t>
            </w:r>
            <w:r>
              <w:rPr>
                <w:rFonts w:hint="eastAsia"/>
                <w:iCs/>
                <w:szCs w:val="24"/>
                <w:lang w:eastAsia="zh-CN"/>
              </w:rPr>
              <w:t>，安装正版的</w:t>
            </w:r>
            <w:r>
              <w:rPr>
                <w:iCs/>
                <w:szCs w:val="24"/>
                <w:lang w:eastAsia="zh-CN"/>
              </w:rPr>
              <w:t>windows</w:t>
            </w:r>
            <w:r>
              <w:rPr>
                <w:rFonts w:hint="eastAsia"/>
                <w:iCs/>
                <w:szCs w:val="24"/>
                <w:lang w:eastAsia="zh-CN"/>
              </w:rPr>
              <w:t>系统，且为w</w:t>
            </w:r>
            <w:r>
              <w:rPr>
                <w:iCs/>
                <w:szCs w:val="24"/>
                <w:lang w:eastAsia="zh-CN"/>
              </w:rPr>
              <w:t>in10</w:t>
            </w:r>
            <w:r>
              <w:rPr>
                <w:rFonts w:hint="eastAsia"/>
                <w:iCs/>
                <w:szCs w:val="24"/>
                <w:lang w:eastAsia="zh-CN"/>
              </w:rPr>
              <w:t>专业版以上。</w:t>
            </w:r>
            <w:r>
              <w:rPr>
                <w:lang w:eastAsia="zh-CN"/>
              </w:rPr>
              <w:t xml:space="preserve"> </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shd w:val="clear" w:color="auto" w:fill="auto"/>
            <w:vAlign w:val="center"/>
          </w:tcPr>
          <w:p>
            <w:pPr>
              <w:pStyle w:val="7"/>
              <w:spacing w:line="360" w:lineRule="auto"/>
              <w:rPr>
                <w:sz w:val="21"/>
                <w:lang w:eastAsia="zh-CN"/>
              </w:rPr>
            </w:pPr>
            <w:r>
              <w:rPr>
                <w:sz w:val="21"/>
                <w:lang w:eastAsia="zh-CN"/>
              </w:rPr>
              <w:t>售后服务必须响应及时，要求仪器出现须厂家维修的故障后，应在4小时内明确答复，当电话沟通无法解决时，须48小时内派人至现场解决。</w:t>
            </w:r>
          </w:p>
        </w:tc>
        <w:tc>
          <w:tcPr>
            <w:tcW w:w="2128"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6" w:edGrp="everyone"/>
          </w:p>
        </w:tc>
        <w:tc>
          <w:tcPr>
            <w:tcW w:w="7122" w:type="dxa"/>
            <w:shd w:val="clear" w:color="auto" w:fill="auto"/>
            <w:vAlign w:val="center"/>
          </w:tcPr>
          <w:p>
            <w:pPr>
              <w:pStyle w:val="7"/>
              <w:spacing w:line="360" w:lineRule="auto"/>
              <w:rPr>
                <w:sz w:val="21"/>
                <w:lang w:eastAsia="zh-CN"/>
              </w:rPr>
            </w:pPr>
            <w:r>
              <w:rPr>
                <w:sz w:val="21"/>
                <w:lang w:eastAsia="zh-CN"/>
              </w:rPr>
              <w:t>免费保修期后，厂家应终生提供及时的维修、维护，厂家应定期回访，解决仪器运行当中可能出现的疑问，排除潜在故障，使仪器保持良好工作状态。</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7" w:edGrp="everyone"/>
          </w:p>
        </w:tc>
        <w:tc>
          <w:tcPr>
            <w:tcW w:w="7122" w:type="dxa"/>
            <w:shd w:val="clear" w:color="auto" w:fill="auto"/>
            <w:vAlign w:val="center"/>
          </w:tcPr>
          <w:p>
            <w:pPr>
              <w:pStyle w:val="7"/>
              <w:spacing w:line="360" w:lineRule="auto"/>
              <w:rPr>
                <w:sz w:val="24"/>
                <w:lang w:eastAsia="zh-CN"/>
              </w:rPr>
            </w:pPr>
            <w:r>
              <w:rPr>
                <w:sz w:val="21"/>
                <w:lang w:eastAsia="zh-CN"/>
              </w:rPr>
              <w:t>厂家应</w:t>
            </w:r>
            <w:r>
              <w:rPr>
                <w:rFonts w:hint="eastAsia"/>
                <w:color w:val="000000"/>
                <w:sz w:val="21"/>
                <w:lang w:eastAsia="zh-CN"/>
              </w:rPr>
              <w:t>提供可满足两年设备运行需要的易损零部件及零部件清单，</w:t>
            </w:r>
            <w:r>
              <w:rPr>
                <w:sz w:val="21"/>
                <w:lang w:eastAsia="zh-CN"/>
              </w:rPr>
              <w:t>用于仪器相应部件的维修、更换。</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58" w:edGrp="everyone"/>
          </w:p>
        </w:tc>
        <w:tc>
          <w:tcPr>
            <w:tcW w:w="7122" w:type="dxa"/>
            <w:shd w:val="clear" w:color="auto" w:fill="auto"/>
            <w:vAlign w:val="center"/>
          </w:tcPr>
          <w:p>
            <w:pPr>
              <w:pStyle w:val="7"/>
              <w:spacing w:line="360" w:lineRule="auto"/>
              <w:rPr>
                <w:sz w:val="21"/>
                <w:lang w:val="en-US" w:eastAsia="zh-CN"/>
              </w:rPr>
            </w:pPr>
            <w:r>
              <w:rPr>
                <w:rFonts w:hint="eastAsia"/>
                <w:sz w:val="21"/>
                <w:lang w:eastAsia="zh-CN"/>
              </w:rPr>
              <w:t>厂家能长期提供设备运行需要的零部件。</w:t>
            </w:r>
          </w:p>
        </w:tc>
        <w:tc>
          <w:tcPr>
            <w:tcW w:w="2128" w:type="dxa"/>
            <w:shd w:val="clear" w:color="auto" w:fill="auto"/>
            <w:vAlign w:val="center"/>
          </w:tcPr>
          <w:p>
            <w:pPr>
              <w:jc w:val="both"/>
              <w:rPr>
                <w:szCs w:val="21"/>
                <w:lang w:eastAsia="zh-CN"/>
              </w:rPr>
            </w:pPr>
            <w:r>
              <w:rPr>
                <w:rFonts w:hint="eastAsia"/>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ermStart w:id="59" w:edGrp="everyone"/>
            <w:permEnd w:id="59"/>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60" w:edGrp="everyone"/>
          </w:p>
        </w:tc>
        <w:tc>
          <w:tcPr>
            <w:tcW w:w="7122" w:type="dxa"/>
            <w:shd w:val="clear" w:color="auto" w:fill="auto"/>
            <w:vAlign w:val="center"/>
          </w:tcPr>
          <w:p>
            <w:pPr>
              <w:pStyle w:val="7"/>
              <w:spacing w:line="360" w:lineRule="auto"/>
              <w:rPr>
                <w:sz w:val="21"/>
                <w:lang w:eastAsia="zh-CN"/>
              </w:rPr>
            </w:pPr>
            <w:r>
              <w:rPr>
                <w:sz w:val="21"/>
                <w:lang w:eastAsia="zh-CN"/>
              </w:rPr>
              <w:t>货物到达买方使用现场后，由买卖双方共同验收，卖方工程师免费为买方提供调试。</w:t>
            </w:r>
          </w:p>
        </w:tc>
        <w:tc>
          <w:tcPr>
            <w:tcW w:w="2128" w:type="dxa"/>
            <w:shd w:val="clear" w:color="auto" w:fill="auto"/>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61" w:edGrp="everyone"/>
          </w:p>
        </w:tc>
        <w:tc>
          <w:tcPr>
            <w:tcW w:w="7122" w:type="dxa"/>
            <w:shd w:val="clear" w:color="auto" w:fill="auto"/>
            <w:vAlign w:val="center"/>
          </w:tcPr>
          <w:p>
            <w:pPr>
              <w:pStyle w:val="7"/>
              <w:spacing w:line="360" w:lineRule="auto"/>
              <w:rPr>
                <w:sz w:val="21"/>
                <w:lang w:eastAsia="zh-CN"/>
              </w:rPr>
            </w:pPr>
            <w:r>
              <w:rPr>
                <w:sz w:val="21"/>
                <w:lang w:eastAsia="zh-CN"/>
              </w:rPr>
              <w:t>供应商进厂安装需遵守安全和安装规定。</w:t>
            </w:r>
          </w:p>
        </w:tc>
        <w:tc>
          <w:tcPr>
            <w:tcW w:w="2128" w:type="dxa"/>
            <w:shd w:val="clear" w:color="auto" w:fill="auto"/>
            <w:vAlign w:val="center"/>
          </w:tcPr>
          <w:p>
            <w:pPr>
              <w:jc w:val="both"/>
              <w:rPr>
                <w:szCs w:val="21"/>
                <w:lang w:eastAsia="zh-CN"/>
              </w:rPr>
            </w:pPr>
            <w:r>
              <w:rPr>
                <w:rFonts w:hint="eastAsia"/>
                <w:szCs w:val="21"/>
                <w:lang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62" w:edGrp="everyone"/>
          </w:p>
        </w:tc>
        <w:tc>
          <w:tcPr>
            <w:tcW w:w="7122" w:type="dxa"/>
            <w:shd w:val="clear" w:color="auto" w:fill="auto"/>
            <w:vAlign w:val="center"/>
          </w:tcPr>
          <w:p>
            <w:pPr>
              <w:pStyle w:val="7"/>
              <w:spacing w:line="460" w:lineRule="exact"/>
              <w:rPr>
                <w:color w:val="000000"/>
                <w:sz w:val="21"/>
                <w:lang w:eastAsia="zh-CN"/>
              </w:rPr>
            </w:pPr>
            <w:r>
              <w:rPr>
                <w:sz w:val="21"/>
                <w:lang w:eastAsia="zh-CN"/>
              </w:rPr>
              <w:t>确认调试验收合格后，买卖双方签订验收报告。</w:t>
            </w:r>
          </w:p>
        </w:tc>
        <w:tc>
          <w:tcPr>
            <w:tcW w:w="2128" w:type="dxa"/>
            <w:shd w:val="clear" w:color="auto" w:fill="auto"/>
            <w:vAlign w:val="center"/>
          </w:tcPr>
          <w:p>
            <w:pPr>
              <w:jc w:val="both"/>
              <w:rPr>
                <w:szCs w:val="21"/>
                <w:lang w:eastAsia="zh-CN"/>
              </w:rPr>
            </w:pPr>
            <w:r>
              <w:rPr>
                <w:rFonts w:hint="eastAsia"/>
                <w:szCs w:val="21"/>
                <w:lang w:eastAsia="zh-CN"/>
              </w:rPr>
              <w:t>关键</w:t>
            </w:r>
          </w:p>
        </w:tc>
      </w:tr>
      <w:permEnd w:id="62"/>
    </w:tbl>
    <w:p/>
    <w:p>
      <w:pPr>
        <w:pStyle w:val="32"/>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2"/>
        <w:spacing w:before="0" w:line="360" w:lineRule="auto"/>
        <w:ind w:left="357"/>
        <w:jc w:val="left"/>
        <w:rPr>
          <w:color w:val="4472C4"/>
          <w:szCs w:val="21"/>
          <w:lang w:eastAsia="zh-CN"/>
        </w:rPr>
      </w:pPr>
      <w:permStart w:id="63" w:edGrp="everyone"/>
      <w:r>
        <w:rPr>
          <w:rFonts w:hint="eastAsia"/>
          <w:szCs w:val="21"/>
          <w:lang w:eastAsia="zh-CN"/>
        </w:rPr>
        <w:t>不适用</w:t>
      </w:r>
      <w:permEnd w:id="63"/>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1129"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040"/>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640"/>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079"/>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524"/>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0A5E"/>
    <w:rsid w:val="000D112B"/>
    <w:rsid w:val="000D1A63"/>
    <w:rsid w:val="000D1A79"/>
    <w:rsid w:val="000D37C7"/>
    <w:rsid w:val="000D3B24"/>
    <w:rsid w:val="000D43C9"/>
    <w:rsid w:val="000D517D"/>
    <w:rsid w:val="000D5775"/>
    <w:rsid w:val="000D5BCC"/>
    <w:rsid w:val="000D6D1E"/>
    <w:rsid w:val="000D6FF9"/>
    <w:rsid w:val="000D7C49"/>
    <w:rsid w:val="000E0DDB"/>
    <w:rsid w:val="000E17B5"/>
    <w:rsid w:val="000E3C4E"/>
    <w:rsid w:val="000E41B5"/>
    <w:rsid w:val="000E51FF"/>
    <w:rsid w:val="000E5684"/>
    <w:rsid w:val="000E5B57"/>
    <w:rsid w:val="000F0D08"/>
    <w:rsid w:val="000F2CD3"/>
    <w:rsid w:val="000F36B9"/>
    <w:rsid w:val="000F3A00"/>
    <w:rsid w:val="000F4E03"/>
    <w:rsid w:val="000F606A"/>
    <w:rsid w:val="000F706D"/>
    <w:rsid w:val="00100F65"/>
    <w:rsid w:val="0010110F"/>
    <w:rsid w:val="00102DC6"/>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AEB"/>
    <w:rsid w:val="00132F4C"/>
    <w:rsid w:val="00134C68"/>
    <w:rsid w:val="00135FD6"/>
    <w:rsid w:val="001374CF"/>
    <w:rsid w:val="00143952"/>
    <w:rsid w:val="001442AB"/>
    <w:rsid w:val="0014477D"/>
    <w:rsid w:val="00144D00"/>
    <w:rsid w:val="00145034"/>
    <w:rsid w:val="00145DC7"/>
    <w:rsid w:val="00145F74"/>
    <w:rsid w:val="00146568"/>
    <w:rsid w:val="00146E52"/>
    <w:rsid w:val="00147F9E"/>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14C8"/>
    <w:rsid w:val="001C239E"/>
    <w:rsid w:val="001C2D7E"/>
    <w:rsid w:val="001D1FA0"/>
    <w:rsid w:val="001D32D4"/>
    <w:rsid w:val="001D3C96"/>
    <w:rsid w:val="001D4383"/>
    <w:rsid w:val="001D4742"/>
    <w:rsid w:val="001D474B"/>
    <w:rsid w:val="001D48B0"/>
    <w:rsid w:val="001D5549"/>
    <w:rsid w:val="001E0210"/>
    <w:rsid w:val="001E0376"/>
    <w:rsid w:val="001E13E0"/>
    <w:rsid w:val="001E2B2B"/>
    <w:rsid w:val="001E353E"/>
    <w:rsid w:val="001E3CBE"/>
    <w:rsid w:val="001E5657"/>
    <w:rsid w:val="001E5F94"/>
    <w:rsid w:val="001E744F"/>
    <w:rsid w:val="001E78DB"/>
    <w:rsid w:val="001F065A"/>
    <w:rsid w:val="001F1FE7"/>
    <w:rsid w:val="001F25DD"/>
    <w:rsid w:val="001F3552"/>
    <w:rsid w:val="001F473D"/>
    <w:rsid w:val="001F4BFD"/>
    <w:rsid w:val="001F7405"/>
    <w:rsid w:val="001F7E95"/>
    <w:rsid w:val="00201487"/>
    <w:rsid w:val="00203D68"/>
    <w:rsid w:val="0020539A"/>
    <w:rsid w:val="00205E00"/>
    <w:rsid w:val="00206107"/>
    <w:rsid w:val="00206A56"/>
    <w:rsid w:val="002070B2"/>
    <w:rsid w:val="0020756B"/>
    <w:rsid w:val="00210177"/>
    <w:rsid w:val="00212297"/>
    <w:rsid w:val="002129BC"/>
    <w:rsid w:val="00212BD9"/>
    <w:rsid w:val="00213AA9"/>
    <w:rsid w:val="002168FE"/>
    <w:rsid w:val="00217048"/>
    <w:rsid w:val="002178C5"/>
    <w:rsid w:val="002206EE"/>
    <w:rsid w:val="00220757"/>
    <w:rsid w:val="00222993"/>
    <w:rsid w:val="00223661"/>
    <w:rsid w:val="00224129"/>
    <w:rsid w:val="00225DD2"/>
    <w:rsid w:val="002279A2"/>
    <w:rsid w:val="00227A0D"/>
    <w:rsid w:val="002320D9"/>
    <w:rsid w:val="00234C07"/>
    <w:rsid w:val="002355FF"/>
    <w:rsid w:val="002367A6"/>
    <w:rsid w:val="00236BE9"/>
    <w:rsid w:val="00237461"/>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0938"/>
    <w:rsid w:val="002A18C8"/>
    <w:rsid w:val="002A42F8"/>
    <w:rsid w:val="002A547B"/>
    <w:rsid w:val="002A588E"/>
    <w:rsid w:val="002A7980"/>
    <w:rsid w:val="002B0A7C"/>
    <w:rsid w:val="002B14F3"/>
    <w:rsid w:val="002B2F85"/>
    <w:rsid w:val="002B480A"/>
    <w:rsid w:val="002B67A2"/>
    <w:rsid w:val="002B6854"/>
    <w:rsid w:val="002C1817"/>
    <w:rsid w:val="002C1DAB"/>
    <w:rsid w:val="002C4FCF"/>
    <w:rsid w:val="002C527C"/>
    <w:rsid w:val="002C62E2"/>
    <w:rsid w:val="002D0253"/>
    <w:rsid w:val="002D03CD"/>
    <w:rsid w:val="002D0CD8"/>
    <w:rsid w:val="002D2477"/>
    <w:rsid w:val="002D2AAB"/>
    <w:rsid w:val="002D4389"/>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0A2B"/>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5216"/>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C7A6F"/>
    <w:rsid w:val="003D2243"/>
    <w:rsid w:val="003D3C09"/>
    <w:rsid w:val="003D464A"/>
    <w:rsid w:val="003D4EFF"/>
    <w:rsid w:val="003D5F4A"/>
    <w:rsid w:val="003D662C"/>
    <w:rsid w:val="003D77E5"/>
    <w:rsid w:val="003E49F8"/>
    <w:rsid w:val="003E5109"/>
    <w:rsid w:val="003E60EE"/>
    <w:rsid w:val="003E6B48"/>
    <w:rsid w:val="003E748F"/>
    <w:rsid w:val="003F376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2D68"/>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2ABB"/>
    <w:rsid w:val="004D48C2"/>
    <w:rsid w:val="004D67B1"/>
    <w:rsid w:val="004D7128"/>
    <w:rsid w:val="004D751D"/>
    <w:rsid w:val="004E05C2"/>
    <w:rsid w:val="004E0B02"/>
    <w:rsid w:val="004E0C0D"/>
    <w:rsid w:val="004E255F"/>
    <w:rsid w:val="004E44E1"/>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5CDC"/>
    <w:rsid w:val="0055679E"/>
    <w:rsid w:val="0056090D"/>
    <w:rsid w:val="00561E9C"/>
    <w:rsid w:val="0056534A"/>
    <w:rsid w:val="00565C7A"/>
    <w:rsid w:val="00567E14"/>
    <w:rsid w:val="005705A7"/>
    <w:rsid w:val="0057277E"/>
    <w:rsid w:val="00572F0E"/>
    <w:rsid w:val="00574D60"/>
    <w:rsid w:val="00575318"/>
    <w:rsid w:val="0057626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51B"/>
    <w:rsid w:val="005C4D05"/>
    <w:rsid w:val="005C506B"/>
    <w:rsid w:val="005C71BF"/>
    <w:rsid w:val="005C723D"/>
    <w:rsid w:val="005C7601"/>
    <w:rsid w:val="005D1094"/>
    <w:rsid w:val="005D3394"/>
    <w:rsid w:val="005D3989"/>
    <w:rsid w:val="005D42FF"/>
    <w:rsid w:val="005D53C1"/>
    <w:rsid w:val="005E2725"/>
    <w:rsid w:val="005E65FA"/>
    <w:rsid w:val="005E6C10"/>
    <w:rsid w:val="005F01FA"/>
    <w:rsid w:val="005F19CE"/>
    <w:rsid w:val="005F28F4"/>
    <w:rsid w:val="005F43BB"/>
    <w:rsid w:val="005F503E"/>
    <w:rsid w:val="005F6CB3"/>
    <w:rsid w:val="005F7612"/>
    <w:rsid w:val="005F7663"/>
    <w:rsid w:val="005F7D63"/>
    <w:rsid w:val="00607170"/>
    <w:rsid w:val="006071A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4A3E"/>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A0059"/>
    <w:rsid w:val="006A7425"/>
    <w:rsid w:val="006B058A"/>
    <w:rsid w:val="006B1299"/>
    <w:rsid w:val="006B26D9"/>
    <w:rsid w:val="006B310C"/>
    <w:rsid w:val="006B664C"/>
    <w:rsid w:val="006C06AD"/>
    <w:rsid w:val="006C1125"/>
    <w:rsid w:val="006C1C83"/>
    <w:rsid w:val="006C3E78"/>
    <w:rsid w:val="006C54E6"/>
    <w:rsid w:val="006C5762"/>
    <w:rsid w:val="006C690D"/>
    <w:rsid w:val="006D149F"/>
    <w:rsid w:val="006D3396"/>
    <w:rsid w:val="006D5AFF"/>
    <w:rsid w:val="006E050C"/>
    <w:rsid w:val="006E152B"/>
    <w:rsid w:val="006E36D1"/>
    <w:rsid w:val="006E3A66"/>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3E8"/>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8EB"/>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1A36"/>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517"/>
    <w:rsid w:val="008478A1"/>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5E8"/>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6A4D"/>
    <w:rsid w:val="008D7A8B"/>
    <w:rsid w:val="008E1935"/>
    <w:rsid w:val="008E41D3"/>
    <w:rsid w:val="008E43F1"/>
    <w:rsid w:val="008E594F"/>
    <w:rsid w:val="008E7312"/>
    <w:rsid w:val="008F10A9"/>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35AEB"/>
    <w:rsid w:val="009426B9"/>
    <w:rsid w:val="00944481"/>
    <w:rsid w:val="00944E85"/>
    <w:rsid w:val="0094634C"/>
    <w:rsid w:val="009463AB"/>
    <w:rsid w:val="00950239"/>
    <w:rsid w:val="00950332"/>
    <w:rsid w:val="00955899"/>
    <w:rsid w:val="00955A03"/>
    <w:rsid w:val="0096203D"/>
    <w:rsid w:val="0096224A"/>
    <w:rsid w:val="00962AF4"/>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156"/>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23E5"/>
    <w:rsid w:val="009C339C"/>
    <w:rsid w:val="009C33B8"/>
    <w:rsid w:val="009C5CEA"/>
    <w:rsid w:val="009C5F8F"/>
    <w:rsid w:val="009D07A0"/>
    <w:rsid w:val="009D107D"/>
    <w:rsid w:val="009D1871"/>
    <w:rsid w:val="009D2985"/>
    <w:rsid w:val="009D3033"/>
    <w:rsid w:val="009D5770"/>
    <w:rsid w:val="009D6AF5"/>
    <w:rsid w:val="009D6CF1"/>
    <w:rsid w:val="009D74BA"/>
    <w:rsid w:val="009D77E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0F6D"/>
    <w:rsid w:val="00A51476"/>
    <w:rsid w:val="00A526D2"/>
    <w:rsid w:val="00A54412"/>
    <w:rsid w:val="00A5498B"/>
    <w:rsid w:val="00A550C8"/>
    <w:rsid w:val="00A5564C"/>
    <w:rsid w:val="00A559EC"/>
    <w:rsid w:val="00A569F8"/>
    <w:rsid w:val="00A56E60"/>
    <w:rsid w:val="00A571B3"/>
    <w:rsid w:val="00A618D9"/>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66B7"/>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37B"/>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147E"/>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D780C"/>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2AAC"/>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0FC2"/>
    <w:rsid w:val="00C913A1"/>
    <w:rsid w:val="00C950D6"/>
    <w:rsid w:val="00C97646"/>
    <w:rsid w:val="00C97672"/>
    <w:rsid w:val="00CA55BD"/>
    <w:rsid w:val="00CA616E"/>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691C"/>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56D0"/>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191E"/>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8E2"/>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37D0"/>
    <w:rsid w:val="00E44D19"/>
    <w:rsid w:val="00E51372"/>
    <w:rsid w:val="00E51CAF"/>
    <w:rsid w:val="00E51E95"/>
    <w:rsid w:val="00E51F9D"/>
    <w:rsid w:val="00E5202F"/>
    <w:rsid w:val="00E5211A"/>
    <w:rsid w:val="00E53A9F"/>
    <w:rsid w:val="00E549AF"/>
    <w:rsid w:val="00E60540"/>
    <w:rsid w:val="00E61C74"/>
    <w:rsid w:val="00E63D8F"/>
    <w:rsid w:val="00E706B6"/>
    <w:rsid w:val="00E73BED"/>
    <w:rsid w:val="00E76FF1"/>
    <w:rsid w:val="00E774FE"/>
    <w:rsid w:val="00E809A0"/>
    <w:rsid w:val="00E80AF7"/>
    <w:rsid w:val="00E8325E"/>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97D7F"/>
    <w:rsid w:val="00FA0EAA"/>
    <w:rsid w:val="00FA0F53"/>
    <w:rsid w:val="00FA1DA9"/>
    <w:rsid w:val="00FA3809"/>
    <w:rsid w:val="00FA3A95"/>
    <w:rsid w:val="00FA6D7E"/>
    <w:rsid w:val="00FB020D"/>
    <w:rsid w:val="00FB3F33"/>
    <w:rsid w:val="00FB43E4"/>
    <w:rsid w:val="00FB4889"/>
    <w:rsid w:val="00FB676C"/>
    <w:rsid w:val="00FB67CC"/>
    <w:rsid w:val="00FB728E"/>
    <w:rsid w:val="00FB7DA8"/>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59B700B"/>
    <w:rsid w:val="16C67785"/>
    <w:rsid w:val="1EF92AB9"/>
    <w:rsid w:val="3B821237"/>
    <w:rsid w:val="445948B6"/>
    <w:rsid w:val="4F513365"/>
    <w:rsid w:val="69244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Emphasis"/>
    <w:qFormat/>
    <w:uiPriority w:val="0"/>
    <w:rPr>
      <w:i/>
      <w:iCs/>
    </w:rPr>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Revision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0"/>
    <w:rPr>
      <w:sz w:val="24"/>
      <w:lang w:val="en-GB" w:eastAsia="en-US"/>
    </w:rPr>
  </w:style>
  <w:style w:type="paragraph" w:customStyle="1" w:styleId="34">
    <w:name w:val="TOC Heading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1"/>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99"/>
    <w:rPr>
      <w:sz w:val="24"/>
      <w:lang w:eastAsia="en-US"/>
    </w:rPr>
  </w:style>
  <w:style w:type="paragraph" w:customStyle="1" w:styleId="42">
    <w:name w:val="Text"/>
    <w:basedOn w:val="1"/>
    <w:link w:val="41"/>
    <w:qFormat/>
    <w:uiPriority w:val="99"/>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1"/>
    <w:qFormat/>
    <w:uiPriority w:val="0"/>
  </w:style>
  <w:style w:type="character" w:customStyle="1" w:styleId="45">
    <w:name w:val="标题 字符"/>
    <w:link w:val="17"/>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1"/>
    <w:semiHidden/>
    <w:qFormat/>
    <w:locked/>
    <w:uiPriority w:val="0"/>
    <w:rPr>
      <w:rFonts w:cs="Times New Roman"/>
      <w:sz w:val="18"/>
      <w:szCs w:val="18"/>
    </w:rPr>
  </w:style>
  <w:style w:type="paragraph" w:customStyle="1" w:styleId="48">
    <w:name w:val="正文 A"/>
    <w:qFormat/>
    <w:uiPriority w:val="99"/>
    <w:pPr>
      <w:widowControl w:val="0"/>
      <w:spacing w:line="360" w:lineRule="auto"/>
      <w:jc w:val="both"/>
    </w:pPr>
    <w:rPr>
      <w:rFonts w:ascii="Arial Unicode MS" w:hAnsi="Arial Unicode MS" w:eastAsia="宋体" w:cs="Arial Unicode MS"/>
      <w:color w:val="000000"/>
      <w:kern w:val="2"/>
      <w:sz w:val="24"/>
      <w:szCs w:val="24"/>
      <w:u w:color="000000"/>
      <w:lang w:val="zh-TW" w:eastAsia="zh-TW"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7080E-0CD8-4A20-9661-2DD9D629B061}">
  <ds:schemaRefs/>
</ds:datastoreItem>
</file>

<file path=docProps/app.xml><?xml version="1.0" encoding="utf-8"?>
<Properties xmlns="http://schemas.openxmlformats.org/officeDocument/2006/extended-properties" xmlns:vt="http://schemas.openxmlformats.org/officeDocument/2006/docPropsVTypes">
  <Template>Normal</Template>
  <Pages>13</Pages>
  <Words>859</Words>
  <Characters>4900</Characters>
  <Lines>40</Lines>
  <Paragraphs>11</Paragraphs>
  <TotalTime>44</TotalTime>
  <ScaleCrop>false</ScaleCrop>
  <LinksUpToDate>false</LinksUpToDate>
  <CharactersWithSpaces>5748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2022-02-18T02:44:00Z</dcterms:created>
  <dc:creator>Lilly</dc:creator>
  <cp:lastModifiedBy>Admin</cp:lastModifiedBy>
  <cp:lastPrinted>2022-02-25T01:16:00Z</cp:lastPrinted>
  <dcterms:modified xsi:type="dcterms:W3CDTF">2022-07-26T02:53:54Z</dcterms:modified>
  <dc:title>生效期：</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7CDABE8605084D90B9529DE7C093B502</vt:lpwstr>
  </property>
</Properties>
</file>