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3227223"/>
      <w:bookmarkStart w:id="2" w:name="_Toc482717189"/>
      <w:bookmarkStart w:id="3" w:name="_Toc483666358"/>
      <w:bookmarkStart w:id="4" w:name="_Toc483400307"/>
    </w:p>
    <w:p>
      <w:pPr>
        <w:spacing w:after="158" w:afterLines="50"/>
        <w:jc w:val="center"/>
        <w:rPr>
          <w:b/>
          <w:szCs w:val="21"/>
          <w:lang w:eastAsia="zh-CN"/>
        </w:rPr>
      </w:pPr>
      <w:r>
        <w:rPr>
          <w:rFonts w:hint="eastAsia"/>
          <w:b/>
          <w:bCs/>
          <w:sz w:val="28"/>
          <w:szCs w:val="28"/>
          <w:lang w:val="zh-CN" w:eastAsia="zh-CN"/>
        </w:rPr>
        <w:t>质量控制室不溶性微粒分析仪</w:t>
      </w:r>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bookmarkStart w:id="47" w:name="_GoBack"/>
      <w:bookmarkEnd w:id="47"/>
      <w:r>
        <w:rPr>
          <w:sz w:val="21"/>
          <w:szCs w:val="21"/>
          <w:lang w:val="zh-CN" w:eastAsia="zh-CN"/>
        </w:rPr>
        <w:t>目录</w:t>
      </w: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t>6</w:t>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t>8</w:t>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rPr>
          <w:rFonts w:hint="eastAsia"/>
        </w:rPr>
        <w:t>11</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rPr>
          <w:rFonts w:hint="eastAsia"/>
        </w:rPr>
        <w:t>1</w:t>
      </w:r>
      <w:r>
        <w:t>1</w:t>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rPr>
          <w:rFonts w:hint="eastAsia"/>
        </w:rPr>
        <w:t>14</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2"/>
        <w:spacing w:before="0" w:line="360" w:lineRule="auto"/>
        <w:ind w:left="357"/>
        <w:jc w:val="left"/>
        <w:rPr>
          <w:szCs w:val="21"/>
          <w:lang w:eastAsia="zh-CN"/>
        </w:rPr>
      </w:pPr>
      <w:bookmarkStart w:id="7" w:name="_Toc482625279"/>
      <w:bookmarkStart w:id="8" w:name="_Toc482370757"/>
      <w:bookmarkStart w:id="9" w:name="_Toc482369805"/>
      <w:bookmarkStart w:id="10" w:name="_Toc482370141"/>
      <w:bookmarkStart w:id="11" w:name="_Toc482360281"/>
      <w:bookmarkStart w:id="12" w:name="_Toc481702475"/>
      <w:bookmarkStart w:id="13" w:name="_Toc482370349"/>
      <w:bookmarkStart w:id="14" w:name="_Toc482370061"/>
      <w:bookmarkStart w:id="15" w:name="_Toc482359936"/>
      <w:r>
        <w:rPr>
          <w:szCs w:val="21"/>
          <w:lang w:eastAsia="zh-CN"/>
        </w:rPr>
        <w:t>本文件的目的是描述武汉生物制品研究所有限责任公司</w:t>
      </w:r>
      <w:r>
        <w:rPr>
          <w:rFonts w:hint="eastAsia" w:ascii="宋体" w:hAnsi="宋体"/>
          <w:szCs w:val="21"/>
          <w:lang w:eastAsia="zh-CN"/>
        </w:rPr>
        <w:t>质量控制室不溶性微粒分析仪</w:t>
      </w:r>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2"/>
        <w:spacing w:before="0" w:line="360" w:lineRule="auto"/>
        <w:ind w:left="357"/>
        <w:jc w:val="left"/>
        <w:rPr>
          <w:szCs w:val="21"/>
          <w:lang w:eastAsia="zh-CN"/>
        </w:rPr>
      </w:pPr>
      <w:r>
        <w:rPr>
          <w:szCs w:val="21"/>
          <w:lang w:eastAsia="zh-CN"/>
        </w:rPr>
        <w:t>本URS适用于武汉生物制品研究所有限责任公司</w:t>
      </w:r>
      <w:r>
        <w:rPr>
          <w:rFonts w:hint="eastAsia" w:ascii="宋体" w:hAnsi="宋体"/>
          <w:szCs w:val="21"/>
          <w:lang w:eastAsia="zh-CN"/>
        </w:rPr>
        <w:t>质量控制室不溶性微粒分析仪</w:t>
      </w:r>
      <w:r>
        <w:rPr>
          <w:szCs w:val="21"/>
          <w:lang w:eastAsia="zh-CN"/>
        </w:rPr>
        <w:t>。</w:t>
      </w:r>
      <w:bookmarkEnd w:id="7"/>
      <w:bookmarkEnd w:id="8"/>
      <w:bookmarkEnd w:id="9"/>
      <w:bookmarkEnd w:id="10"/>
      <w:bookmarkEnd w:id="11"/>
      <w:bookmarkEnd w:id="12"/>
      <w:bookmarkEnd w:id="13"/>
      <w:bookmarkEnd w:id="14"/>
      <w:bookmarkEnd w:id="15"/>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7"/>
        <w:spacing w:line="460" w:lineRule="exact"/>
        <w:rPr>
          <w:rFonts w:asciiTheme="majorEastAsia" w:hAnsiTheme="majorEastAsia" w:eastAsiaTheme="majorEastAsia"/>
          <w:color w:val="000000"/>
          <w:sz w:val="21"/>
          <w:szCs w:val="21"/>
          <w:lang w:eastAsia="zh-CN"/>
        </w:rPr>
      </w:pPr>
      <w:r>
        <w:rPr>
          <w:rFonts w:hint="eastAsia"/>
          <w:color w:val="000000"/>
          <w:lang w:eastAsia="zh-CN"/>
        </w:rPr>
        <w:t>《</w:t>
      </w:r>
      <w:r>
        <w:rPr>
          <w:rFonts w:hint="eastAsia" w:asciiTheme="majorEastAsia" w:hAnsiTheme="majorEastAsia" w:eastAsiaTheme="majorEastAsia"/>
          <w:color w:val="000000"/>
          <w:sz w:val="21"/>
          <w:szCs w:val="21"/>
          <w:lang w:eastAsia="zh-CN"/>
        </w:rPr>
        <w:t>药品生产质量管理规范》（</w:t>
      </w:r>
      <w:r>
        <w:rPr>
          <w:rFonts w:asciiTheme="majorEastAsia" w:hAnsiTheme="majorEastAsia" w:eastAsiaTheme="majorEastAsia"/>
          <w:color w:val="000000"/>
          <w:sz w:val="21"/>
          <w:szCs w:val="21"/>
          <w:lang w:eastAsia="zh-CN"/>
        </w:rPr>
        <w:t>2010</w:t>
      </w:r>
      <w:r>
        <w:rPr>
          <w:rFonts w:hint="eastAsia" w:asciiTheme="majorEastAsia" w:hAnsiTheme="majorEastAsia" w:eastAsiaTheme="majorEastAsia"/>
          <w:color w:val="000000"/>
          <w:sz w:val="21"/>
          <w:szCs w:val="21"/>
          <w:lang w:eastAsia="zh-CN"/>
        </w:rPr>
        <w:t>修订版）</w:t>
      </w:r>
    </w:p>
    <w:p>
      <w:pPr>
        <w:pStyle w:val="42"/>
        <w:spacing w:before="0" w:line="360" w:lineRule="auto"/>
        <w:jc w:val="left"/>
        <w:rPr>
          <w:rFonts w:asciiTheme="majorEastAsia" w:hAnsiTheme="majorEastAsia" w:eastAsiaTheme="majorEastAsia"/>
          <w:color w:val="000000"/>
          <w:szCs w:val="21"/>
          <w:lang w:eastAsia="zh-CN"/>
        </w:rPr>
      </w:pPr>
      <w:r>
        <w:rPr>
          <w:rFonts w:hint="eastAsia" w:asciiTheme="majorEastAsia" w:hAnsiTheme="majorEastAsia" w:eastAsiaTheme="majorEastAsia"/>
          <w:color w:val="000000"/>
          <w:szCs w:val="21"/>
          <w:lang w:eastAsia="zh-CN"/>
        </w:rPr>
        <w:t>《</w:t>
      </w:r>
      <w:r>
        <w:rPr>
          <w:rFonts w:hint="eastAsia" w:asciiTheme="majorEastAsia" w:hAnsiTheme="majorEastAsia" w:eastAsiaTheme="majorEastAsia"/>
          <w:szCs w:val="21"/>
          <w:lang w:eastAsia="zh-CN"/>
        </w:rPr>
        <w:t>中华人民共和国药典</w:t>
      </w:r>
      <w:r>
        <w:rPr>
          <w:rFonts w:hint="eastAsia" w:asciiTheme="majorEastAsia" w:hAnsiTheme="majorEastAsia" w:eastAsiaTheme="majorEastAsia"/>
          <w:color w:val="000000"/>
          <w:szCs w:val="21"/>
          <w:lang w:eastAsia="zh-CN"/>
        </w:rPr>
        <w:t>》20</w:t>
      </w:r>
      <w:r>
        <w:rPr>
          <w:rFonts w:asciiTheme="majorEastAsia" w:hAnsiTheme="majorEastAsia" w:eastAsiaTheme="majorEastAsia"/>
          <w:color w:val="000000"/>
          <w:szCs w:val="21"/>
          <w:lang w:eastAsia="zh-CN"/>
        </w:rPr>
        <w:t>20</w:t>
      </w:r>
      <w:r>
        <w:rPr>
          <w:rFonts w:hint="eastAsia" w:asciiTheme="majorEastAsia" w:hAnsiTheme="majorEastAsia" w:eastAsiaTheme="majorEastAsia"/>
          <w:color w:val="000000"/>
          <w:szCs w:val="21"/>
          <w:lang w:eastAsia="zh-CN"/>
        </w:rPr>
        <w:t>年版</w:t>
      </w:r>
    </w:p>
    <w:p>
      <w:pPr>
        <w:pStyle w:val="7"/>
        <w:spacing w:line="460" w:lineRule="exact"/>
        <w:rPr>
          <w:rFonts w:asciiTheme="minorEastAsia" w:hAnsiTheme="minorEastAsia" w:eastAsiaTheme="minorEastAsia"/>
          <w:color w:val="auto"/>
          <w:sz w:val="21"/>
          <w:szCs w:val="21"/>
          <w:lang w:eastAsia="zh-CN"/>
        </w:rPr>
      </w:pPr>
      <w:r>
        <w:rPr>
          <w:rFonts w:asciiTheme="minorEastAsia" w:hAnsiTheme="minorEastAsia" w:eastAsiaTheme="minorEastAsia"/>
          <w:color w:val="auto"/>
          <w:sz w:val="21"/>
          <w:szCs w:val="21"/>
          <w:lang w:eastAsia="zh-CN"/>
        </w:rPr>
        <w:t xml:space="preserve">21 CFR Part 11 </w:t>
      </w:r>
      <w:r>
        <w:rPr>
          <w:rFonts w:hint="eastAsia" w:asciiTheme="minorEastAsia" w:hAnsiTheme="minorEastAsia" w:eastAsiaTheme="minorEastAsia"/>
          <w:color w:val="auto"/>
          <w:sz w:val="21"/>
          <w:szCs w:val="21"/>
          <w:lang w:eastAsia="zh-CN"/>
        </w:rPr>
        <w:t xml:space="preserve">《电子记录和电子签名》 </w:t>
      </w:r>
      <w:r>
        <w:rPr>
          <w:rFonts w:asciiTheme="minorEastAsia" w:hAnsiTheme="minorEastAsia" w:eastAsiaTheme="minorEastAsia"/>
          <w:color w:val="auto"/>
          <w:sz w:val="21"/>
          <w:szCs w:val="21"/>
          <w:lang w:eastAsia="zh-CN"/>
        </w:rPr>
        <w:t xml:space="preserve"> </w:t>
      </w:r>
    </w:p>
    <w:p>
      <w:pPr>
        <w:pStyle w:val="7"/>
        <w:spacing w:line="460" w:lineRule="exact"/>
        <w:rPr>
          <w:rFonts w:asciiTheme="minorEastAsia" w:hAnsiTheme="minorEastAsia" w:eastAsiaTheme="minorEastAsia"/>
          <w:color w:val="auto"/>
          <w:sz w:val="21"/>
          <w:szCs w:val="21"/>
          <w:lang w:eastAsia="zh-CN"/>
        </w:rPr>
      </w:pPr>
      <w:r>
        <w:rPr>
          <w:rFonts w:asciiTheme="minorEastAsia" w:hAnsiTheme="minorEastAsia" w:eastAsiaTheme="minorEastAsia"/>
          <w:color w:val="auto"/>
          <w:sz w:val="21"/>
          <w:szCs w:val="21"/>
          <w:lang w:eastAsia="zh-CN"/>
        </w:rPr>
        <w:t>GAMP5</w:t>
      </w:r>
    </w:p>
    <w:p>
      <w:pPr>
        <w:pStyle w:val="42"/>
        <w:numPr>
          <w:ilvl w:val="0"/>
          <w:numId w:val="0"/>
        </w:numPr>
        <w:spacing w:before="0" w:line="360" w:lineRule="auto"/>
        <w:jc w:val="left"/>
        <w:rPr>
          <w:rFonts w:ascii="宋体" w:hAnsi="宋体" w:cs="宋体"/>
          <w:sz w:val="21"/>
          <w:szCs w:val="18"/>
          <w:lang w:eastAsia="zh-CN"/>
        </w:rPr>
      </w:pPr>
      <w:r>
        <w:rPr>
          <w:rFonts w:hint="eastAsia" w:ascii="宋体" w:hAnsi="宋体" w:cs="宋体"/>
          <w:sz w:val="21"/>
          <w:szCs w:val="16"/>
          <w:lang w:eastAsia="zh-CN"/>
        </w:rPr>
        <w:t>GMP附件1《计算机化系统》（2015版）</w:t>
      </w:r>
    </w:p>
    <w:p>
      <w:pPr>
        <w:pStyle w:val="7"/>
        <w:spacing w:line="460" w:lineRule="exact"/>
        <w:rPr>
          <w:rFonts w:asciiTheme="minorEastAsia" w:hAnsiTheme="minorEastAsia" w:eastAsiaTheme="minorEastAsia"/>
          <w:color w:val="auto"/>
          <w:sz w:val="21"/>
          <w:szCs w:val="21"/>
          <w:lang w:eastAsia="zh-CN"/>
        </w:rPr>
      </w:pPr>
      <w:r>
        <w:rPr>
          <w:rFonts w:hint="eastAsia" w:ascii="宋体" w:hAnsi="宋体" w:cs="宋体"/>
          <w:sz w:val="21"/>
          <w:szCs w:val="16"/>
          <w:lang w:eastAsia="zh-CN"/>
        </w:rPr>
        <w:t>GMP附件2《确认与验证》（2015版）</w:t>
      </w:r>
    </w:p>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0"/>
        </w:numPr>
        <w:spacing w:before="0" w:line="360" w:lineRule="auto"/>
        <w:jc w:val="left"/>
        <w:rPr>
          <w:rFonts w:ascii="宋体" w:hAnsi="宋体" w:cs="宋体"/>
          <w:sz w:val="21"/>
          <w:szCs w:val="18"/>
          <w:lang w:eastAsia="zh-CN"/>
        </w:rPr>
      </w:pPr>
      <w:r>
        <w:rPr>
          <w:rFonts w:hint="eastAsia" w:ascii="宋体" w:hAnsi="宋体" w:cs="宋体"/>
          <w:sz w:val="21"/>
          <w:szCs w:val="18"/>
          <w:lang w:eastAsia="zh-CN"/>
        </w:rPr>
        <w:t>电气安全应符合GB4793.1和GB4793.4的要求。</w:t>
      </w:r>
    </w:p>
    <w:p>
      <w:pPr>
        <w:pStyle w:val="42"/>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rPr>
          <w:rFonts w:ascii="宋体" w:hAnsi="宋体"/>
          <w:szCs w:val="21"/>
          <w:lang w:eastAsia="zh-CN"/>
        </w:rPr>
      </w:pPr>
      <w:r>
        <w:rPr>
          <w:rFonts w:hint="eastAsia"/>
          <w:szCs w:val="21"/>
          <w:lang w:val="en-US" w:eastAsia="zh-CN"/>
        </w:rPr>
        <w:t>不溶性微粒检测仪</w:t>
      </w:r>
      <w:r>
        <w:rPr>
          <w:rFonts w:hint="eastAsia"/>
          <w:szCs w:val="21"/>
          <w:lang w:val="zh-CN" w:eastAsia="zh-CN"/>
        </w:rPr>
        <w:t>是集自动进样、自动检测、自动数据处理和自动清洗等功能于一身，为注射剂中不溶性微粒检测提供安全、快捷、高效、可靠的解决方案</w:t>
      </w:r>
      <w:r>
        <w:rPr>
          <w:rFonts w:hint="eastAsia"/>
          <w:szCs w:val="21"/>
          <w:lang w:eastAsia="zh-CN"/>
        </w:rPr>
        <w:t>。</w:t>
      </w:r>
    </w:p>
    <w:p>
      <w:pPr>
        <w:pStyle w:val="7"/>
        <w:spacing w:line="460" w:lineRule="exact"/>
        <w:rPr>
          <w:rFonts w:ascii="宋体" w:hAnsi="宋体"/>
          <w:b/>
          <w:color w:val="000000"/>
          <w:sz w:val="21"/>
          <w:szCs w:val="21"/>
          <w:lang w:eastAsia="zh-CN"/>
        </w:rPr>
      </w:pPr>
      <w:r>
        <w:rPr>
          <w:rFonts w:ascii="宋体" w:hAnsi="宋体"/>
          <w:sz w:val="21"/>
          <w:szCs w:val="21"/>
          <w:lang w:eastAsia="zh-CN"/>
        </w:rPr>
        <w:t>质量控制室需要购买1台</w:t>
      </w:r>
      <w:r>
        <w:rPr>
          <w:rFonts w:hint="eastAsia" w:ascii="宋体" w:hAnsi="宋体"/>
          <w:sz w:val="21"/>
          <w:szCs w:val="21"/>
          <w:lang w:val="en-US" w:eastAsia="zh-CN"/>
        </w:rPr>
        <w:t>不溶性微粒分析仪</w:t>
      </w:r>
      <w:r>
        <w:rPr>
          <w:rFonts w:ascii="宋体" w:hAnsi="宋体"/>
          <w:sz w:val="21"/>
          <w:szCs w:val="21"/>
          <w:lang w:eastAsia="zh-CN"/>
        </w:rPr>
        <w:t>，用于</w:t>
      </w:r>
      <w:r>
        <w:rPr>
          <w:rFonts w:hint="eastAsia" w:ascii="宋体" w:hAnsi="宋体"/>
          <w:sz w:val="21"/>
          <w:szCs w:val="21"/>
          <w:lang w:val="en-US" w:eastAsia="zh-CN"/>
        </w:rPr>
        <w:t>注射剂中不溶性微粒</w:t>
      </w:r>
      <w:r>
        <w:rPr>
          <w:rFonts w:hint="eastAsia" w:ascii="宋体" w:hAnsi="宋体"/>
          <w:sz w:val="21"/>
          <w:szCs w:val="21"/>
          <w:lang w:eastAsia="zh-CN"/>
        </w:rPr>
        <w:t>的检测。</w:t>
      </w:r>
      <w:r>
        <w:rPr>
          <w:rFonts w:hint="eastAsia" w:ascii="宋体" w:hAnsi="宋体"/>
          <w:sz w:val="21"/>
          <w:szCs w:val="21"/>
          <w:lang w:val="en-US" w:eastAsia="zh-CN"/>
        </w:rPr>
        <w:t>不溶性微粒分析仪</w:t>
      </w:r>
      <w:r>
        <w:rPr>
          <w:rFonts w:hint="eastAsia"/>
          <w:sz w:val="21"/>
          <w:szCs w:val="21"/>
          <w:lang w:val="zh-CN" w:eastAsia="zh-CN"/>
        </w:rPr>
        <w:t>的</w:t>
      </w:r>
      <w:r>
        <w:rPr>
          <w:rFonts w:hint="eastAsia"/>
          <w:spacing w:val="8"/>
          <w:sz w:val="21"/>
          <w:szCs w:val="21"/>
          <w:lang w:eastAsia="zh-CN"/>
        </w:rPr>
        <w:t>数据是</w:t>
      </w:r>
      <w:r>
        <w:rPr>
          <w:rFonts w:hint="eastAsia" w:ascii="宋体" w:hAnsi="宋体"/>
          <w:sz w:val="21"/>
          <w:szCs w:val="21"/>
          <w:lang w:eastAsia="zh-CN"/>
        </w:rPr>
        <w:t>样</w:t>
      </w:r>
      <w:r>
        <w:rPr>
          <w:rFonts w:hint="eastAsia"/>
          <w:spacing w:val="8"/>
          <w:sz w:val="21"/>
          <w:szCs w:val="21"/>
          <w:lang w:eastAsia="zh-CN"/>
        </w:rPr>
        <w:t>品检测结果判定的依据，仪器的</w:t>
      </w:r>
      <w:r>
        <w:rPr>
          <w:spacing w:val="8"/>
          <w:sz w:val="21"/>
          <w:szCs w:val="21"/>
          <w:lang w:eastAsia="zh-CN"/>
        </w:rPr>
        <w:t>高灵敏度、高效能、高选择性、分析速度</w:t>
      </w:r>
      <w:r>
        <w:rPr>
          <w:rFonts w:hint="eastAsia"/>
          <w:spacing w:val="8"/>
          <w:sz w:val="21"/>
          <w:szCs w:val="21"/>
          <w:lang w:eastAsia="zh-CN"/>
        </w:rPr>
        <w:t xml:space="preserve">至关重要。 </w:t>
      </w:r>
    </w:p>
    <w:p>
      <w:pPr>
        <w:pStyle w:val="42"/>
        <w:spacing w:before="0" w:line="360" w:lineRule="auto"/>
        <w:ind w:left="357"/>
        <w:jc w:val="left"/>
        <w:rPr>
          <w:i/>
          <w:color w:val="4472C4"/>
          <w:szCs w:val="21"/>
          <w:lang w:eastAsia="zh-CN"/>
        </w:rPr>
      </w:pPr>
    </w:p>
    <w:p>
      <w:pPr>
        <w:pStyle w:val="32"/>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szCs w:val="21"/>
                <w:lang w:eastAsia="zh-CN"/>
              </w:rPr>
            </w:pPr>
            <w:r>
              <w:rPr>
                <w:rFonts w:hint="eastAsia"/>
                <w:color w:val="000000"/>
                <w:szCs w:val="21"/>
                <w:lang w:val="en-US" w:eastAsia="zh-CN"/>
              </w:rPr>
              <w:t>质量控制室原辅料生化检测区</w:t>
            </w:r>
          </w:p>
        </w:tc>
        <w:tc>
          <w:tcPr>
            <w:tcW w:w="2125" w:type="dxa"/>
            <w:shd w:val="clear" w:color="auto" w:fill="auto"/>
            <w:vAlign w:val="center"/>
          </w:tcPr>
          <w:p>
            <w:pPr>
              <w:jc w:val="both"/>
              <w:rPr>
                <w:i/>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color w:val="000000"/>
                <w:szCs w:val="21"/>
                <w:lang w:val="en-US" w:eastAsia="zh-CN"/>
              </w:rPr>
              <w:t>不大于800（长）*600（宽）*500（高）mm</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仪器的形式尺寸应符合制造商说明书及相关技术图纸规定的要求。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sz w:val="21"/>
                <w:szCs w:val="21"/>
                <w:lang w:val="en-SG" w:eastAsia="zh-CN"/>
              </w:rPr>
            </w:pPr>
            <w:r>
              <w:rPr>
                <w:rFonts w:hint="eastAsia" w:ascii="宋体" w:hAnsi="宋体"/>
                <w:color w:val="000000"/>
                <w:sz w:val="21"/>
                <w:szCs w:val="21"/>
                <w:lang w:eastAsia="zh-CN"/>
              </w:rPr>
              <w:t>其重量不超出房间桌面承重要求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ind w:firstLine="0" w:firstLineChars="0"/>
              <w:rPr>
                <w:rFonts w:ascii="Times New Roman" w:hAnsi="Times New Roman"/>
                <w:szCs w:val="21"/>
              </w:rPr>
            </w:pPr>
          </w:p>
        </w:tc>
        <w:tc>
          <w:tcPr>
            <w:tcW w:w="7128" w:type="dxa"/>
            <w:shd w:val="clear" w:color="auto" w:fill="auto"/>
            <w:vAlign w:val="center"/>
          </w:tcPr>
          <w:p>
            <w:pPr>
              <w:spacing w:line="276" w:lineRule="auto"/>
              <w:jc w:val="both"/>
              <w:rPr>
                <w:i/>
                <w:szCs w:val="21"/>
                <w:lang w:eastAsia="zh-CN"/>
              </w:rPr>
            </w:pPr>
            <w:r>
              <w:rPr>
                <w:szCs w:val="21"/>
                <w:lang w:eastAsia="zh-CN"/>
              </w:rPr>
              <w:t>N/A</w:t>
            </w:r>
          </w:p>
        </w:tc>
        <w:tc>
          <w:tcPr>
            <w:tcW w:w="2125" w:type="dxa"/>
            <w:shd w:val="clear" w:color="auto" w:fill="auto"/>
            <w:vAlign w:val="center"/>
          </w:tcPr>
          <w:p>
            <w:pPr>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927"/>
                <w:tab w:val="left" w:pos="2880"/>
                <w:tab w:val="left" w:pos="3420"/>
              </w:tabs>
              <w:spacing w:line="460" w:lineRule="exact"/>
              <w:rPr>
                <w:szCs w:val="21"/>
                <w:lang w:eastAsia="zh-CN"/>
              </w:rPr>
            </w:pPr>
            <w:r>
              <w:rPr>
                <w:rFonts w:hint="eastAsia"/>
                <w:lang w:eastAsia="zh-CN"/>
              </w:rPr>
              <w:t>适用于我公司的</w:t>
            </w:r>
            <w:r>
              <w:rPr>
                <w:rFonts w:hint="eastAsia"/>
                <w:color w:val="000000"/>
                <w:lang w:eastAsia="zh-CN"/>
              </w:rPr>
              <w:t>工作环境温度：</w:t>
            </w:r>
            <w:r>
              <w:rPr>
                <w:lang w:eastAsia="zh-CN"/>
              </w:rPr>
              <w:t xml:space="preserve"> 10</w:t>
            </w:r>
            <w:r>
              <w:rPr>
                <w:rFonts w:hint="eastAsia" w:ascii="宋体" w:hAnsi="宋体" w:cs="宋体"/>
                <w:lang w:eastAsia="zh-CN"/>
              </w:rPr>
              <w:t>℃</w:t>
            </w:r>
            <w:r>
              <w:rPr>
                <w:rFonts w:hint="eastAsia"/>
                <w:lang w:eastAsia="zh-CN"/>
              </w:rPr>
              <w:t>～</w:t>
            </w:r>
            <w:r>
              <w:rPr>
                <w:lang w:eastAsia="zh-CN"/>
              </w:rPr>
              <w:t>30</w:t>
            </w:r>
            <w:r>
              <w:rPr>
                <w:rFonts w:hint="eastAsia" w:ascii="宋体" w:hAnsi="宋体" w:cs="宋体"/>
                <w:lang w:eastAsia="zh-CN"/>
              </w:rPr>
              <w:t>℃</w:t>
            </w:r>
            <w:r>
              <w:rPr>
                <w:rFonts w:hint="eastAsia"/>
                <w:lang w:eastAsia="zh-CN"/>
              </w:rPr>
              <w:t>环境</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w:t>
            </w:r>
            <w:r>
              <w:rPr>
                <w:rFonts w:hint="eastAsia"/>
                <w:lang w:eastAsia="zh-CN"/>
              </w:rPr>
              <w:t>相对湿度</w:t>
            </w:r>
            <w:r>
              <w:rPr>
                <w:rFonts w:hint="eastAsia"/>
                <w:lang w:val="en-US" w:eastAsia="zh-CN"/>
              </w:rPr>
              <w:t>＜7</w:t>
            </w:r>
            <w:r>
              <w:rPr>
                <w:rFonts w:hint="eastAsia"/>
                <w:lang w:eastAsia="zh-CN"/>
              </w:rPr>
              <w:t>0%</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r>
              <w:rPr>
                <w:rFonts w:hint="eastAsia" w:ascii="Times New Roman" w:hAnsi="Times New Roman"/>
                <w:sz w:val="24"/>
                <w:szCs w:val="24"/>
              </w:rPr>
              <w:t>*</w:t>
            </w:r>
          </w:p>
        </w:tc>
        <w:tc>
          <w:tcPr>
            <w:tcW w:w="7128" w:type="dxa"/>
            <w:shd w:val="clear" w:color="auto" w:fill="auto"/>
            <w:vAlign w:val="center"/>
          </w:tcPr>
          <w:p>
            <w:pPr>
              <w:spacing w:line="360" w:lineRule="auto"/>
              <w:rPr>
                <w:rFonts w:ascii="仿宋体" w:eastAsia="仿宋体"/>
                <w:sz w:val="24"/>
              </w:rPr>
            </w:pPr>
            <w:r>
              <w:rPr>
                <w:rFonts w:hint="eastAsia"/>
              </w:rPr>
              <w:t>电源：</w:t>
            </w:r>
            <w:r>
              <w:rPr>
                <w:rFonts w:hint="eastAsia" w:ascii="仿宋体" w:eastAsia="仿宋体"/>
                <w:sz w:val="24"/>
              </w:rPr>
              <w:t>220V±10</w:t>
            </w:r>
            <w:r>
              <w:rPr>
                <w:rFonts w:ascii="仿宋体" w:eastAsia="仿宋体"/>
                <w:sz w:val="24"/>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0000"/>
                <w:szCs w:val="21"/>
                <w:lang w:eastAsia="zh-CN"/>
              </w:rPr>
            </w:pPr>
            <w:r>
              <w:rPr>
                <w:rFonts w:hint="eastAsia"/>
                <w:szCs w:val="21"/>
                <w:lang w:eastAsia="zh-CN"/>
              </w:rPr>
              <w:t>仪器外观应端正、整齐，不得有明显的偏歪、毛刺和锈蚀等缺陷。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仪器内部表面不得有凹陷、毛刺和锈蚀等缺陷。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所有组件均选用知名品牌配件，质量稳定、经久耐用、使用方便。</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标记：至少应有以下永久贴牢和清楚易认的标记：</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1</w:t>
            </w:r>
            <w:r>
              <w:rPr>
                <w:rFonts w:hint="eastAsia" w:asciiTheme="minorEastAsia" w:hAnsiTheme="minorEastAsia" w:eastAsiaTheme="minorEastAsia"/>
                <w:szCs w:val="21"/>
                <w:lang w:eastAsia="zh-CN"/>
              </w:rPr>
              <w:t>）制造</w:t>
            </w:r>
            <w:r>
              <w:rPr>
                <w:rFonts w:asciiTheme="minorEastAsia" w:hAnsiTheme="minorEastAsia" w:eastAsiaTheme="minorEastAsia"/>
                <w:szCs w:val="21"/>
                <w:lang w:eastAsia="zh-CN"/>
              </w:rPr>
              <w:t>/</w:t>
            </w:r>
            <w:r>
              <w:rPr>
                <w:rFonts w:hint="eastAsia" w:asciiTheme="minorEastAsia" w:hAnsiTheme="minorEastAsia" w:eastAsiaTheme="minorEastAsia"/>
                <w:szCs w:val="21"/>
                <w:lang w:eastAsia="zh-CN"/>
              </w:rPr>
              <w:t>供应单位；</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2</w:t>
            </w:r>
            <w:r>
              <w:rPr>
                <w:rFonts w:hint="eastAsia" w:asciiTheme="minorEastAsia" w:hAnsiTheme="minorEastAsia" w:eastAsiaTheme="minorEastAsia"/>
                <w:szCs w:val="21"/>
                <w:lang w:eastAsia="zh-CN"/>
              </w:rPr>
              <w:t>）产品注册号；</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3</w:t>
            </w:r>
            <w:r>
              <w:rPr>
                <w:rFonts w:hint="eastAsia" w:asciiTheme="minorEastAsia" w:hAnsiTheme="minorEastAsia" w:eastAsiaTheme="minorEastAsia"/>
                <w:szCs w:val="21"/>
                <w:lang w:eastAsia="zh-CN"/>
              </w:rPr>
              <w:t>）型号标记；</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4</w:t>
            </w:r>
            <w:r>
              <w:rPr>
                <w:rFonts w:hint="eastAsia" w:asciiTheme="minorEastAsia" w:hAnsiTheme="minorEastAsia" w:eastAsiaTheme="minorEastAsia"/>
                <w:szCs w:val="21"/>
                <w:lang w:eastAsia="zh-CN"/>
              </w:rPr>
              <w:t>）生产日期或编号；</w:t>
            </w:r>
          </w:p>
          <w:p>
            <w:pPr>
              <w:tabs>
                <w:tab w:val="left" w:pos="927"/>
                <w:tab w:val="left" w:pos="2880"/>
              </w:tabs>
              <w:spacing w:line="46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5</w:t>
            </w:r>
            <w:r>
              <w:rPr>
                <w:rFonts w:hint="eastAsia" w:asciiTheme="minorEastAsia" w:hAnsiTheme="minorEastAsia" w:eastAsiaTheme="minorEastAsia"/>
                <w:szCs w:val="21"/>
                <w:lang w:eastAsia="zh-CN"/>
              </w:rPr>
              <w:t>）必要的功能标识、安全标识及说明；</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3"/>
      <w:bookmarkEnd w:id="24"/>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42"/>
        <w:spacing w:before="0" w:line="360" w:lineRule="auto"/>
        <w:jc w:val="left"/>
        <w:rPr>
          <w:bCs/>
          <w:i/>
          <w:color w:val="4472C4"/>
          <w:kern w:val="4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9250" w:type="dxa"/>
            <w:gridSpan w:val="2"/>
            <w:shd w:val="clear" w:color="auto" w:fill="auto"/>
            <w:vAlign w:val="center"/>
          </w:tcPr>
          <w:p>
            <w:pPr>
              <w:pStyle w:val="7"/>
              <w:spacing w:line="460" w:lineRule="exact"/>
              <w:ind w:firstLine="420" w:firstLineChars="200"/>
              <w:rPr>
                <w:szCs w:val="21"/>
                <w:lang w:eastAsia="zh-CN"/>
              </w:rPr>
            </w:pPr>
            <w:r>
              <w:rPr>
                <w:color w:val="000000"/>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9250" w:type="dxa"/>
            <w:gridSpan w:val="2"/>
            <w:shd w:val="clear" w:color="auto" w:fill="auto"/>
            <w:vAlign w:val="center"/>
          </w:tcPr>
          <w:p>
            <w:pPr>
              <w:pStyle w:val="7"/>
              <w:spacing w:line="460" w:lineRule="exact"/>
              <w:ind w:firstLine="420" w:firstLineChars="200"/>
              <w:rPr>
                <w:szCs w:val="21"/>
                <w:lang w:eastAsia="zh-CN"/>
              </w:rPr>
            </w:pPr>
            <w:r>
              <w:rPr>
                <w:color w:val="000000"/>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both"/>
              <w:rPr>
                <w:rFonts w:asciiTheme="majorEastAsia" w:hAnsiTheme="majorEastAsia" w:eastAsiaTheme="majorEastAsia"/>
                <w:color w:val="000000"/>
                <w:szCs w:val="21"/>
                <w:lang w:eastAsia="zh-CN"/>
              </w:rPr>
            </w:pPr>
            <w:r>
              <w:rPr>
                <w:rFonts w:hint="eastAsia" w:asciiTheme="majorEastAsia" w:hAnsiTheme="majorEastAsia" w:eastAsiaTheme="majorEastAsia"/>
                <w:color w:val="000000"/>
                <w:szCs w:val="21"/>
                <w:lang w:eastAsia="zh-CN"/>
              </w:rPr>
              <w:t>检测范围：0.5</w:t>
            </w:r>
            <w:r>
              <w:rPr>
                <w:rFonts w:hint="eastAsia" w:asciiTheme="majorEastAsia" w:hAnsiTheme="majorEastAsia" w:eastAsiaTheme="majorEastAsia"/>
                <w:color w:val="000000"/>
                <w:szCs w:val="21"/>
                <w:lang w:val="en-US" w:eastAsia="zh-CN"/>
              </w:rPr>
              <w:t>-</w:t>
            </w:r>
            <w:r>
              <w:rPr>
                <w:rFonts w:hint="eastAsia" w:asciiTheme="majorEastAsia" w:hAnsiTheme="majorEastAsia" w:eastAsiaTheme="majorEastAsia"/>
                <w:color w:val="000000"/>
                <w:szCs w:val="21"/>
                <w:lang w:eastAsia="zh-CN"/>
              </w:rPr>
              <w:t>400μm</w:t>
            </w:r>
            <w:r>
              <w:rPr>
                <w:rFonts w:asciiTheme="majorEastAsia" w:hAnsiTheme="majorEastAsia" w:eastAsiaTheme="majorEastAsia"/>
                <w:color w:val="000000"/>
                <w:szCs w:val="21"/>
                <w:lang w:eastAsia="zh-CN"/>
              </w:rPr>
              <w:t xml:space="preserve">  </w:t>
            </w:r>
            <w:r>
              <w:rPr>
                <w:rFonts w:hint="eastAsia" w:asciiTheme="majorEastAsia" w:hAnsiTheme="majorEastAsia" w:eastAsiaTheme="majorEastAsia"/>
                <w:color w:val="000000"/>
                <w:szCs w:val="21"/>
                <w:lang w:eastAsia="zh-CN"/>
              </w:rPr>
              <w:t>可拓展至0.15</w:t>
            </w:r>
            <w:r>
              <w:rPr>
                <w:rFonts w:hint="eastAsia" w:asciiTheme="majorEastAsia" w:hAnsiTheme="majorEastAsia" w:eastAsiaTheme="majorEastAsia"/>
                <w:color w:val="000000"/>
                <w:szCs w:val="21"/>
                <w:lang w:val="en-US" w:eastAsia="zh-CN"/>
              </w:rPr>
              <w:t>-</w:t>
            </w:r>
            <w:r>
              <w:rPr>
                <w:rFonts w:hint="eastAsia" w:asciiTheme="majorEastAsia" w:hAnsiTheme="majorEastAsia" w:eastAsiaTheme="majorEastAsia"/>
                <w:color w:val="000000"/>
                <w:szCs w:val="21"/>
                <w:lang w:eastAsia="zh-CN"/>
              </w:rPr>
              <w:t>5000μm</w:t>
            </w:r>
          </w:p>
        </w:tc>
        <w:tc>
          <w:tcPr>
            <w:tcW w:w="2128" w:type="dxa"/>
            <w:tcBorders>
              <w:left w:val="single" w:color="auto" w:sz="4" w:space="0"/>
            </w:tcBorders>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both"/>
              <w:rPr>
                <w:rFonts w:ascii="宋体" w:hAnsi="宋体" w:cs="宋体"/>
                <w:color w:val="000000"/>
                <w:szCs w:val="21"/>
                <w:lang w:eastAsia="zh-CN"/>
              </w:rPr>
            </w:pPr>
            <w:r>
              <w:rPr>
                <w:rFonts w:hint="eastAsia" w:ascii="宋体" w:hAnsi="宋体" w:cs="宋体"/>
                <w:color w:val="000000"/>
                <w:szCs w:val="21"/>
                <w:lang w:eastAsia="zh-CN"/>
              </w:rPr>
              <w:t>检测通道：</w:t>
            </w:r>
            <w:r>
              <w:rPr>
                <w:rFonts w:hint="eastAsia" w:ascii="宋体" w:hAnsi="宋体" w:cs="宋体"/>
                <w:color w:val="000000"/>
                <w:szCs w:val="21"/>
                <w:lang w:val="en-US" w:eastAsia="zh-CN"/>
              </w:rPr>
              <w:t>至少</w:t>
            </w:r>
            <w:r>
              <w:rPr>
                <w:rFonts w:hint="eastAsia" w:ascii="宋体" w:hAnsi="宋体" w:cs="宋体"/>
                <w:color w:val="000000"/>
                <w:szCs w:val="21"/>
                <w:lang w:eastAsia="zh-CN"/>
              </w:rPr>
              <w:t>512数据全通道，32个自定义通道</w:t>
            </w:r>
          </w:p>
        </w:tc>
        <w:tc>
          <w:tcPr>
            <w:tcW w:w="2128" w:type="dxa"/>
            <w:tcBorders>
              <w:left w:val="single" w:color="auto" w:sz="4" w:space="0"/>
              <w:bottom w:val="nil"/>
            </w:tcBorders>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jc w:val="both"/>
              <w:rPr>
                <w:rFonts w:ascii="宋体" w:hAnsi="宋体" w:cs="宋体"/>
                <w:color w:val="auto"/>
                <w:szCs w:val="21"/>
                <w:lang w:val="en-US" w:eastAsia="zh-CN"/>
              </w:rPr>
            </w:pPr>
            <w:r>
              <w:rPr>
                <w:rFonts w:hint="eastAsia" w:ascii="宋体" w:hAnsi="宋体" w:cs="宋体"/>
                <w:color w:val="auto"/>
                <w:szCs w:val="21"/>
                <w:lang w:val="en-US" w:eastAsia="zh-CN"/>
              </w:rPr>
              <w:t>仪器采用模块化设计，配有自动进样模块，可通过建立序列实现自动进样</w:t>
            </w:r>
          </w:p>
        </w:tc>
        <w:tc>
          <w:tcPr>
            <w:tcW w:w="2128" w:type="dxa"/>
            <w:tcBorders>
              <w:top w:val="nil"/>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right w:val="single" w:color="auto" w:sz="4" w:space="0"/>
            </w:tcBorders>
            <w:shd w:val="clear" w:color="auto" w:fill="auto"/>
            <w:vAlign w:val="center"/>
          </w:tcPr>
          <w:p>
            <w:pPr>
              <w:spacing w:line="276" w:lineRule="auto"/>
              <w:jc w:val="both"/>
              <w:rPr>
                <w:rFonts w:hint="eastAsia" w:ascii="宋体" w:hAnsi="宋体" w:cs="宋体"/>
                <w:color w:val="auto"/>
                <w:szCs w:val="21"/>
                <w:lang w:val="en-US" w:eastAsia="zh-CN"/>
              </w:rPr>
            </w:pPr>
            <w:r>
              <w:rPr>
                <w:rFonts w:hint="eastAsia" w:ascii="宋体" w:hAnsi="宋体" w:cs="宋体"/>
                <w:color w:val="auto"/>
                <w:szCs w:val="21"/>
                <w:lang w:val="en-US" w:eastAsia="zh-CN"/>
              </w:rPr>
              <w:t>可实现3*8及5*12等多组样品自动采样</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ascii="宋体" w:hAnsi="宋体" w:cs="宋体"/>
                <w:color w:val="auto"/>
                <w:szCs w:val="21"/>
                <w:lang w:val="en-US" w:eastAsia="zh-CN"/>
              </w:rPr>
            </w:pPr>
            <w:r>
              <w:rPr>
                <w:rFonts w:hint="eastAsia" w:ascii="宋体" w:hAnsi="宋体" w:cs="宋体"/>
                <w:color w:val="auto"/>
                <w:szCs w:val="21"/>
                <w:lang w:val="en-US" w:eastAsia="zh-CN"/>
              </w:rPr>
              <w:t>取样速度：5-120 mL/min</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ascii="宋体" w:hAnsi="宋体" w:cs="宋体"/>
                <w:color w:val="auto"/>
                <w:szCs w:val="21"/>
                <w:lang w:val="en-US" w:eastAsia="zh-CN"/>
              </w:rPr>
            </w:pPr>
            <w:r>
              <w:rPr>
                <w:rFonts w:hint="eastAsia" w:ascii="宋体" w:hAnsi="宋体" w:cs="宋体"/>
                <w:color w:val="auto"/>
                <w:szCs w:val="21"/>
                <w:lang w:val="en-US" w:eastAsia="zh-CN"/>
              </w:rPr>
              <w:t>传感器分辨率：大于98%</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ascii="宋体" w:hAnsi="宋体" w:cs="宋体"/>
                <w:color w:val="auto"/>
                <w:szCs w:val="21"/>
                <w:lang w:val="en-US" w:eastAsia="zh-CN"/>
              </w:rPr>
            </w:pPr>
            <w:r>
              <w:rPr>
                <w:rFonts w:hint="eastAsia" w:ascii="宋体" w:hAnsi="宋体" w:cs="宋体"/>
                <w:color w:val="auto"/>
                <w:szCs w:val="21"/>
                <w:lang w:val="en-US" w:eastAsia="zh-CN"/>
              </w:rPr>
              <w:t>流速准确性：误差≤±2%</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ascii="宋体" w:hAnsi="宋体" w:cs="宋体"/>
                <w:color w:val="auto"/>
                <w:szCs w:val="21"/>
                <w:lang w:val="en-US" w:eastAsia="zh-CN"/>
              </w:rPr>
            </w:pPr>
            <w:r>
              <w:rPr>
                <w:rFonts w:hint="eastAsia" w:ascii="宋体" w:hAnsi="宋体" w:cs="宋体"/>
                <w:color w:val="auto"/>
                <w:szCs w:val="21"/>
                <w:lang w:val="en-US" w:eastAsia="zh-CN"/>
              </w:rPr>
              <w:t>检测浓度：0～10000粒/ml</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ascii="宋体" w:hAnsi="宋体" w:cs="宋体"/>
                <w:color w:val="auto"/>
                <w:szCs w:val="21"/>
                <w:lang w:val="en-US" w:eastAsia="zh-CN"/>
              </w:rPr>
            </w:pPr>
            <w:r>
              <w:rPr>
                <w:rFonts w:hint="eastAsia" w:ascii="宋体" w:hAnsi="宋体" w:cs="宋体"/>
                <w:color w:val="auto"/>
                <w:szCs w:val="21"/>
                <w:lang w:val="en-US" w:eastAsia="zh-CN"/>
              </w:rPr>
              <w:t>粒径准确性：误差≤±2%</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ascii="宋体" w:hAnsi="宋体" w:cs="宋体"/>
                <w:color w:val="auto"/>
                <w:szCs w:val="21"/>
                <w:lang w:val="en-US" w:eastAsia="zh-CN"/>
              </w:rPr>
            </w:pPr>
            <w:r>
              <w:rPr>
                <w:rFonts w:hint="eastAsia" w:ascii="宋体" w:hAnsi="宋体" w:cs="宋体"/>
                <w:color w:val="auto"/>
                <w:szCs w:val="21"/>
                <w:lang w:val="en-US" w:eastAsia="zh-CN"/>
              </w:rPr>
              <w:t>计数准确性：误差≤±2.5%</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ascii="宋体" w:hAnsi="宋体" w:cs="宋体"/>
                <w:color w:val="auto"/>
                <w:szCs w:val="21"/>
                <w:lang w:val="en-US" w:eastAsia="zh-CN"/>
              </w:rPr>
            </w:pPr>
            <w:r>
              <w:rPr>
                <w:rFonts w:hint="eastAsia" w:ascii="宋体" w:hAnsi="宋体" w:cs="宋体"/>
                <w:color w:val="auto"/>
                <w:szCs w:val="21"/>
                <w:lang w:val="en-US" w:eastAsia="zh-CN"/>
              </w:rPr>
              <w:t>体积准确性：≤±1%</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szCs w:val="21"/>
                <w:lang w:val="en-US" w:eastAsia="zh-CN"/>
              </w:rPr>
            </w:pPr>
            <w:r>
              <w:rPr>
                <w:rFonts w:hint="eastAsia"/>
                <w:szCs w:val="21"/>
                <w:lang w:val="en-US" w:eastAsia="zh-CN"/>
              </w:rPr>
              <w:t>重复性：RSD&lt;2%</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szCs w:val="21"/>
                <w:lang w:val="en-US" w:eastAsia="zh-CN"/>
              </w:rPr>
            </w:pPr>
            <w:r>
              <w:rPr>
                <w:rFonts w:hint="eastAsia"/>
                <w:szCs w:val="21"/>
                <w:lang w:val="en-US" w:eastAsia="zh-CN"/>
              </w:rPr>
              <w:t>粒径准确性：≥98%</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right w:val="single" w:color="auto" w:sz="4" w:space="0"/>
            </w:tcBorders>
            <w:shd w:val="clear" w:color="auto" w:fill="auto"/>
            <w:vAlign w:val="center"/>
          </w:tcPr>
          <w:p>
            <w:pPr>
              <w:spacing w:line="276" w:lineRule="auto"/>
              <w:jc w:val="both"/>
              <w:rPr>
                <w:rFonts w:hint="eastAsia"/>
                <w:szCs w:val="21"/>
                <w:lang w:val="en-US" w:eastAsia="zh-CN"/>
              </w:rPr>
            </w:pPr>
            <w:r>
              <w:rPr>
                <w:rFonts w:hint="eastAsia"/>
                <w:szCs w:val="21"/>
                <w:lang w:val="en-US" w:eastAsia="zh-CN"/>
              </w:rPr>
              <w:t>计数准确性：≥97.5%</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right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left w:val="single" w:color="auto" w:sz="4" w:space="0"/>
              <w:bottom w:val="single" w:color="auto" w:sz="4" w:space="0"/>
              <w:right w:val="single" w:color="auto" w:sz="4" w:space="0"/>
            </w:tcBorders>
            <w:shd w:val="clear" w:color="auto" w:fill="auto"/>
            <w:vAlign w:val="center"/>
          </w:tcPr>
          <w:p>
            <w:pPr>
              <w:spacing w:line="276" w:lineRule="auto"/>
              <w:jc w:val="both"/>
              <w:rPr>
                <w:rFonts w:hint="eastAsia"/>
                <w:szCs w:val="21"/>
                <w:lang w:val="en-US" w:eastAsia="zh-CN"/>
              </w:rPr>
            </w:pPr>
            <w:r>
              <w:rPr>
                <w:rFonts w:hint="eastAsia"/>
                <w:szCs w:val="21"/>
                <w:lang w:val="en-US" w:eastAsia="zh-CN"/>
              </w:rPr>
              <w:t>体积准确性：≥99.0%</w:t>
            </w:r>
          </w:p>
        </w:tc>
        <w:tc>
          <w:tcPr>
            <w:tcW w:w="2128" w:type="dxa"/>
            <w:tcBorders>
              <w:left w:val="single" w:color="auto" w:sz="4" w:space="0"/>
              <w:right w:val="nil"/>
            </w:tcBorders>
            <w:shd w:val="clear" w:color="auto" w:fill="auto"/>
            <w:vAlign w:val="center"/>
          </w:tcPr>
          <w:p>
            <w:pPr>
              <w:jc w:val="both"/>
              <w:rPr>
                <w:color w:val="auto"/>
                <w:szCs w:val="21"/>
                <w:lang w:eastAsia="zh-CN"/>
              </w:rPr>
            </w:pPr>
            <w:r>
              <w:rPr>
                <w:rFonts w:hint="eastAsia"/>
                <w:color w:val="auto"/>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bottom w:val="single" w:color="auto" w:sz="4" w:space="0"/>
              <w:right w:val="single" w:color="auto" w:sz="4" w:space="0"/>
            </w:tcBorders>
            <w:shd w:val="clear" w:color="auto" w:fill="D9D9D9"/>
            <w:vAlign w:val="center"/>
          </w:tcPr>
          <w:p>
            <w:pPr>
              <w:pStyle w:val="32"/>
              <w:numPr>
                <w:ilvl w:val="0"/>
                <w:numId w:val="8"/>
              </w:numPr>
              <w:ind w:firstLineChars="0"/>
              <w:rPr>
                <w:rFonts w:ascii="Times New Roman" w:hAnsi="Times New Roman"/>
                <w:szCs w:val="21"/>
              </w:rPr>
            </w:pPr>
          </w:p>
        </w:tc>
        <w:tc>
          <w:tcPr>
            <w:tcW w:w="9250" w:type="dxa"/>
            <w:gridSpan w:val="2"/>
            <w:tcBorders>
              <w:left w:val="single" w:color="auto" w:sz="4" w:space="0"/>
              <w:bottom w:val="single" w:color="auto" w:sz="4" w:space="0"/>
              <w:right w:val="single" w:color="auto" w:sz="4" w:space="0"/>
            </w:tcBorders>
            <w:shd w:val="clear" w:color="auto" w:fill="D9D9D9"/>
            <w:vAlign w:val="center"/>
          </w:tcPr>
          <w:p>
            <w:pPr>
              <w:jc w:val="both"/>
              <w:rPr>
                <w:color w:val="auto"/>
                <w:szCs w:val="21"/>
                <w:lang w:eastAsia="zh-CN"/>
              </w:rPr>
            </w:pPr>
            <w:r>
              <w:rPr>
                <w:color w:val="auto"/>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tcBorders>
              <w:top w:val="single" w:color="auto" w:sz="4" w:space="0"/>
            </w:tcBorders>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top w:val="single" w:color="auto" w:sz="4" w:space="0"/>
            </w:tcBorders>
            <w:shd w:val="clear" w:color="auto" w:fill="auto"/>
            <w:vAlign w:val="center"/>
          </w:tcPr>
          <w:p>
            <w:pPr>
              <w:spacing w:line="276" w:lineRule="auto"/>
              <w:jc w:val="both"/>
              <w:rPr>
                <w:szCs w:val="21"/>
                <w:lang w:eastAsia="zh-CN"/>
              </w:rPr>
            </w:pPr>
            <w:r>
              <w:rPr>
                <w:rFonts w:hint="eastAsia"/>
                <w:szCs w:val="21"/>
                <w:lang w:eastAsia="zh-CN"/>
              </w:rPr>
              <w:t>采用升降台设置，升降台中集成磁力搅拌台，支持不同转速调节</w:t>
            </w:r>
          </w:p>
        </w:tc>
        <w:tc>
          <w:tcPr>
            <w:tcW w:w="2128" w:type="dxa"/>
            <w:tcBorders>
              <w:top w:val="single" w:color="auto" w:sz="4" w:space="0"/>
            </w:tcBorders>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磁力搅拌台：自带磁力搅拌系统，转速可调</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进样管采用高洁净度、耐腐蚀性、半透明的PFA材质管路，方便更换，不易污染；</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可采集5℃~40℃的样本</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可自动执行常规的冲洗和清洗</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可采集0.2ml以内的精确样本量，并产生重复性高的分析结果</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检测到的粒子可以每毫升或者每容量值来报告。</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取样体积校正：连续测定3次，每次测得体积与量取体积的示值之差应在±5%以内，测定体积的平均值与量取体积的示值之差应在±3%以内</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微粒计数校正：测定3次，记录5µm通道的累计计数，第一次数据不计，后两次测定结果的平均值与已知粒子数之差应在±20%以内</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传感器分辨率校正：测定8µm、10µm、12µm三个通道的粒子数，计算8µm与10µm两个通道的差值计数和10µm与12µm两个通道的差值计数，上述两个差值计数与10µm通道的累计计数之比都不得小于68%</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传感器的resolution大于98%，能通过美国USP 1788传感器分辨率检测</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可保存检测原始数据，且可在无需重新检测样品的情况下支持对检测结果数据做重新分析，如重新设置通道数量展示；重新出具不同的法规报告</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同一校准曲线可同时通过C</w:t>
            </w:r>
            <w:r>
              <w:rPr>
                <w:szCs w:val="21"/>
                <w:lang w:eastAsia="zh-CN"/>
              </w:rPr>
              <w:t>P</w:t>
            </w:r>
            <w:r>
              <w:rPr>
                <w:rFonts w:hint="eastAsia"/>
                <w:szCs w:val="21"/>
                <w:lang w:eastAsia="zh-CN"/>
              </w:rPr>
              <w:t>和U</w:t>
            </w:r>
            <w:r>
              <w:rPr>
                <w:szCs w:val="21"/>
                <w:lang w:eastAsia="zh-CN"/>
              </w:rPr>
              <w:t>SP</w:t>
            </w:r>
            <w:r>
              <w:rPr>
                <w:rFonts w:hint="eastAsia"/>
                <w:szCs w:val="21"/>
                <w:lang w:eastAsia="zh-CN"/>
              </w:rPr>
              <w:t>标准</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可对微量检测做单独验证</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对同一样品的同一次检测数据作校准曲线校准前后误差对比分析</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hint="eastAsia"/>
                <w:szCs w:val="21"/>
                <w:lang w:eastAsia="zh-CN"/>
              </w:rPr>
            </w:pPr>
            <w:r>
              <w:rPr>
                <w:rFonts w:hint="eastAsia" w:ascii="宋体" w:hAnsi="宋体"/>
                <w:color w:val="000000"/>
                <w:szCs w:val="21"/>
                <w:lang w:eastAsia="zh-CN"/>
              </w:rPr>
              <w:t>品牌计算机，酷睿双核</w:t>
            </w:r>
            <w:r>
              <w:rPr>
                <w:rFonts w:hint="eastAsia" w:ascii="宋体" w:hAnsi="宋体"/>
                <w:color w:val="000000"/>
                <w:szCs w:val="21"/>
                <w:lang w:val="en-US" w:eastAsia="zh-CN"/>
              </w:rPr>
              <w:t>i7</w:t>
            </w:r>
            <w:r>
              <w:rPr>
                <w:rFonts w:hint="eastAsia" w:ascii="宋体" w:hAnsi="宋体"/>
                <w:color w:val="000000"/>
                <w:szCs w:val="21"/>
                <w:lang w:eastAsia="zh-CN"/>
              </w:rPr>
              <w:t>以上，</w:t>
            </w:r>
            <w:r>
              <w:rPr>
                <w:rFonts w:ascii="宋体" w:hAnsi="宋体"/>
                <w:color w:val="000000"/>
                <w:szCs w:val="21"/>
                <w:lang w:eastAsia="zh-CN"/>
              </w:rPr>
              <w:t>4G</w:t>
            </w:r>
            <w:r>
              <w:rPr>
                <w:rFonts w:hint="eastAsia" w:ascii="宋体" w:hAnsi="宋体"/>
                <w:color w:val="000000"/>
                <w:szCs w:val="21"/>
                <w:lang w:eastAsia="zh-CN"/>
              </w:rPr>
              <w:t>以上内存，</w:t>
            </w:r>
            <w:r>
              <w:rPr>
                <w:rFonts w:ascii="宋体" w:hAnsi="宋体"/>
                <w:color w:val="000000"/>
                <w:szCs w:val="21"/>
                <w:lang w:eastAsia="zh-CN"/>
              </w:rPr>
              <w:t>500G</w:t>
            </w:r>
            <w:r>
              <w:rPr>
                <w:rFonts w:hint="eastAsia" w:ascii="宋体" w:hAnsi="宋体"/>
                <w:color w:val="000000"/>
                <w:szCs w:val="21"/>
                <w:lang w:eastAsia="zh-CN"/>
              </w:rPr>
              <w:t>硬盘,</w:t>
            </w:r>
            <w:r>
              <w:rPr>
                <w:rFonts w:ascii="宋体" w:hAnsi="宋体"/>
                <w:color w:val="000000"/>
                <w:szCs w:val="21"/>
                <w:lang w:eastAsia="zh-CN"/>
              </w:rPr>
              <w:t xml:space="preserve"> </w:t>
            </w:r>
            <w:r>
              <w:rPr>
                <w:rFonts w:hint="eastAsia" w:ascii="宋体" w:hAnsi="宋体"/>
                <w:color w:val="000000"/>
                <w:szCs w:val="21"/>
                <w:lang w:eastAsia="zh-CN"/>
              </w:rPr>
              <w:t>液晶显示器、</w:t>
            </w:r>
            <w:r>
              <w:rPr>
                <w:rFonts w:hint="eastAsia" w:ascii="宋体" w:hAnsi="宋体"/>
                <w:color w:val="000000"/>
                <w:szCs w:val="21"/>
                <w:lang w:val="en-US" w:eastAsia="zh-CN"/>
              </w:rPr>
              <w:t>Windows10专业版以上</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hint="default" w:ascii="宋体" w:hAnsi="宋体"/>
                <w:color w:val="000000"/>
                <w:szCs w:val="21"/>
                <w:lang w:val="en-US" w:eastAsia="zh-CN"/>
              </w:rPr>
            </w:pPr>
            <w:r>
              <w:rPr>
                <w:rFonts w:hint="eastAsia" w:ascii="宋体" w:hAnsi="宋体"/>
                <w:color w:val="000000"/>
                <w:szCs w:val="21"/>
                <w:lang w:val="en-US" w:eastAsia="zh-CN"/>
              </w:rPr>
              <w:t>激光打印机</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hint="default" w:ascii="宋体" w:hAnsi="宋体"/>
                <w:color w:val="000000"/>
                <w:szCs w:val="21"/>
                <w:lang w:val="en-US" w:eastAsia="zh-CN"/>
              </w:rPr>
            </w:pPr>
            <w:r>
              <w:rPr>
                <w:rFonts w:hint="eastAsia" w:ascii="宋体" w:hAnsi="宋体"/>
                <w:color w:val="000000"/>
                <w:szCs w:val="21"/>
                <w:lang w:val="en-US" w:eastAsia="zh-CN"/>
              </w:rPr>
              <w:t>振荡器：水平圆周转动，直径12mm±1mm，振荡频率和时间可调，300转以上。</w:t>
            </w:r>
          </w:p>
        </w:tc>
        <w:tc>
          <w:tcPr>
            <w:tcW w:w="2128" w:type="dxa"/>
            <w:shd w:val="clear" w:color="auto" w:fill="auto"/>
            <w:vAlign w:val="center"/>
          </w:tcPr>
          <w:p>
            <w:pPr>
              <w:jc w:val="both"/>
              <w:rPr>
                <w:rFonts w:hint="default"/>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hint="default" w:ascii="宋体" w:hAnsi="宋体"/>
                <w:color w:val="000000"/>
                <w:szCs w:val="21"/>
                <w:lang w:val="en-US" w:eastAsia="zh-CN"/>
              </w:rPr>
            </w:pPr>
            <w:r>
              <w:rPr>
                <w:rFonts w:hint="eastAsia" w:ascii="宋体" w:hAnsi="宋体"/>
                <w:color w:val="000000"/>
                <w:szCs w:val="21"/>
                <w:lang w:val="en-US" w:eastAsia="zh-CN"/>
              </w:rPr>
              <w:t>10μm标准粒子</w:t>
            </w:r>
          </w:p>
        </w:tc>
        <w:tc>
          <w:tcPr>
            <w:tcW w:w="2128" w:type="dxa"/>
            <w:shd w:val="clear" w:color="auto" w:fill="auto"/>
            <w:vAlign w:val="center"/>
          </w:tcPr>
          <w:p>
            <w:pPr>
              <w:jc w:val="both"/>
              <w:rPr>
                <w:rFonts w:hint="default"/>
                <w:szCs w:val="21"/>
                <w:lang w:val="en-US" w:eastAsia="zh-CN"/>
              </w:rPr>
            </w:pPr>
            <w:r>
              <w:rPr>
                <w:rFonts w:hint="eastAsia"/>
                <w:szCs w:val="21"/>
                <w:lang w:val="en-US" w:eastAsia="zh-CN"/>
              </w:rPr>
              <w:t>关键</w:t>
            </w:r>
          </w:p>
        </w:tc>
      </w:tr>
    </w:tbl>
    <w:p>
      <w:pPr>
        <w:pStyle w:val="32"/>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1702480"/>
      <w:bookmarkStart w:id="30" w:name="_Toc483227237"/>
      <w:bookmarkStart w:id="31" w:name="_Toc482359946"/>
      <w:bookmarkStart w:id="32" w:name="_Toc482370359"/>
      <w:bookmarkStart w:id="33" w:name="_Toc483400317"/>
      <w:bookmarkStart w:id="34" w:name="_Toc482625289"/>
      <w:bookmarkStart w:id="35" w:name="_Toc482370151"/>
      <w:bookmarkStart w:id="36" w:name="_Toc482717202"/>
      <w:bookmarkStart w:id="37" w:name="_Toc482370767"/>
      <w:bookmarkStart w:id="38" w:name="_Toc482370071"/>
      <w:bookmarkStart w:id="39" w:name="_Toc482360291"/>
      <w:bookmarkStart w:id="40" w:name="_Toc482369815"/>
      <w:r>
        <w:rPr>
          <w:rFonts w:ascii="Times New Roman" w:hAnsi="Times New Roman"/>
          <w:b/>
        </w:rPr>
        <w:t>电气、自动控制要求</w:t>
      </w:r>
      <w:bookmarkEnd w:id="27"/>
    </w:p>
    <w:p>
      <w:pPr>
        <w:pStyle w:val="42"/>
        <w:spacing w:before="0" w:line="360" w:lineRule="auto"/>
        <w:ind w:left="425"/>
        <w:jc w:val="left"/>
        <w:rPr>
          <w:i/>
          <w:color w:val="4472C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2"/>
                <w:numId w:val="9"/>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软件： Windows专业版操作环境</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val="en-US" w:eastAsia="zh-CN"/>
              </w:rPr>
            </w:pPr>
            <w:r>
              <w:rPr>
                <w:rFonts w:hint="eastAsia"/>
                <w:szCs w:val="21"/>
                <w:lang w:val="en-US" w:eastAsia="zh-CN"/>
              </w:rPr>
              <w:t>为了防止由于断电等原因导致的系统中断，系统可自动保存中断前的数据及设置</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val="en-US" w:eastAsia="zh-CN"/>
              </w:rPr>
            </w:pPr>
            <w:r>
              <w:rPr>
                <w:rFonts w:hint="eastAsia"/>
                <w:szCs w:val="21"/>
                <w:lang w:val="en-US" w:eastAsia="zh-CN"/>
              </w:rPr>
              <w:t>仪器具有自检功能，能发出警报</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val="en-US" w:eastAsia="zh-CN"/>
              </w:rPr>
            </w:pPr>
            <w:r>
              <w:rPr>
                <w:rFonts w:hint="eastAsia"/>
                <w:szCs w:val="21"/>
                <w:lang w:val="en-US" w:eastAsia="zh-CN"/>
              </w:rPr>
              <w:t>可根据数据异常消除不稳定性，当气泡可能会影响颗粒计数结果，会发出警报</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val="en-US" w:eastAsia="zh-CN"/>
              </w:rPr>
            </w:pPr>
            <w:r>
              <w:rPr>
                <w:rFonts w:hint="eastAsia"/>
                <w:szCs w:val="21"/>
                <w:lang w:val="en-US" w:eastAsia="zh-CN"/>
              </w:rPr>
              <w:t>仪器必须具备审计追踪功能。任何对系统设置的修改和仪器操作均能被记录。</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2"/>
                <w:numId w:val="9"/>
              </w:numPr>
              <w:ind w:firstLineChars="0"/>
              <w:rPr>
                <w:rFonts w:ascii="Times New Roman" w:hAnsi="Times New Roman"/>
                <w:szCs w:val="21"/>
              </w:rPr>
            </w:pPr>
          </w:p>
        </w:tc>
        <w:tc>
          <w:tcPr>
            <w:tcW w:w="9250"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color w:val="0070C0"/>
                <w:szCs w:val="21"/>
                <w:lang w:eastAsia="zh-CN"/>
              </w:rPr>
            </w:pPr>
            <w:r>
              <w:rPr>
                <w:rFonts w:hint="eastAsia"/>
                <w:szCs w:val="21"/>
                <w:lang w:eastAsia="zh-CN"/>
              </w:rPr>
              <w:t>软件：搭配最新版21CFR Part II法规软件，支持审计追踪、用户权限管理、数据完整性、数据库管理（包含数据导出、自动备份、手动备份）、电子签名、安全性设置、多种报告形势及法规报告模板、支持Lims系统。审计追踪功能一旦开启，无法关闭；数据可自动保存至本地硬盘、远程同步至数据库以及可连接实验室lims系统</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检测无需提前预设数据通道，支持数据再分析，支持导出为PDF、Excel等格式；</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val="en-US" w:eastAsia="zh-CN"/>
              </w:rPr>
            </w:pPr>
            <w:r>
              <w:rPr>
                <w:rFonts w:hint="eastAsia"/>
                <w:szCs w:val="21"/>
                <w:lang w:val="en-US" w:eastAsia="zh-CN"/>
              </w:rPr>
              <w:t>软件界面可实时观察样品检测情况及设备运行情况，检测完成后支持多种数据分析方式，可进行数据重分析及后处理，可提供比对谱图；</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工作站界面：能适合不同层次实验任务和不同水平的操作人员使用。</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报告：结果可以有单个报告或综合报告，报告可打印出来。报告中可显示样品检测结果。报告内容不可纂改。</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可添加、删除、更改检测方案，后续无需重新设置，直接调用即可</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可保存设置、检测方案、检测结果，并能随时提取保存文件，保存的文件可自动或手动命名</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val="en-US" w:eastAsia="zh-CN"/>
              </w:rPr>
            </w:pPr>
            <w:r>
              <w:rPr>
                <w:rFonts w:hint="eastAsia"/>
                <w:szCs w:val="21"/>
                <w:lang w:val="en-US" w:eastAsia="zh-CN"/>
              </w:rPr>
              <w:t>系统中所有电子记录和电子签名应符合21CFR Part11要求</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hint="eastAsia"/>
                <w:szCs w:val="21"/>
                <w:lang w:val="en-US" w:eastAsia="zh-CN"/>
              </w:rPr>
            </w:pPr>
            <w:r>
              <w:rPr>
                <w:color w:val="auto"/>
                <w:szCs w:val="21"/>
                <w:lang w:eastAsia="zh-CN"/>
              </w:rPr>
              <w:t>仪器软件具有至少</w:t>
            </w:r>
            <w:r>
              <w:rPr>
                <w:rFonts w:hint="eastAsia"/>
                <w:color w:val="auto"/>
                <w:szCs w:val="21"/>
                <w:lang w:val="en-US" w:eastAsia="zh-CN"/>
              </w:rPr>
              <w:t>四</w:t>
            </w:r>
            <w:r>
              <w:rPr>
                <w:color w:val="auto"/>
                <w:szCs w:val="21"/>
                <w:lang w:eastAsia="zh-CN"/>
              </w:rPr>
              <w:t>级用户权限管理及密码管理的功能</w:t>
            </w:r>
            <w:r>
              <w:rPr>
                <w:rFonts w:hint="eastAsia"/>
                <w:color w:val="auto"/>
                <w:szCs w:val="21"/>
                <w:lang w:eastAsia="zh-CN"/>
              </w:rPr>
              <w:t>，</w:t>
            </w:r>
            <w:r>
              <w:rPr>
                <w:color w:val="auto"/>
                <w:szCs w:val="21"/>
                <w:lang w:eastAsia="zh-CN"/>
              </w:rPr>
              <w:t>每个等级拥有相应的可设置权限</w:t>
            </w:r>
            <w:r>
              <w:rPr>
                <w:rFonts w:hint="eastAsia"/>
                <w:color w:val="auto"/>
                <w:szCs w:val="21"/>
                <w:lang w:eastAsia="zh-CN"/>
              </w:rPr>
              <w:t>。</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color w:val="auto"/>
                <w:szCs w:val="21"/>
                <w:lang w:eastAsia="zh-CN"/>
              </w:rPr>
            </w:pPr>
            <w:r>
              <w:rPr>
                <w:color w:val="auto"/>
                <w:szCs w:val="21"/>
                <w:lang w:eastAsia="zh-CN"/>
              </w:rPr>
              <w:t>仪器软件应可以设置</w:t>
            </w:r>
            <w:r>
              <w:rPr>
                <w:rFonts w:hint="eastAsia"/>
                <w:color w:val="auto"/>
                <w:szCs w:val="21"/>
                <w:lang w:val="en-US" w:eastAsia="zh-CN"/>
              </w:rPr>
              <w:t>至少20个用户</w:t>
            </w:r>
            <w:r>
              <w:rPr>
                <w:rFonts w:hint="eastAsia"/>
                <w:color w:val="auto"/>
                <w:szCs w:val="21"/>
                <w:lang w:eastAsia="zh-CN"/>
              </w:rPr>
              <w:t>，</w:t>
            </w:r>
            <w:r>
              <w:rPr>
                <w:color w:val="auto"/>
                <w:szCs w:val="21"/>
                <w:lang w:eastAsia="zh-CN"/>
              </w:rPr>
              <w:t>系统应可以为每个用户创建唯一的用户名和密码</w:t>
            </w:r>
            <w:r>
              <w:rPr>
                <w:rFonts w:hint="eastAsia"/>
                <w:color w:val="auto"/>
                <w:szCs w:val="21"/>
                <w:lang w:eastAsia="zh-CN"/>
              </w:rPr>
              <w:t>，</w:t>
            </w:r>
            <w:r>
              <w:rPr>
                <w:color w:val="auto"/>
                <w:szCs w:val="21"/>
                <w:lang w:eastAsia="zh-CN"/>
              </w:rPr>
              <w:t>系统应不允许两个或多个用户拥有相同的用户名</w:t>
            </w:r>
            <w:r>
              <w:rPr>
                <w:rFonts w:hint="eastAsia"/>
                <w:color w:val="auto"/>
                <w:szCs w:val="21"/>
                <w:lang w:eastAsia="zh-CN"/>
              </w:rPr>
              <w:t>。</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hint="eastAsia"/>
                <w:color w:val="auto"/>
                <w:szCs w:val="21"/>
                <w:lang w:eastAsia="zh-CN"/>
              </w:rPr>
            </w:pPr>
            <w:r>
              <w:rPr>
                <w:color w:val="auto"/>
                <w:szCs w:val="21"/>
                <w:lang w:eastAsia="zh-CN"/>
              </w:rPr>
              <w:t>用户在密码输入时，电脑显示器上应不显示实际密码（比如密码会以*或其他符合显示）</w:t>
            </w:r>
            <w:r>
              <w:rPr>
                <w:rFonts w:hint="eastAsia"/>
                <w:color w:val="auto"/>
                <w:szCs w:val="21"/>
                <w:lang w:eastAsia="zh-CN"/>
              </w:rPr>
              <w:t>。</w:t>
            </w:r>
          </w:p>
          <w:p>
            <w:pPr>
              <w:spacing w:line="276" w:lineRule="auto"/>
              <w:jc w:val="both"/>
              <w:rPr>
                <w:rFonts w:hint="eastAsia"/>
                <w:color w:val="auto"/>
                <w:szCs w:val="21"/>
                <w:lang w:val="en-US" w:eastAsia="zh-CN"/>
              </w:rPr>
            </w:pPr>
            <w:r>
              <w:rPr>
                <w:color w:val="auto"/>
                <w:szCs w:val="21"/>
                <w:lang w:eastAsia="zh-CN"/>
              </w:rPr>
              <w:t>系统管理员应可以重置密码</w:t>
            </w:r>
            <w:r>
              <w:rPr>
                <w:rFonts w:hint="eastAsia"/>
                <w:color w:val="auto"/>
                <w:szCs w:val="21"/>
                <w:lang w:eastAsia="zh-CN"/>
              </w:rPr>
              <w:t>，</w:t>
            </w:r>
            <w:r>
              <w:rPr>
                <w:color w:val="auto"/>
                <w:szCs w:val="21"/>
                <w:lang w:eastAsia="zh-CN"/>
              </w:rPr>
              <w:t>系统应可以设置密码最小长度为</w:t>
            </w:r>
            <w:r>
              <w:rPr>
                <w:rFonts w:hint="eastAsia"/>
                <w:color w:val="auto"/>
                <w:szCs w:val="21"/>
                <w:lang w:val="en-US" w:eastAsia="zh-CN"/>
              </w:rPr>
              <w:t>10位，复杂度为至少包括3种字符。</w:t>
            </w:r>
          </w:p>
          <w:p>
            <w:pPr>
              <w:spacing w:line="276" w:lineRule="auto"/>
              <w:jc w:val="both"/>
              <w:rPr>
                <w:color w:val="auto"/>
                <w:szCs w:val="21"/>
                <w:lang w:eastAsia="zh-CN"/>
              </w:rPr>
            </w:pPr>
            <w:r>
              <w:rPr>
                <w:rFonts w:hint="eastAsia"/>
                <w:color w:val="auto"/>
                <w:szCs w:val="21"/>
                <w:lang w:val="en-US" w:eastAsia="zh-CN"/>
              </w:rPr>
              <w:t>系统应能设置密码有效期。</w:t>
            </w:r>
            <w:r>
              <w:rPr>
                <w:color w:val="auto"/>
                <w:szCs w:val="21"/>
                <w:lang w:eastAsia="zh-CN"/>
              </w:rPr>
              <w:t>系统应可提示密码效期信息以提醒用户更改密码。</w:t>
            </w:r>
          </w:p>
          <w:p>
            <w:pPr>
              <w:spacing w:line="276" w:lineRule="auto"/>
              <w:jc w:val="both"/>
              <w:rPr>
                <w:color w:val="auto"/>
                <w:szCs w:val="21"/>
                <w:lang w:eastAsia="zh-CN"/>
              </w:rPr>
            </w:pPr>
            <w:r>
              <w:rPr>
                <w:color w:val="auto"/>
                <w:szCs w:val="21"/>
                <w:lang w:eastAsia="zh-CN"/>
              </w:rPr>
              <w:t>应有安全保护以防止未授权的用户账号和密码进行使用，比如3次无效登录尝试后将锁定账户等</w:t>
            </w:r>
            <w:r>
              <w:rPr>
                <w:rFonts w:hint="eastAsia"/>
                <w:color w:val="auto"/>
                <w:szCs w:val="21"/>
                <w:lang w:eastAsia="zh-CN"/>
              </w:rPr>
              <w:t>。</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color w:val="auto"/>
                <w:szCs w:val="21"/>
                <w:lang w:eastAsia="zh-CN"/>
              </w:rPr>
            </w:pPr>
            <w:r>
              <w:rPr>
                <w:color w:val="auto"/>
                <w:szCs w:val="21"/>
                <w:lang w:eastAsia="zh-CN"/>
              </w:rPr>
              <w:t>系统必须具有超时强制退出要求重新登录的功能。</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color w:val="auto"/>
                <w:szCs w:val="21"/>
                <w:lang w:eastAsia="zh-CN"/>
              </w:rPr>
            </w:pPr>
            <w:r>
              <w:rPr>
                <w:rFonts w:hint="eastAsia"/>
                <w:color w:val="auto"/>
                <w:szCs w:val="21"/>
                <w:lang w:eastAsia="zh-CN"/>
              </w:rPr>
              <w:t>审计追踪功能可以记录系统和安全的事件，比如登录登出、密码更改、方法参数更改、记录删除及操作人员和日期时间等。审计追踪记录应不可被删除或更改</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hint="eastAsia"/>
                <w:color w:val="auto"/>
                <w:szCs w:val="21"/>
                <w:lang w:eastAsia="zh-CN"/>
              </w:rPr>
            </w:pPr>
            <w:r>
              <w:rPr>
                <w:rFonts w:hint="eastAsia"/>
                <w:szCs w:val="21"/>
                <w:lang w:val="en-US" w:eastAsia="zh-CN"/>
              </w:rPr>
              <w:t>数据可以设置自动备份到本地。</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2"/>
        <w:spacing w:before="0" w:line="360" w:lineRule="auto"/>
        <w:ind w:left="357"/>
        <w:jc w:val="left"/>
        <w:rPr>
          <w:i/>
          <w:color w:val="4472C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ind w:firstLine="0" w:firstLineChars="0"/>
              <w:rPr>
                <w:rFonts w:ascii="Times New Roman" w:hAnsi="Times New Roman"/>
                <w:szCs w:val="21"/>
              </w:rPr>
            </w:pPr>
          </w:p>
        </w:tc>
        <w:tc>
          <w:tcPr>
            <w:tcW w:w="9250" w:type="dxa"/>
            <w:gridSpan w:val="2"/>
            <w:shd w:val="clear" w:color="auto" w:fill="auto"/>
            <w:vAlign w:val="center"/>
          </w:tcPr>
          <w:p>
            <w:pPr>
              <w:spacing w:line="276" w:lineRule="auto"/>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2"/>
              <w:numPr>
                <w:ilvl w:val="0"/>
                <w:numId w:val="10"/>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ascii="Times New Roman" w:hAnsi="Times New Roman" w:eastAsia="宋体" w:cs="Times New Roman"/>
                <w:sz w:val="21"/>
                <w:szCs w:val="21"/>
                <w:lang w:val="en-US" w:eastAsia="zh-CN" w:bidi="ar-SA"/>
              </w:rPr>
              <w:t>建议设备应有过流和过载保护，金属外壳应有良好的接地。</w:t>
            </w:r>
          </w:p>
        </w:tc>
        <w:tc>
          <w:tcPr>
            <w:tcW w:w="2128" w:type="dxa"/>
            <w:shd w:val="clear" w:color="auto" w:fill="auto"/>
            <w:vAlign w:val="center"/>
          </w:tcPr>
          <w:p>
            <w:pPr>
              <w:jc w:val="both"/>
              <w:rPr>
                <w:szCs w:val="21"/>
                <w:lang w:eastAsia="zh-CN"/>
              </w:rPr>
            </w:pPr>
            <w:r>
              <w:rPr>
                <w:rFonts w:hint="eastAsia"/>
                <w:szCs w:val="21"/>
                <w:lang w:eastAsia="zh-CN"/>
              </w:rPr>
              <w:t>关键</w:t>
            </w:r>
          </w:p>
        </w:tc>
      </w:tr>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lang w:eastAsia="zh-CN"/>
              </w:rPr>
              <w:t>投标文件、合同及订单。</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lang w:eastAsia="zh-CN"/>
              </w:rPr>
              <w:t>卖方发运清单及相关检验报告。</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lang w:eastAsia="zh-CN"/>
              </w:rPr>
              <w:t>系统功能配置清单及说明，包含各组件名称、编号、型号、规格、品牌、材质等。</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lang w:eastAsia="zh-CN"/>
              </w:rPr>
              <w:t>设备标准技术文件，包括设计说明（</w:t>
            </w:r>
            <w:r>
              <w:rPr>
                <w:lang w:eastAsia="zh-CN"/>
              </w:rPr>
              <w:t>DS</w:t>
            </w:r>
            <w:r>
              <w:rPr>
                <w:rFonts w:hint="eastAsia"/>
                <w:lang w:eastAsia="zh-CN"/>
              </w:rPr>
              <w:t>）和功能说明（</w:t>
            </w:r>
            <w:r>
              <w:rPr>
                <w:lang w:eastAsia="zh-CN"/>
              </w:rPr>
              <w:t>FS</w:t>
            </w:r>
            <w:r>
              <w:rPr>
                <w:rFonts w:hint="eastAsia"/>
                <w:lang w:eastAsia="zh-CN"/>
              </w:rPr>
              <w:t>）文件。</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lang w:eastAsia="zh-CN"/>
              </w:rPr>
              <w:t>实物图；各种确认、维修等活动所需的电子版及打印版图纸（</w:t>
            </w:r>
            <w:r>
              <w:rPr>
                <w:lang w:eastAsia="zh-CN"/>
              </w:rPr>
              <w:t>P&amp;ID</w:t>
            </w:r>
            <w:r>
              <w:rPr>
                <w:rFonts w:hint="eastAsia"/>
                <w:lang w:eastAsia="zh-CN"/>
              </w:rPr>
              <w:t>图、控制原理图、设备装配图、设备工作原理图等）；注释参考等；图纸清单。</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rFonts w:hAnsi="宋体"/>
                <w:szCs w:val="21"/>
                <w:u w:color="333333"/>
                <w:lang w:val="zh-TW" w:eastAsia="zh-CN"/>
              </w:rPr>
            </w:pPr>
            <w:r>
              <w:rPr>
                <w:rFonts w:hint="eastAsia"/>
                <w:lang w:eastAsia="zh-CN"/>
              </w:rPr>
              <w:t>零部件、易损件、备件、消耗品、仪器仪表清单，包括名称、编号、对应厂家名称、生产地、规格及必要说明。</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lang w:eastAsia="zh-CN"/>
              </w:rPr>
              <w:t>设备厂家文件：出厂测试合格证、相关检测报告、各种标示。</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lang w:eastAsia="zh-CN"/>
              </w:rPr>
              <w:t>设备操作手册（</w:t>
            </w:r>
            <w:r>
              <w:rPr>
                <w:lang w:eastAsia="zh-CN"/>
              </w:rPr>
              <w:t>SOP</w:t>
            </w:r>
            <w:r>
              <w:rPr>
                <w:rFonts w:hint="eastAsia"/>
                <w:lang w:eastAsia="zh-CN"/>
              </w:rPr>
              <w:t>）：语言为中文，应说明校准周期。</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rFonts w:hAnsi="宋体"/>
                <w:szCs w:val="21"/>
                <w:u w:color="333333"/>
                <w:lang w:val="zh-TW" w:eastAsia="zh-CN"/>
              </w:rPr>
            </w:pPr>
            <w:r>
              <w:rPr>
                <w:rFonts w:hint="eastAsia"/>
              </w:rPr>
              <w:t>设备交付计划表。</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pStyle w:val="6"/>
              <w:rPr>
                <w:rFonts w:hAnsi="宋体"/>
                <w:szCs w:val="21"/>
                <w:u w:color="333333"/>
                <w:lang w:eastAsia="zh-CN"/>
              </w:rPr>
            </w:pPr>
            <w:r>
              <w:rPr>
                <w:rFonts w:hint="eastAsia"/>
              </w:rPr>
              <w:t>需提供具有CNAS、CMA资质的第三方计量机构出具的计量证书或报告。校准项目参照JJF 1290-2011《微粒检测仪校准规范》，包括取样体积相对偏差，微粒计数的相对误差（≥5μm以及≥12μm），微粒计数重复性，通道分辨力（8μm，10μm，12μm之间）</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rFonts w:hAnsi="宋体"/>
                <w:szCs w:val="21"/>
                <w:u w:color="333333"/>
                <w:lang w:eastAsia="zh-TW"/>
              </w:rPr>
            </w:pPr>
            <w:r>
              <w:rPr>
                <w:rFonts w:hint="eastAsia"/>
              </w:rPr>
              <w:t>安全报告。</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rFonts w:hAnsi="宋体"/>
                <w:szCs w:val="21"/>
                <w:u w:color="333333"/>
                <w:lang w:eastAsia="zh-CN"/>
              </w:rPr>
            </w:pPr>
            <w:r>
              <w:rPr>
                <w:rFonts w:hint="eastAsia"/>
                <w:lang w:eastAsia="zh-CN"/>
              </w:rPr>
              <w:t>调试文件：调试计划、调试方案、设备测试记录，检测清单，测试报告，调试总结报告、现场验收报告等。</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rFonts w:hint="default"/>
                <w:lang w:val="en-US" w:eastAsia="zh-CN"/>
              </w:rPr>
            </w:pPr>
            <w:r>
              <w:rPr>
                <w:rFonts w:hint="eastAsia"/>
                <w:lang w:eastAsia="zh-CN"/>
              </w:rPr>
              <w:t>验证文件：</w:t>
            </w:r>
            <w:r>
              <w:rPr>
                <w:rFonts w:hint="eastAsia"/>
                <w:lang w:val="en-US" w:eastAsia="zh-CN"/>
              </w:rPr>
              <w:t>仪器及软件验证文件</w:t>
            </w:r>
          </w:p>
          <w:p>
            <w:pPr>
              <w:jc w:val="both"/>
              <w:rPr>
                <w:rFonts w:hint="eastAsia"/>
                <w:lang w:eastAsia="zh-CN"/>
              </w:rPr>
            </w:pPr>
            <w:r>
              <w:rPr>
                <w:rFonts w:hint="eastAsia"/>
                <w:lang w:eastAsia="zh-CN"/>
              </w:rPr>
              <w:t>验证计划</w:t>
            </w:r>
          </w:p>
          <w:p>
            <w:pPr>
              <w:jc w:val="both"/>
              <w:rPr>
                <w:rFonts w:hint="eastAsia"/>
                <w:lang w:eastAsia="zh-CN"/>
              </w:rPr>
            </w:pPr>
            <w:r>
              <w:rPr>
                <w:rFonts w:hint="eastAsia"/>
                <w:lang w:eastAsia="zh-CN"/>
              </w:rPr>
              <w:t>满足GMP和GAMP5等相关法规的评估文件</w:t>
            </w:r>
          </w:p>
          <w:p>
            <w:pPr>
              <w:jc w:val="both"/>
              <w:rPr>
                <w:rFonts w:hint="eastAsia"/>
                <w:lang w:eastAsia="zh-CN"/>
              </w:rPr>
            </w:pPr>
            <w:r>
              <w:rPr>
                <w:rFonts w:hint="eastAsia"/>
                <w:lang w:eastAsia="zh-CN"/>
              </w:rPr>
              <w:t>设计确认及文件（DQ），</w:t>
            </w:r>
          </w:p>
          <w:p>
            <w:pPr>
              <w:jc w:val="both"/>
              <w:rPr>
                <w:rFonts w:hint="eastAsia"/>
                <w:lang w:eastAsia="zh-CN"/>
              </w:rPr>
            </w:pPr>
            <w:r>
              <w:rPr>
                <w:rFonts w:hint="eastAsia"/>
                <w:lang w:eastAsia="zh-CN"/>
              </w:rPr>
              <w:t>安装确认及文件（IQ）；</w:t>
            </w:r>
          </w:p>
          <w:p>
            <w:pPr>
              <w:jc w:val="both"/>
              <w:rPr>
                <w:rFonts w:hint="eastAsia"/>
                <w:lang w:eastAsia="zh-CN"/>
              </w:rPr>
            </w:pPr>
            <w:r>
              <w:rPr>
                <w:rFonts w:hint="eastAsia"/>
                <w:lang w:eastAsia="zh-CN"/>
              </w:rPr>
              <w:t>运行确认及文件（OQ）；</w:t>
            </w:r>
          </w:p>
          <w:p>
            <w:pPr>
              <w:jc w:val="both"/>
              <w:rPr>
                <w:rFonts w:asciiTheme="majorEastAsia" w:hAnsiTheme="majorEastAsia" w:eastAsiaTheme="majorEastAsia"/>
                <w:sz w:val="21"/>
                <w:szCs w:val="21"/>
                <w:lang w:val="en-US" w:eastAsia="zh-CN"/>
              </w:rPr>
            </w:pPr>
            <w:r>
              <w:rPr>
                <w:rFonts w:hint="eastAsia"/>
                <w:lang w:eastAsia="zh-CN"/>
              </w:rPr>
              <w:t>设备生产商负责制定设备验证计划、评估文件、DQ/IQ/OQ验证文件，并负责验证工作的实施，该验证文件作为设备必备文件</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tabs>
                <w:tab w:val="left" w:pos="368"/>
                <w:tab w:val="left" w:pos="370"/>
              </w:tabs>
              <w:jc w:val="both"/>
              <w:rPr>
                <w:szCs w:val="21"/>
                <w:lang w:eastAsia="zh-CN"/>
              </w:rPr>
            </w:pPr>
            <w:r>
              <w:rPr>
                <w:rFonts w:hint="eastAsia"/>
                <w:szCs w:val="21"/>
                <w:lang w:eastAsia="zh-CN"/>
              </w:rPr>
              <w:t>验证补充文件：</w:t>
            </w:r>
          </w:p>
          <w:p>
            <w:pPr>
              <w:numPr>
                <w:ilvl w:val="1"/>
                <w:numId w:val="7"/>
              </w:numPr>
              <w:tabs>
                <w:tab w:val="left" w:pos="370"/>
              </w:tabs>
              <w:ind w:left="370" w:hanging="370"/>
              <w:jc w:val="both"/>
              <w:rPr>
                <w:szCs w:val="21"/>
                <w:lang w:eastAsia="zh-CN"/>
              </w:rPr>
            </w:pPr>
            <w:r>
              <w:rPr>
                <w:rFonts w:hint="eastAsia"/>
                <w:szCs w:val="21"/>
                <w:lang w:eastAsia="zh-CN"/>
              </w:rPr>
              <w:t>追溯矩阵（</w:t>
            </w:r>
            <w:r>
              <w:rPr>
                <w:szCs w:val="21"/>
                <w:lang w:eastAsia="zh-CN"/>
              </w:rPr>
              <w:t>RTM</w:t>
            </w:r>
            <w:r>
              <w:rPr>
                <w:rFonts w:hint="eastAsia"/>
                <w:szCs w:val="21"/>
                <w:lang w:eastAsia="zh-CN"/>
              </w:rPr>
              <w:t>）</w:t>
            </w:r>
          </w:p>
          <w:p>
            <w:pPr>
              <w:numPr>
                <w:ilvl w:val="1"/>
                <w:numId w:val="7"/>
              </w:numPr>
              <w:tabs>
                <w:tab w:val="left" w:pos="370"/>
              </w:tabs>
              <w:ind w:left="370" w:hanging="370"/>
              <w:jc w:val="both"/>
              <w:rPr>
                <w:szCs w:val="21"/>
                <w:lang w:eastAsia="zh-CN"/>
              </w:rPr>
            </w:pPr>
            <w:r>
              <w:rPr>
                <w:rFonts w:hint="eastAsia"/>
                <w:szCs w:val="21"/>
                <w:lang w:eastAsia="zh-CN"/>
              </w:rPr>
              <w:t>验证总结报告（</w:t>
            </w:r>
            <w:r>
              <w:rPr>
                <w:szCs w:val="21"/>
                <w:lang w:eastAsia="zh-CN"/>
              </w:rPr>
              <w:t>VSR</w:t>
            </w:r>
            <w:r>
              <w:rPr>
                <w:rFonts w:hint="eastAsia"/>
                <w:szCs w:val="21"/>
                <w:lang w:eastAsia="zh-CN"/>
              </w:rPr>
              <w:t>）</w:t>
            </w:r>
          </w:p>
          <w:p>
            <w:pPr>
              <w:jc w:val="both"/>
              <w:rPr>
                <w:rFonts w:hint="eastAsia"/>
                <w:lang w:eastAsia="zh-CN"/>
              </w:rPr>
            </w:pPr>
            <w:r>
              <w:rPr>
                <w:rFonts w:hint="eastAsia"/>
                <w:szCs w:val="21"/>
                <w:lang w:eastAsia="zh-CN"/>
              </w:rPr>
              <w:t>设备生产商可提供追溯矩阵、验证总结报告更好。</w:t>
            </w:r>
          </w:p>
        </w:tc>
        <w:tc>
          <w:tcPr>
            <w:tcW w:w="2128" w:type="dxa"/>
            <w:shd w:val="clear" w:color="auto" w:fill="auto"/>
            <w:vAlign w:val="center"/>
          </w:tcPr>
          <w:p>
            <w:pPr>
              <w:jc w:val="both"/>
              <w:rPr>
                <w:rFonts w:hint="eastAsia" w:eastAsia="宋体"/>
                <w:szCs w:val="21"/>
                <w:lang w:val="en-US" w:eastAsia="zh-CN"/>
              </w:rPr>
            </w:pPr>
            <w:r>
              <w:rPr>
                <w:rFonts w:hint="eastAsia"/>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rPr>
                <w:rFonts w:hAnsi="宋体"/>
                <w:szCs w:val="21"/>
                <w:u w:color="333333"/>
                <w:lang w:val="zh-TW" w:eastAsia="zh-CN"/>
              </w:rPr>
            </w:pPr>
            <w:r>
              <w:rPr>
                <w:rFonts w:hint="eastAsia"/>
                <w:lang w:eastAsia="zh-CN"/>
              </w:rPr>
              <w:t>使用操作说明书及维护保养说明（即运行及维护手册）</w:t>
            </w:r>
            <w:r>
              <w:rPr>
                <w:lang w:eastAsia="zh-CN"/>
              </w:rPr>
              <w:t>3</w:t>
            </w:r>
            <w:r>
              <w:rPr>
                <w:rFonts w:hint="eastAsia"/>
                <w:lang w:eastAsia="zh-CN"/>
              </w:rPr>
              <w:t>份。</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rPr>
                <w:rFonts w:hAnsi="宋体"/>
                <w:szCs w:val="21"/>
                <w:u w:color="333333"/>
                <w:lang w:val="zh-TW" w:eastAsia="zh-CN"/>
              </w:rPr>
            </w:pPr>
            <w:r>
              <w:rPr>
                <w:rFonts w:hint="eastAsia"/>
                <w:lang w:eastAsia="zh-CN"/>
              </w:rPr>
              <w:t>提供设备及其零部件使用寿命清单。</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rPr>
                <w:lang w:eastAsia="zh-CN"/>
              </w:rPr>
            </w:pPr>
            <w:r>
              <w:rPr>
                <w:rFonts w:hint="eastAsia"/>
                <w:lang w:eastAsia="zh-CN"/>
              </w:rPr>
              <w:t>应有针对每一部件所作序号的简明图册，以便于维修人员查找和辩识。</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pStyle w:val="7"/>
              <w:spacing w:line="46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文件具体要求：</w:t>
            </w:r>
          </w:p>
          <w:p>
            <w:pPr>
              <w:pStyle w:val="7"/>
              <w:spacing w:line="46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w:t>
            </w: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）系统相关方案中，应明确本系统的配置、规格，并且通过分析阐述每一个系统环节的必要性；</w:t>
            </w:r>
          </w:p>
          <w:p>
            <w:pPr>
              <w:pStyle w:val="7"/>
              <w:spacing w:line="46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w:t>
            </w:r>
            <w:r>
              <w:rPr>
                <w:rFonts w:asciiTheme="majorEastAsia" w:hAnsiTheme="majorEastAsia" w:eastAsiaTheme="majorEastAsia"/>
                <w:sz w:val="21"/>
                <w:szCs w:val="21"/>
                <w:lang w:eastAsia="zh-CN"/>
              </w:rPr>
              <w:t>2</w:t>
            </w:r>
            <w:r>
              <w:rPr>
                <w:rFonts w:hint="eastAsia" w:asciiTheme="majorEastAsia" w:hAnsiTheme="majorEastAsia" w:eastAsiaTheme="majorEastAsia"/>
                <w:sz w:val="21"/>
                <w:szCs w:val="21"/>
                <w:lang w:eastAsia="zh-CN"/>
              </w:rPr>
              <w:t>）标书中明确系统所有组件的品牌、材质、型号，并且注明每一个组件的保修期。</w:t>
            </w:r>
          </w:p>
          <w:p>
            <w:pPr>
              <w:rPr>
                <w:lang w:eastAsia="zh-CN"/>
              </w:rPr>
            </w:pPr>
            <w:r>
              <w:rPr>
                <w:rFonts w:hint="eastAsia" w:asciiTheme="majorEastAsia" w:hAnsiTheme="majorEastAsia" w:eastAsiaTheme="majorEastAsia"/>
                <w:szCs w:val="21"/>
                <w:lang w:eastAsia="zh-CN"/>
              </w:rPr>
              <w:t>（</w:t>
            </w:r>
            <w:r>
              <w:rPr>
                <w:rFonts w:asciiTheme="majorEastAsia" w:hAnsiTheme="majorEastAsia" w:eastAsiaTheme="majorEastAsia"/>
                <w:szCs w:val="21"/>
                <w:lang w:eastAsia="zh-CN"/>
              </w:rPr>
              <w:t>3</w:t>
            </w:r>
            <w:r>
              <w:rPr>
                <w:rFonts w:hint="eastAsia" w:asciiTheme="majorEastAsia" w:hAnsiTheme="majorEastAsia" w:eastAsiaTheme="majorEastAsia"/>
                <w:szCs w:val="21"/>
                <w:lang w:eastAsia="zh-CN"/>
              </w:rPr>
              <w:t>）需要提供主要配件清单，并作单项报价备案，列在合同方案之内。</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rPr>
                <w:rFonts w:hint="eastAsia" w:asciiTheme="majorEastAsia" w:hAnsiTheme="majorEastAsia" w:eastAsiaTheme="majorEastAsia"/>
                <w:szCs w:val="21"/>
                <w:lang w:eastAsia="zh-CN"/>
              </w:rPr>
            </w:pPr>
            <w:r>
              <w:rPr>
                <w:rFonts w:hint="eastAsia"/>
                <w:szCs w:val="21"/>
                <w:lang w:eastAsia="zh-CN"/>
              </w:rPr>
              <w:t>上述条款规定的文件需提供电子版，并在设备开箱验收时将最终批准的电子版全套资料交工程技术部存档</w:t>
            </w:r>
          </w:p>
        </w:tc>
        <w:tc>
          <w:tcPr>
            <w:tcW w:w="2128" w:type="dxa"/>
            <w:shd w:val="clear" w:color="auto" w:fill="auto"/>
            <w:vAlign w:val="center"/>
          </w:tcPr>
          <w:p>
            <w:pPr>
              <w:jc w:val="both"/>
              <w:rPr>
                <w:rFonts w:hint="eastAsia"/>
                <w:szCs w:val="21"/>
                <w:lang w:eastAsia="zh-CN"/>
              </w:rPr>
            </w:pPr>
            <w:r>
              <w:rPr>
                <w:rFonts w:hint="eastAsia"/>
                <w:szCs w:val="21"/>
                <w:lang w:eastAsia="zh-CN"/>
              </w:rPr>
              <w:t>关键</w:t>
            </w:r>
          </w:p>
        </w:tc>
      </w:tr>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2"/>
        <w:spacing w:before="0" w:line="360" w:lineRule="auto"/>
        <w:ind w:left="357"/>
        <w:jc w:val="left"/>
        <w:rPr>
          <w:i/>
          <w:color w:val="4472C4"/>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设备供应商应免费对仪器使用方人员进行全面培训，包括</w:t>
            </w:r>
            <w:r>
              <w:rPr>
                <w:rFonts w:hint="eastAsia"/>
                <w:lang w:val="en-US" w:eastAsia="zh-CN"/>
              </w:rPr>
              <w:t>安全使用和应急处置措施相关的内容，对</w:t>
            </w:r>
            <w:r>
              <w:rPr>
                <w:rFonts w:hint="eastAsia"/>
                <w:lang w:eastAsia="zh-CN"/>
              </w:rPr>
              <w:t>操作人员及仪器维护、维修人员，并填写培训记录。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操作人员培训包括仪器结构原理、性能、操作、清洗消毒、故障排除等基本知识，以及软件的各项功能的应用。合格标准为用户参加培训人员能够独立正确操作仪器，会排除常见故障，能正确使用软件。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仪器维护、维修人员培训应包括仪器结构原理、基本操作、维修、日常保养内容、故障排除等基本知识。合格标准为维修人员能对机械、电器部分进行基本维修，能够了解仪器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szCs w:val="21"/>
                <w:lang w:eastAsia="zh-CN"/>
              </w:rPr>
            </w:pPr>
            <w:r>
              <w:rPr>
                <w:rFonts w:ascii="Arial Narrow" w:hAnsi="宋体" w:cs="Arial"/>
                <w:szCs w:val="21"/>
                <w:lang w:eastAsia="zh-CN"/>
              </w:rPr>
              <w:t>能够提供完善的仪器</w:t>
            </w:r>
            <w:r>
              <w:rPr>
                <w:rFonts w:hint="eastAsia" w:ascii="Arial Narrow" w:hAnsi="宋体" w:cs="Arial"/>
                <w:szCs w:val="21"/>
                <w:lang w:val="en-US" w:eastAsia="zh-CN"/>
              </w:rPr>
              <w:t>及（包含软件）</w:t>
            </w:r>
            <w:r>
              <w:rPr>
                <w:rFonts w:ascii="Arial Narrow" w:hAnsi="Arial Narrow" w:cs="Arial"/>
                <w:szCs w:val="21"/>
                <w:lang w:eastAsia="zh-CN"/>
              </w:rPr>
              <w:t>IQ</w:t>
            </w:r>
            <w:r>
              <w:rPr>
                <w:rFonts w:ascii="Arial Narrow" w:hAnsi="宋体" w:cs="Arial"/>
                <w:szCs w:val="21"/>
                <w:lang w:eastAsia="zh-CN"/>
              </w:rPr>
              <w:t>、</w:t>
            </w:r>
            <w:r>
              <w:rPr>
                <w:rFonts w:ascii="Arial Narrow" w:hAnsi="Arial Narrow" w:cs="Arial"/>
                <w:szCs w:val="21"/>
                <w:lang w:eastAsia="zh-CN"/>
              </w:rPr>
              <w:t>OQ</w:t>
            </w:r>
            <w:r>
              <w:rPr>
                <w:rFonts w:ascii="Arial Narrow" w:hAnsi="宋体" w:cs="Arial"/>
                <w:szCs w:val="21"/>
                <w:lang w:eastAsia="zh-CN"/>
              </w:rPr>
              <w:t>、</w:t>
            </w:r>
            <w:r>
              <w:rPr>
                <w:rFonts w:ascii="Arial Narrow" w:hAnsi="Arial Narrow" w:cs="Arial"/>
                <w:szCs w:val="21"/>
                <w:lang w:eastAsia="zh-CN"/>
              </w:rPr>
              <w:t>PQ</w:t>
            </w:r>
            <w:r>
              <w:rPr>
                <w:rFonts w:ascii="Arial Narrow" w:hAnsi="宋体" w:cs="Arial"/>
                <w:szCs w:val="21"/>
                <w:lang w:eastAsia="zh-CN"/>
              </w:rPr>
              <w:t>验证，</w:t>
            </w:r>
            <w:r>
              <w:rPr>
                <w:rFonts w:ascii="宋体" w:hAnsi="宋体" w:cs="Arial"/>
                <w:szCs w:val="21"/>
                <w:lang w:eastAsia="zh-CN"/>
              </w:rPr>
              <w:t>供应商需要提供培训，并指导和协助用户完成PQ验证，包括验证实施及验证报告撰写。</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投标方按</w:t>
            </w:r>
            <w:r>
              <w:rPr>
                <w:lang w:eastAsia="zh-CN"/>
              </w:rPr>
              <w:t>GMP</w:t>
            </w:r>
            <w:r>
              <w:rPr>
                <w:rFonts w:hint="eastAsia"/>
                <w:lang w:eastAsia="zh-CN"/>
              </w:rPr>
              <w:t>规范及仪器相关法规完成</w:t>
            </w:r>
            <w:r>
              <w:rPr>
                <w:lang w:eastAsia="zh-CN"/>
              </w:rPr>
              <w:t>IQ</w:t>
            </w:r>
            <w:r>
              <w:rPr>
                <w:rFonts w:hint="eastAsia"/>
                <w:lang w:eastAsia="zh-CN"/>
              </w:rPr>
              <w:t>、</w:t>
            </w:r>
            <w:r>
              <w:rPr>
                <w:lang w:eastAsia="zh-CN"/>
              </w:rPr>
              <w:t>OQ</w:t>
            </w:r>
            <w:r>
              <w:rPr>
                <w:rFonts w:hint="eastAsia"/>
                <w:lang w:eastAsia="zh-CN"/>
              </w:rPr>
              <w:t>工作，并提供相应文件（文件必须符合</w:t>
            </w:r>
            <w:r>
              <w:rPr>
                <w:rFonts w:hint="eastAsia"/>
                <w:lang w:val="en-US" w:eastAsia="zh-CN"/>
              </w:rPr>
              <w:t>公司要求</w:t>
            </w:r>
            <w:r>
              <w:rPr>
                <w:rFonts w:hint="eastAsia"/>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hAnsi="宋体"/>
                <w:szCs w:val="21"/>
                <w:u w:color="333333"/>
                <w:lang w:val="zh-TW" w:eastAsia="zh-TW"/>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设备保质期从确认验收文件签署之后开始计算。</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设备质保期为一年以上，保质期内免费保修并免费更换所有配件，保质期后应提供良好的售后服务。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u w:color="333333"/>
                <w:lang w:eastAsia="zh-CN"/>
              </w:rPr>
            </w:pPr>
            <w:r>
              <w:rPr>
                <w:rFonts w:hint="eastAsia"/>
                <w:lang w:eastAsia="zh-CN"/>
              </w:rPr>
              <w:t>售后服务必须响应及时，要求仪器出现须厂家维修的故障后，应在</w:t>
            </w:r>
            <w:r>
              <w:rPr>
                <w:lang w:eastAsia="zh-CN"/>
              </w:rPr>
              <w:t>4</w:t>
            </w:r>
            <w:r>
              <w:rPr>
                <w:rFonts w:hint="eastAsia"/>
                <w:lang w:eastAsia="zh-CN"/>
              </w:rPr>
              <w:t>小时内明确答复，当电话沟通无法解决时，须</w:t>
            </w:r>
            <w:r>
              <w:rPr>
                <w:lang w:eastAsia="zh-CN"/>
              </w:rPr>
              <w:t>48</w:t>
            </w:r>
            <w:r>
              <w:rPr>
                <w:rFonts w:hint="eastAsia"/>
                <w:lang w:eastAsia="zh-CN"/>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u w:color="333333"/>
                <w:lang w:val="zh-TW" w:eastAsia="zh-CN"/>
              </w:rPr>
            </w:pPr>
            <w:r>
              <w:rPr>
                <w:rFonts w:hint="eastAsia"/>
                <w:lang w:eastAsia="zh-CN"/>
              </w:rPr>
              <w:t>免费保修期后，厂家应终生提供及时的维修、维护，厂家应定期回访，解决仪器运行当中可能出现的疑问，排除潜在故障，使仪器保持良好工作状态。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440" w:lineRule="exact"/>
              <w:rPr>
                <w:szCs w:val="21"/>
                <w:u w:color="333333"/>
                <w:lang w:eastAsia="zh-CN"/>
              </w:rPr>
            </w:pPr>
            <w:r>
              <w:rPr>
                <w:rFonts w:hint="eastAsia"/>
                <w:lang w:eastAsia="zh-CN"/>
              </w:rPr>
              <w:t>厂家应提供合格的备件，用于仪器相应部件的维修、更换。</w:t>
            </w:r>
          </w:p>
          <w:p>
            <w:pPr>
              <w:spacing w:line="276" w:lineRule="auto"/>
              <w:jc w:val="both"/>
              <w:rPr>
                <w:rFonts w:hAnsi="宋体"/>
                <w:szCs w:val="21"/>
                <w:u w:color="333333"/>
                <w:lang w:eastAsia="zh-TW"/>
              </w:rPr>
            </w:pP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供应商进厂施工需遵守安全和施工规定。确认试车验收合格后，买卖双方签订验收报告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tbl>
    <w:p/>
    <w:p>
      <w:pPr>
        <w:pStyle w:val="32"/>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2"/>
        <w:numPr>
          <w:ilvl w:val="0"/>
          <w:numId w:val="12"/>
        </w:numPr>
        <w:spacing w:before="0" w:line="360" w:lineRule="auto"/>
        <w:ind w:left="357"/>
        <w:jc w:val="left"/>
        <w:rPr>
          <w:rFonts w:hint="default"/>
          <w:szCs w:val="21"/>
          <w:highlight w:val="none"/>
          <w:lang w:val="en-US" w:eastAsia="zh-CN"/>
        </w:rPr>
      </w:pPr>
      <w:r>
        <w:rPr>
          <w:rFonts w:hint="eastAsia" w:ascii="宋体" w:hAnsi="宋体" w:cs="Arial"/>
          <w:szCs w:val="21"/>
          <w:highlight w:val="none"/>
          <w:lang w:val="en-US" w:eastAsia="zh-CN"/>
        </w:rPr>
        <w:t>不溶性微粒分析仪</w:t>
      </w:r>
    </w:p>
    <w:p>
      <w:pPr>
        <w:pStyle w:val="42"/>
        <w:numPr>
          <w:ilvl w:val="0"/>
          <w:numId w:val="12"/>
        </w:numPr>
        <w:spacing w:before="0" w:line="360" w:lineRule="auto"/>
        <w:ind w:left="357"/>
        <w:jc w:val="left"/>
        <w:rPr>
          <w:rFonts w:hint="default"/>
          <w:szCs w:val="21"/>
          <w:highlight w:val="none"/>
          <w:lang w:val="en-US" w:eastAsia="zh-CN"/>
        </w:rPr>
      </w:pPr>
      <w:r>
        <w:rPr>
          <w:rFonts w:hint="eastAsia" w:ascii="宋体" w:hAnsi="宋体" w:cs="Arial"/>
          <w:szCs w:val="21"/>
          <w:highlight w:val="none"/>
          <w:lang w:val="en-US" w:eastAsia="zh-CN"/>
        </w:rPr>
        <w:t>计算机</w:t>
      </w:r>
    </w:p>
    <w:p>
      <w:pPr>
        <w:pStyle w:val="42"/>
        <w:numPr>
          <w:ilvl w:val="0"/>
          <w:numId w:val="12"/>
        </w:numPr>
        <w:spacing w:before="0" w:line="360" w:lineRule="auto"/>
        <w:ind w:left="357"/>
        <w:jc w:val="left"/>
        <w:rPr>
          <w:rFonts w:hint="default"/>
          <w:szCs w:val="21"/>
          <w:highlight w:val="none"/>
          <w:lang w:val="en-US" w:eastAsia="zh-CN"/>
        </w:rPr>
      </w:pPr>
      <w:r>
        <w:rPr>
          <w:rFonts w:hint="eastAsia" w:ascii="宋体" w:hAnsi="宋体" w:cs="Arial"/>
          <w:szCs w:val="21"/>
          <w:highlight w:val="none"/>
          <w:lang w:val="en-US" w:eastAsia="zh-CN"/>
        </w:rPr>
        <w:t>打印机</w:t>
      </w:r>
    </w:p>
    <w:p>
      <w:pPr>
        <w:pStyle w:val="42"/>
        <w:numPr>
          <w:ilvl w:val="0"/>
          <w:numId w:val="12"/>
        </w:numPr>
        <w:spacing w:before="0" w:line="360" w:lineRule="auto"/>
        <w:ind w:left="357"/>
        <w:jc w:val="left"/>
        <w:rPr>
          <w:rFonts w:hint="default"/>
          <w:szCs w:val="21"/>
          <w:highlight w:val="none"/>
          <w:lang w:val="en-US" w:eastAsia="zh-CN"/>
        </w:rPr>
      </w:pPr>
      <w:r>
        <w:rPr>
          <w:rFonts w:hint="eastAsia" w:ascii="宋体" w:hAnsi="宋体" w:cs="Arial"/>
          <w:szCs w:val="21"/>
          <w:highlight w:val="none"/>
          <w:lang w:val="en-US" w:eastAsia="zh-CN"/>
        </w:rPr>
        <w:t>振荡器</w:t>
      </w:r>
    </w:p>
    <w:p>
      <w:pPr>
        <w:pStyle w:val="42"/>
        <w:numPr>
          <w:ilvl w:val="0"/>
          <w:numId w:val="12"/>
        </w:numPr>
        <w:spacing w:before="0" w:line="360" w:lineRule="auto"/>
        <w:ind w:left="357"/>
        <w:jc w:val="left"/>
        <w:rPr>
          <w:rFonts w:hint="default"/>
          <w:szCs w:val="21"/>
          <w:highlight w:val="none"/>
          <w:lang w:val="en-US" w:eastAsia="zh-CN"/>
        </w:rPr>
      </w:pPr>
      <w:r>
        <w:rPr>
          <w:rFonts w:hint="default"/>
          <w:szCs w:val="21"/>
          <w:highlight w:val="none"/>
          <w:lang w:val="en-US" w:eastAsia="zh-CN"/>
        </w:rPr>
        <w:t>10微米的标准粒子</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体">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3A17785"/>
    <w:multiLevelType w:val="singleLevel"/>
    <w:tmpl w:val="63A17785"/>
    <w:lvl w:ilvl="0" w:tentative="0">
      <w:start w:val="1"/>
      <w:numFmt w:val="decimal"/>
      <w:lvlText w:val="%1."/>
      <w:lvlJc w:val="left"/>
      <w:pPr>
        <w:tabs>
          <w:tab w:val="left" w:pos="312"/>
        </w:tabs>
      </w:pPr>
    </w:lvl>
  </w:abstractNum>
  <w:abstractNum w:abstractNumId="11">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E8"/>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1967"/>
    <w:rsid w:val="00022818"/>
    <w:rsid w:val="000233DE"/>
    <w:rsid w:val="00023B07"/>
    <w:rsid w:val="00023CAD"/>
    <w:rsid w:val="0002457E"/>
    <w:rsid w:val="000275E7"/>
    <w:rsid w:val="000303D0"/>
    <w:rsid w:val="00031243"/>
    <w:rsid w:val="00031900"/>
    <w:rsid w:val="000355F3"/>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8A4"/>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05F"/>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726"/>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2A27"/>
    <w:rsid w:val="001746E7"/>
    <w:rsid w:val="001757AB"/>
    <w:rsid w:val="001769A8"/>
    <w:rsid w:val="001814FA"/>
    <w:rsid w:val="001815A9"/>
    <w:rsid w:val="00182A27"/>
    <w:rsid w:val="0018330A"/>
    <w:rsid w:val="00184DDD"/>
    <w:rsid w:val="00184FFD"/>
    <w:rsid w:val="00185449"/>
    <w:rsid w:val="00186314"/>
    <w:rsid w:val="00187668"/>
    <w:rsid w:val="00187B04"/>
    <w:rsid w:val="00190000"/>
    <w:rsid w:val="001919F0"/>
    <w:rsid w:val="001929C2"/>
    <w:rsid w:val="00192B8F"/>
    <w:rsid w:val="00193D66"/>
    <w:rsid w:val="00194BB7"/>
    <w:rsid w:val="00195C27"/>
    <w:rsid w:val="001A1DE7"/>
    <w:rsid w:val="001A3BB0"/>
    <w:rsid w:val="001A4947"/>
    <w:rsid w:val="001A5035"/>
    <w:rsid w:val="001A64C0"/>
    <w:rsid w:val="001A685F"/>
    <w:rsid w:val="001A7EB6"/>
    <w:rsid w:val="001A7FE4"/>
    <w:rsid w:val="001B0278"/>
    <w:rsid w:val="001B28C8"/>
    <w:rsid w:val="001B2A91"/>
    <w:rsid w:val="001B4654"/>
    <w:rsid w:val="001C017B"/>
    <w:rsid w:val="001C239E"/>
    <w:rsid w:val="001C2D7E"/>
    <w:rsid w:val="001C7149"/>
    <w:rsid w:val="001D1B67"/>
    <w:rsid w:val="001D1FA0"/>
    <w:rsid w:val="001D32D4"/>
    <w:rsid w:val="001D3C96"/>
    <w:rsid w:val="001D4383"/>
    <w:rsid w:val="001D4742"/>
    <w:rsid w:val="001D474B"/>
    <w:rsid w:val="001D48B0"/>
    <w:rsid w:val="001D5549"/>
    <w:rsid w:val="001D7316"/>
    <w:rsid w:val="001E0376"/>
    <w:rsid w:val="001E13E0"/>
    <w:rsid w:val="001E2B2B"/>
    <w:rsid w:val="001E353E"/>
    <w:rsid w:val="001E3CBE"/>
    <w:rsid w:val="001E5657"/>
    <w:rsid w:val="001E5F94"/>
    <w:rsid w:val="001E744F"/>
    <w:rsid w:val="001F065A"/>
    <w:rsid w:val="001F14AA"/>
    <w:rsid w:val="001F1FE7"/>
    <w:rsid w:val="001F25DD"/>
    <w:rsid w:val="001F2DFA"/>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1764"/>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1D7A"/>
    <w:rsid w:val="00253242"/>
    <w:rsid w:val="002547BF"/>
    <w:rsid w:val="002548CA"/>
    <w:rsid w:val="0025531B"/>
    <w:rsid w:val="002560F9"/>
    <w:rsid w:val="0025610A"/>
    <w:rsid w:val="00257517"/>
    <w:rsid w:val="00257FA9"/>
    <w:rsid w:val="00260D88"/>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991"/>
    <w:rsid w:val="00286B14"/>
    <w:rsid w:val="00286CE5"/>
    <w:rsid w:val="0029023F"/>
    <w:rsid w:val="002913B7"/>
    <w:rsid w:val="00291541"/>
    <w:rsid w:val="00291C5E"/>
    <w:rsid w:val="002924C2"/>
    <w:rsid w:val="00293E83"/>
    <w:rsid w:val="0029741F"/>
    <w:rsid w:val="00297DDC"/>
    <w:rsid w:val="002A18C8"/>
    <w:rsid w:val="002A3B6B"/>
    <w:rsid w:val="002A42F8"/>
    <w:rsid w:val="002A547B"/>
    <w:rsid w:val="002A588E"/>
    <w:rsid w:val="002A7980"/>
    <w:rsid w:val="002B0A7C"/>
    <w:rsid w:val="002B14F3"/>
    <w:rsid w:val="002B480A"/>
    <w:rsid w:val="002B67A2"/>
    <w:rsid w:val="002B6854"/>
    <w:rsid w:val="002C1817"/>
    <w:rsid w:val="002C1DAB"/>
    <w:rsid w:val="002C4FCF"/>
    <w:rsid w:val="002C527C"/>
    <w:rsid w:val="002C54A4"/>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43A"/>
    <w:rsid w:val="00302176"/>
    <w:rsid w:val="00302AF8"/>
    <w:rsid w:val="00304F96"/>
    <w:rsid w:val="00306131"/>
    <w:rsid w:val="0031087D"/>
    <w:rsid w:val="00311B2C"/>
    <w:rsid w:val="00311EE4"/>
    <w:rsid w:val="0031318B"/>
    <w:rsid w:val="003137B7"/>
    <w:rsid w:val="003148D1"/>
    <w:rsid w:val="00314CFF"/>
    <w:rsid w:val="00315038"/>
    <w:rsid w:val="00315C3E"/>
    <w:rsid w:val="00316EEF"/>
    <w:rsid w:val="003172B7"/>
    <w:rsid w:val="00321298"/>
    <w:rsid w:val="00321D97"/>
    <w:rsid w:val="00322C7E"/>
    <w:rsid w:val="00323423"/>
    <w:rsid w:val="003240E5"/>
    <w:rsid w:val="00324B23"/>
    <w:rsid w:val="003257E0"/>
    <w:rsid w:val="00325FFA"/>
    <w:rsid w:val="00330D13"/>
    <w:rsid w:val="00330D16"/>
    <w:rsid w:val="00330FFF"/>
    <w:rsid w:val="00333C91"/>
    <w:rsid w:val="0033695C"/>
    <w:rsid w:val="00341B2F"/>
    <w:rsid w:val="00342915"/>
    <w:rsid w:val="00344B04"/>
    <w:rsid w:val="00345847"/>
    <w:rsid w:val="00346FCA"/>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3F6F45"/>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427E"/>
    <w:rsid w:val="004565EF"/>
    <w:rsid w:val="00457FF9"/>
    <w:rsid w:val="004601ED"/>
    <w:rsid w:val="00460711"/>
    <w:rsid w:val="0046108B"/>
    <w:rsid w:val="004652DB"/>
    <w:rsid w:val="00467AE6"/>
    <w:rsid w:val="00467EC9"/>
    <w:rsid w:val="00477791"/>
    <w:rsid w:val="00480286"/>
    <w:rsid w:val="00480C3B"/>
    <w:rsid w:val="00480FE3"/>
    <w:rsid w:val="00481C94"/>
    <w:rsid w:val="00484A8D"/>
    <w:rsid w:val="00485468"/>
    <w:rsid w:val="00486A4E"/>
    <w:rsid w:val="00486B09"/>
    <w:rsid w:val="0049139F"/>
    <w:rsid w:val="00492D21"/>
    <w:rsid w:val="00494F07"/>
    <w:rsid w:val="00496116"/>
    <w:rsid w:val="004965A0"/>
    <w:rsid w:val="00497335"/>
    <w:rsid w:val="004A05A7"/>
    <w:rsid w:val="004A3F98"/>
    <w:rsid w:val="004A5532"/>
    <w:rsid w:val="004A5958"/>
    <w:rsid w:val="004A76DF"/>
    <w:rsid w:val="004B0A75"/>
    <w:rsid w:val="004B2190"/>
    <w:rsid w:val="004B4433"/>
    <w:rsid w:val="004B69B2"/>
    <w:rsid w:val="004B7507"/>
    <w:rsid w:val="004B7DC4"/>
    <w:rsid w:val="004B7F85"/>
    <w:rsid w:val="004C099B"/>
    <w:rsid w:val="004C42AE"/>
    <w:rsid w:val="004C49B0"/>
    <w:rsid w:val="004C4F53"/>
    <w:rsid w:val="004C4F7F"/>
    <w:rsid w:val="004C592E"/>
    <w:rsid w:val="004D050F"/>
    <w:rsid w:val="004D0E3A"/>
    <w:rsid w:val="004D1A73"/>
    <w:rsid w:val="004D395D"/>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E78"/>
    <w:rsid w:val="005233AC"/>
    <w:rsid w:val="00523F3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101C"/>
    <w:rsid w:val="0057277E"/>
    <w:rsid w:val="00572F0E"/>
    <w:rsid w:val="00574D60"/>
    <w:rsid w:val="00575318"/>
    <w:rsid w:val="00577142"/>
    <w:rsid w:val="005773E5"/>
    <w:rsid w:val="00581913"/>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3A6"/>
    <w:rsid w:val="00597FCC"/>
    <w:rsid w:val="005A132A"/>
    <w:rsid w:val="005A1EFC"/>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4199"/>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27BD0"/>
    <w:rsid w:val="0063106D"/>
    <w:rsid w:val="006312FF"/>
    <w:rsid w:val="00632136"/>
    <w:rsid w:val="00632C67"/>
    <w:rsid w:val="006331B6"/>
    <w:rsid w:val="00633310"/>
    <w:rsid w:val="00633315"/>
    <w:rsid w:val="006366CC"/>
    <w:rsid w:val="00637C16"/>
    <w:rsid w:val="0064048E"/>
    <w:rsid w:val="00641320"/>
    <w:rsid w:val="00641E74"/>
    <w:rsid w:val="00643460"/>
    <w:rsid w:val="006434E3"/>
    <w:rsid w:val="0064366A"/>
    <w:rsid w:val="006468D4"/>
    <w:rsid w:val="00646987"/>
    <w:rsid w:val="006506CF"/>
    <w:rsid w:val="00650A76"/>
    <w:rsid w:val="00650CD0"/>
    <w:rsid w:val="00650DA4"/>
    <w:rsid w:val="00651DA5"/>
    <w:rsid w:val="00652D22"/>
    <w:rsid w:val="006539DE"/>
    <w:rsid w:val="00656797"/>
    <w:rsid w:val="006571EC"/>
    <w:rsid w:val="0066086B"/>
    <w:rsid w:val="00660A8C"/>
    <w:rsid w:val="006632B2"/>
    <w:rsid w:val="00664084"/>
    <w:rsid w:val="0066445E"/>
    <w:rsid w:val="00667045"/>
    <w:rsid w:val="006705D0"/>
    <w:rsid w:val="00670A00"/>
    <w:rsid w:val="00670C23"/>
    <w:rsid w:val="00672B86"/>
    <w:rsid w:val="00673031"/>
    <w:rsid w:val="00673EB3"/>
    <w:rsid w:val="00680BE8"/>
    <w:rsid w:val="00686409"/>
    <w:rsid w:val="00686D19"/>
    <w:rsid w:val="0068777F"/>
    <w:rsid w:val="00693018"/>
    <w:rsid w:val="006931AE"/>
    <w:rsid w:val="006A0059"/>
    <w:rsid w:val="006A24EE"/>
    <w:rsid w:val="006A7425"/>
    <w:rsid w:val="006B058A"/>
    <w:rsid w:val="006B0AB3"/>
    <w:rsid w:val="006B0F70"/>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70F2"/>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08F8"/>
    <w:rsid w:val="0073446D"/>
    <w:rsid w:val="007349FF"/>
    <w:rsid w:val="00734B45"/>
    <w:rsid w:val="00736FFB"/>
    <w:rsid w:val="00740080"/>
    <w:rsid w:val="00741A30"/>
    <w:rsid w:val="00742CEE"/>
    <w:rsid w:val="007504DC"/>
    <w:rsid w:val="0075142F"/>
    <w:rsid w:val="00751965"/>
    <w:rsid w:val="007524EF"/>
    <w:rsid w:val="00752689"/>
    <w:rsid w:val="00756D1D"/>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2EE"/>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3C0E"/>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DAE"/>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0DE6"/>
    <w:rsid w:val="008D140C"/>
    <w:rsid w:val="008D2BAE"/>
    <w:rsid w:val="008D2C9E"/>
    <w:rsid w:val="008D3489"/>
    <w:rsid w:val="008D41F5"/>
    <w:rsid w:val="008D521F"/>
    <w:rsid w:val="008D5C06"/>
    <w:rsid w:val="008D6227"/>
    <w:rsid w:val="008D7A8B"/>
    <w:rsid w:val="008E41D3"/>
    <w:rsid w:val="008E43F1"/>
    <w:rsid w:val="008E594F"/>
    <w:rsid w:val="008E7312"/>
    <w:rsid w:val="008F297F"/>
    <w:rsid w:val="008F447E"/>
    <w:rsid w:val="008F697A"/>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37AC"/>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5616"/>
    <w:rsid w:val="00977437"/>
    <w:rsid w:val="00977C89"/>
    <w:rsid w:val="00980965"/>
    <w:rsid w:val="00980AB3"/>
    <w:rsid w:val="009831DF"/>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138"/>
    <w:rsid w:val="009C1C79"/>
    <w:rsid w:val="009C339C"/>
    <w:rsid w:val="009C33B8"/>
    <w:rsid w:val="009D07A0"/>
    <w:rsid w:val="009D107D"/>
    <w:rsid w:val="009D1871"/>
    <w:rsid w:val="009D2985"/>
    <w:rsid w:val="009D3033"/>
    <w:rsid w:val="009D5770"/>
    <w:rsid w:val="009D66FE"/>
    <w:rsid w:val="009D6AF5"/>
    <w:rsid w:val="009D6CF1"/>
    <w:rsid w:val="009D74BA"/>
    <w:rsid w:val="009E0874"/>
    <w:rsid w:val="009E11FA"/>
    <w:rsid w:val="009E123F"/>
    <w:rsid w:val="009E1A16"/>
    <w:rsid w:val="009E2045"/>
    <w:rsid w:val="009E25C9"/>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3C20"/>
    <w:rsid w:val="00A74589"/>
    <w:rsid w:val="00A74E1B"/>
    <w:rsid w:val="00A7513A"/>
    <w:rsid w:val="00A75AC9"/>
    <w:rsid w:val="00A75AFF"/>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3D45"/>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6607"/>
    <w:rsid w:val="00B07418"/>
    <w:rsid w:val="00B10073"/>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20F"/>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04B9"/>
    <w:rsid w:val="00B914A4"/>
    <w:rsid w:val="00B92497"/>
    <w:rsid w:val="00B92D41"/>
    <w:rsid w:val="00B93679"/>
    <w:rsid w:val="00B9422D"/>
    <w:rsid w:val="00B95A1D"/>
    <w:rsid w:val="00B9634B"/>
    <w:rsid w:val="00BA1E38"/>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DAF"/>
    <w:rsid w:val="00C02F31"/>
    <w:rsid w:val="00C04DA5"/>
    <w:rsid w:val="00C050FC"/>
    <w:rsid w:val="00C05D40"/>
    <w:rsid w:val="00C11905"/>
    <w:rsid w:val="00C14462"/>
    <w:rsid w:val="00C16542"/>
    <w:rsid w:val="00C20199"/>
    <w:rsid w:val="00C2204B"/>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322"/>
    <w:rsid w:val="00C54FC6"/>
    <w:rsid w:val="00C56F88"/>
    <w:rsid w:val="00C57B7E"/>
    <w:rsid w:val="00C60217"/>
    <w:rsid w:val="00C66D15"/>
    <w:rsid w:val="00C671D0"/>
    <w:rsid w:val="00C70449"/>
    <w:rsid w:val="00C7071B"/>
    <w:rsid w:val="00C719A6"/>
    <w:rsid w:val="00C73904"/>
    <w:rsid w:val="00C73BAE"/>
    <w:rsid w:val="00C73F7B"/>
    <w:rsid w:val="00C74055"/>
    <w:rsid w:val="00C7421D"/>
    <w:rsid w:val="00C76481"/>
    <w:rsid w:val="00C76812"/>
    <w:rsid w:val="00C76B92"/>
    <w:rsid w:val="00C81D4C"/>
    <w:rsid w:val="00C83D88"/>
    <w:rsid w:val="00C84961"/>
    <w:rsid w:val="00C84B06"/>
    <w:rsid w:val="00C87100"/>
    <w:rsid w:val="00C87CAC"/>
    <w:rsid w:val="00C913A1"/>
    <w:rsid w:val="00C950D6"/>
    <w:rsid w:val="00C95ED1"/>
    <w:rsid w:val="00C97646"/>
    <w:rsid w:val="00C97672"/>
    <w:rsid w:val="00CA07A8"/>
    <w:rsid w:val="00CA5151"/>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2DC6"/>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2E6A"/>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1672"/>
    <w:rsid w:val="00E039F3"/>
    <w:rsid w:val="00E03C30"/>
    <w:rsid w:val="00E0634F"/>
    <w:rsid w:val="00E06736"/>
    <w:rsid w:val="00E078BD"/>
    <w:rsid w:val="00E078F8"/>
    <w:rsid w:val="00E1142B"/>
    <w:rsid w:val="00E11D56"/>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0DA9"/>
    <w:rsid w:val="00E428B3"/>
    <w:rsid w:val="00E44D19"/>
    <w:rsid w:val="00E51372"/>
    <w:rsid w:val="00E51CAF"/>
    <w:rsid w:val="00E51E95"/>
    <w:rsid w:val="00E51F9D"/>
    <w:rsid w:val="00E5202F"/>
    <w:rsid w:val="00E5211A"/>
    <w:rsid w:val="00E53A9F"/>
    <w:rsid w:val="00E549AF"/>
    <w:rsid w:val="00E60540"/>
    <w:rsid w:val="00E61C74"/>
    <w:rsid w:val="00E6354D"/>
    <w:rsid w:val="00E63D8F"/>
    <w:rsid w:val="00E706B6"/>
    <w:rsid w:val="00E76FF1"/>
    <w:rsid w:val="00E774FE"/>
    <w:rsid w:val="00E809A0"/>
    <w:rsid w:val="00E80AF7"/>
    <w:rsid w:val="00E8362D"/>
    <w:rsid w:val="00E838EF"/>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5A8"/>
    <w:rsid w:val="00EB3C66"/>
    <w:rsid w:val="00EB4B03"/>
    <w:rsid w:val="00EB5DEE"/>
    <w:rsid w:val="00EB64CB"/>
    <w:rsid w:val="00EB6D46"/>
    <w:rsid w:val="00EC07F3"/>
    <w:rsid w:val="00EC3194"/>
    <w:rsid w:val="00EC4785"/>
    <w:rsid w:val="00EC518D"/>
    <w:rsid w:val="00EC6613"/>
    <w:rsid w:val="00EC71D3"/>
    <w:rsid w:val="00ED02FE"/>
    <w:rsid w:val="00ED1EC9"/>
    <w:rsid w:val="00ED3737"/>
    <w:rsid w:val="00ED3856"/>
    <w:rsid w:val="00ED3E2E"/>
    <w:rsid w:val="00ED4CC8"/>
    <w:rsid w:val="00ED6A08"/>
    <w:rsid w:val="00ED790D"/>
    <w:rsid w:val="00EE05EE"/>
    <w:rsid w:val="00EE0AE2"/>
    <w:rsid w:val="00EE35B4"/>
    <w:rsid w:val="00EE5643"/>
    <w:rsid w:val="00EE7CEC"/>
    <w:rsid w:val="00EF056E"/>
    <w:rsid w:val="00EF09B3"/>
    <w:rsid w:val="00EF0A3E"/>
    <w:rsid w:val="00EF0CA9"/>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5576"/>
    <w:rsid w:val="00F26185"/>
    <w:rsid w:val="00F3178C"/>
    <w:rsid w:val="00F33DE5"/>
    <w:rsid w:val="00F34B8F"/>
    <w:rsid w:val="00F36D7F"/>
    <w:rsid w:val="00F37186"/>
    <w:rsid w:val="00F42067"/>
    <w:rsid w:val="00F42FCF"/>
    <w:rsid w:val="00F43C99"/>
    <w:rsid w:val="00F44A83"/>
    <w:rsid w:val="00F51743"/>
    <w:rsid w:val="00F529D4"/>
    <w:rsid w:val="00F543A0"/>
    <w:rsid w:val="00F54F27"/>
    <w:rsid w:val="00F55FC8"/>
    <w:rsid w:val="00F604E3"/>
    <w:rsid w:val="00F610E6"/>
    <w:rsid w:val="00F61FCC"/>
    <w:rsid w:val="00F6289E"/>
    <w:rsid w:val="00F648C5"/>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C51E24"/>
    <w:rsid w:val="07117F4B"/>
    <w:rsid w:val="092465F0"/>
    <w:rsid w:val="1F386444"/>
    <w:rsid w:val="2F664ED9"/>
    <w:rsid w:val="31726E72"/>
    <w:rsid w:val="32181F71"/>
    <w:rsid w:val="337C21D1"/>
    <w:rsid w:val="3494181B"/>
    <w:rsid w:val="3C320239"/>
    <w:rsid w:val="3E0359EA"/>
    <w:rsid w:val="404E6293"/>
    <w:rsid w:val="468A7F2A"/>
    <w:rsid w:val="488A08CF"/>
    <w:rsid w:val="4CE66223"/>
    <w:rsid w:val="546E1758"/>
    <w:rsid w:val="5DF80E7B"/>
    <w:rsid w:val="5FBE0FC7"/>
    <w:rsid w:val="640A2E20"/>
    <w:rsid w:val="67FD59AB"/>
    <w:rsid w:val="6B921C6C"/>
    <w:rsid w:val="6BC72EA7"/>
    <w:rsid w:val="74BC4747"/>
    <w:rsid w:val="778D30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HTML Preformatted"/>
    <w:basedOn w:val="1"/>
    <w:link w:val="4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宋体" w:hAnsi="宋体"/>
      <w:sz w:val="24"/>
      <w:szCs w:val="24"/>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semiHidden/>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字符"/>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99"/>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character" w:customStyle="1" w:styleId="48">
    <w:name w:val="HTML 预设格式 字符"/>
    <w:basedOn w:val="22"/>
    <w:link w:val="17"/>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909</Words>
  <Characters>5184</Characters>
  <Lines>43</Lines>
  <Paragraphs>12</Paragraphs>
  <TotalTime>2</TotalTime>
  <ScaleCrop>false</ScaleCrop>
  <LinksUpToDate>false</LinksUpToDate>
  <CharactersWithSpaces>6081</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2022-06-21T08:05:00Z</dcterms:created>
  <dc:creator>Lilly</dc:creator>
  <cp:lastModifiedBy>汪洋</cp:lastModifiedBy>
  <cp:lastPrinted>2022-01-24T04:03:00Z</cp:lastPrinted>
  <dcterms:modified xsi:type="dcterms:W3CDTF">2022-09-13T07:36:04Z</dcterms:modified>
  <dc:title>生效期：</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E9B19398264B4E13A00FC7EA0B2400B1</vt:lpwstr>
  </property>
</Properties>
</file>