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21"/>
        </w:rPr>
      </w:pPr>
      <w:bookmarkStart w:id="0" w:name="_Toc484532399"/>
      <w:bookmarkStart w:id="1" w:name="_Toc483227223"/>
      <w:bookmarkStart w:id="2" w:name="_Toc483400307"/>
      <w:bookmarkStart w:id="3" w:name="_Toc483666358"/>
      <w:bookmarkStart w:id="4" w:name="_Toc482717189"/>
    </w:p>
    <w:p>
      <w:pPr>
        <w:spacing w:after="158" w:afterLines="50"/>
        <w:jc w:val="center"/>
        <w:rPr>
          <w:b/>
          <w:sz w:val="32"/>
          <w:szCs w:val="32"/>
          <w:lang w:eastAsia="zh-CN"/>
        </w:rPr>
      </w:pPr>
      <w:r>
        <w:rPr>
          <w:rFonts w:hint="eastAsia"/>
          <w:b/>
          <w:sz w:val="32"/>
          <w:szCs w:val="32"/>
          <w:lang w:eastAsia="zh-CN"/>
        </w:rPr>
        <w:t>质量控制室低温保存箱</w:t>
      </w:r>
      <w:r>
        <w:rPr>
          <w:b/>
          <w:sz w:val="32"/>
          <w:szCs w:val="32"/>
          <w:lang w:eastAsia="zh-CN"/>
        </w:rPr>
        <w:t>用户需求说明（URS）</w:t>
      </w:r>
      <w:bookmarkEnd w:id="0"/>
      <w:bookmarkEnd w:id="1"/>
      <w:bookmarkEnd w:id="2"/>
      <w:bookmarkEnd w:id="3"/>
      <w:bookmarkEnd w:id="4"/>
    </w:p>
    <w:p>
      <w:pPr>
        <w:tabs>
          <w:tab w:val="left" w:pos="1365"/>
        </w:tabs>
        <w:spacing w:after="158" w:afterLines="50"/>
        <w:jc w:val="center"/>
        <w:rPr>
          <w:b/>
          <w:i/>
          <w:color w:val="4472C4"/>
          <w:szCs w:val="21"/>
          <w:lang w:eastAsia="zh-CN"/>
        </w:rPr>
      </w:pPr>
      <w:bookmarkStart w:id="5" w:name="OLE_LINK4"/>
    </w:p>
    <w:bookmarkEnd w:id="5"/>
    <w:p>
      <w:pPr>
        <w:pStyle w:val="45"/>
        <w:keepNext w:val="0"/>
        <w:keepLines w:val="0"/>
        <w:widowControl w:val="0"/>
        <w:spacing w:after="158" w:afterLines="50" w:line="240" w:lineRule="auto"/>
        <w:jc w:val="center"/>
        <w:rPr>
          <w:sz w:val="21"/>
          <w:szCs w:val="21"/>
          <w:lang w:val="zh-CN" w:eastAsia="zh-CN"/>
        </w:rPr>
      </w:pPr>
      <w:r>
        <w:rPr>
          <w:sz w:val="21"/>
          <w:szCs w:val="21"/>
          <w:lang w:val="zh-CN" w:eastAsia="zh-CN"/>
        </w:rPr>
        <w:t xml:space="preserve">目录 </w:t>
      </w:r>
    </w:p>
    <w:p>
      <w:pPr>
        <w:pStyle w:val="16"/>
        <w:rPr>
          <w:b w:val="0"/>
          <w:bCs w:val="0"/>
          <w:caps w:val="0"/>
          <w:szCs w:val="21"/>
        </w:rPr>
      </w:pPr>
      <w:r>
        <w:rPr>
          <w:szCs w:val="21"/>
        </w:rPr>
        <w:fldChar w:fldCharType="begin"/>
      </w:r>
      <w:r>
        <w:rPr>
          <w:szCs w:val="21"/>
        </w:rPr>
        <w:instrText xml:space="preserve"> TOC \o "1-2" \h \z \u </w:instrText>
      </w:r>
      <w:r>
        <w:rPr>
          <w:szCs w:val="21"/>
        </w:rPr>
        <w:fldChar w:fldCharType="separate"/>
      </w:r>
      <w:r>
        <w:fldChar w:fldCharType="begin"/>
      </w:r>
      <w:r>
        <w:instrText xml:space="preserve"> HYPERLINK \l "_Toc522716114" </w:instrText>
      </w:r>
      <w:r>
        <w:fldChar w:fldCharType="separate"/>
      </w:r>
      <w:r>
        <w:rPr>
          <w:rStyle w:val="24"/>
          <w:szCs w:val="21"/>
        </w:rPr>
        <w:t>修订历史</w:t>
      </w:r>
      <w:r>
        <w:rPr>
          <w:szCs w:val="21"/>
        </w:rPr>
        <w:tab/>
      </w:r>
      <w:r>
        <w:rPr>
          <w:szCs w:val="21"/>
        </w:rPr>
        <w:fldChar w:fldCharType="begin"/>
      </w:r>
      <w:r>
        <w:rPr>
          <w:szCs w:val="21"/>
        </w:rPr>
        <w:instrText xml:space="preserve"> PAGEREF _Toc522716114 \h </w:instrText>
      </w:r>
      <w:r>
        <w:rPr>
          <w:szCs w:val="21"/>
        </w:rPr>
        <w:fldChar w:fldCharType="separate"/>
      </w:r>
      <w:r>
        <w:rPr>
          <w:szCs w:val="21"/>
        </w:rPr>
        <w:t>3</w:t>
      </w:r>
      <w:r>
        <w:rPr>
          <w:szCs w:val="21"/>
        </w:rPr>
        <w:fldChar w:fldCharType="end"/>
      </w:r>
      <w:r>
        <w:rPr>
          <w:szCs w:val="21"/>
        </w:rPr>
        <w:fldChar w:fldCharType="end"/>
      </w:r>
    </w:p>
    <w:p>
      <w:pPr>
        <w:pStyle w:val="16"/>
        <w:rPr>
          <w:b w:val="0"/>
          <w:bCs w:val="0"/>
          <w:caps w:val="0"/>
          <w:szCs w:val="21"/>
        </w:rPr>
      </w:pPr>
      <w:r>
        <w:fldChar w:fldCharType="begin"/>
      </w:r>
      <w:r>
        <w:instrText xml:space="preserve"> HYPERLINK \l "_Toc522716115" </w:instrText>
      </w:r>
      <w:r>
        <w:fldChar w:fldCharType="separate"/>
      </w:r>
      <w:r>
        <w:rPr>
          <w:rStyle w:val="24"/>
          <w:szCs w:val="21"/>
        </w:rPr>
        <w:t>1</w:t>
      </w:r>
      <w:r>
        <w:rPr>
          <w:b w:val="0"/>
          <w:bCs w:val="0"/>
          <w:caps w:val="0"/>
          <w:szCs w:val="21"/>
        </w:rPr>
        <w:tab/>
      </w:r>
      <w:r>
        <w:rPr>
          <w:rStyle w:val="24"/>
          <w:szCs w:val="21"/>
        </w:rPr>
        <w:t>目的</w:t>
      </w:r>
      <w:r>
        <w:rPr>
          <w:szCs w:val="21"/>
        </w:rPr>
        <w:tab/>
      </w:r>
      <w:r>
        <w:rPr>
          <w:szCs w:val="21"/>
        </w:rPr>
        <w:fldChar w:fldCharType="begin"/>
      </w:r>
      <w:r>
        <w:rPr>
          <w:szCs w:val="21"/>
        </w:rPr>
        <w:instrText xml:space="preserve"> PAGEREF _Toc522716115 \h </w:instrText>
      </w:r>
      <w:r>
        <w:rPr>
          <w:szCs w:val="21"/>
        </w:rPr>
        <w:fldChar w:fldCharType="separate"/>
      </w:r>
      <w:r>
        <w:rPr>
          <w:szCs w:val="21"/>
        </w:rPr>
        <w:t>4</w:t>
      </w:r>
      <w:r>
        <w:rPr>
          <w:szCs w:val="21"/>
        </w:rPr>
        <w:fldChar w:fldCharType="end"/>
      </w:r>
      <w:r>
        <w:rPr>
          <w:szCs w:val="21"/>
        </w:rPr>
        <w:fldChar w:fldCharType="end"/>
      </w:r>
    </w:p>
    <w:p>
      <w:pPr>
        <w:pStyle w:val="16"/>
        <w:rPr>
          <w:b w:val="0"/>
          <w:bCs w:val="0"/>
          <w:caps w:val="0"/>
          <w:szCs w:val="21"/>
        </w:rPr>
      </w:pPr>
      <w:r>
        <w:fldChar w:fldCharType="begin"/>
      </w:r>
      <w:r>
        <w:instrText xml:space="preserve"> HYPERLINK \l "_Toc522716116" </w:instrText>
      </w:r>
      <w:r>
        <w:fldChar w:fldCharType="separate"/>
      </w:r>
      <w:r>
        <w:rPr>
          <w:rStyle w:val="24"/>
          <w:szCs w:val="21"/>
        </w:rPr>
        <w:t>2</w:t>
      </w:r>
      <w:r>
        <w:rPr>
          <w:b w:val="0"/>
          <w:bCs w:val="0"/>
          <w:caps w:val="0"/>
          <w:szCs w:val="21"/>
        </w:rPr>
        <w:tab/>
      </w:r>
      <w:r>
        <w:rPr>
          <w:rStyle w:val="24"/>
          <w:szCs w:val="21"/>
        </w:rPr>
        <w:t>范围</w:t>
      </w:r>
      <w:r>
        <w:rPr>
          <w:szCs w:val="21"/>
        </w:rPr>
        <w:tab/>
      </w:r>
      <w:r>
        <w:rPr>
          <w:szCs w:val="21"/>
        </w:rPr>
        <w:fldChar w:fldCharType="begin"/>
      </w:r>
      <w:r>
        <w:rPr>
          <w:szCs w:val="21"/>
        </w:rPr>
        <w:instrText xml:space="preserve"> PAGEREF _Toc522716116 \h </w:instrText>
      </w:r>
      <w:r>
        <w:rPr>
          <w:szCs w:val="21"/>
        </w:rPr>
        <w:fldChar w:fldCharType="separate"/>
      </w:r>
      <w:r>
        <w:rPr>
          <w:szCs w:val="21"/>
        </w:rPr>
        <w:t>4</w:t>
      </w:r>
      <w:r>
        <w:rPr>
          <w:szCs w:val="21"/>
        </w:rPr>
        <w:fldChar w:fldCharType="end"/>
      </w:r>
      <w:r>
        <w:rPr>
          <w:szCs w:val="21"/>
        </w:rPr>
        <w:fldChar w:fldCharType="end"/>
      </w:r>
    </w:p>
    <w:p>
      <w:pPr>
        <w:pStyle w:val="16"/>
        <w:rPr>
          <w:b w:val="0"/>
          <w:bCs w:val="0"/>
          <w:caps w:val="0"/>
          <w:szCs w:val="21"/>
        </w:rPr>
      </w:pPr>
      <w:r>
        <w:fldChar w:fldCharType="begin"/>
      </w:r>
      <w:r>
        <w:instrText xml:space="preserve"> HYPERLINK \l "_Toc522716117" </w:instrText>
      </w:r>
      <w:r>
        <w:fldChar w:fldCharType="separate"/>
      </w:r>
      <w:r>
        <w:rPr>
          <w:rStyle w:val="24"/>
          <w:szCs w:val="21"/>
        </w:rPr>
        <w:t>3</w:t>
      </w:r>
      <w:r>
        <w:rPr>
          <w:b w:val="0"/>
          <w:bCs w:val="0"/>
          <w:caps w:val="0"/>
          <w:szCs w:val="21"/>
        </w:rPr>
        <w:tab/>
      </w:r>
      <w:r>
        <w:rPr>
          <w:rStyle w:val="24"/>
          <w:szCs w:val="21"/>
        </w:rPr>
        <w:t>参考文件</w:t>
      </w:r>
      <w:r>
        <w:rPr>
          <w:szCs w:val="21"/>
        </w:rPr>
        <w:tab/>
      </w:r>
      <w:r>
        <w:rPr>
          <w:szCs w:val="21"/>
        </w:rPr>
        <w:fldChar w:fldCharType="begin"/>
      </w:r>
      <w:r>
        <w:rPr>
          <w:szCs w:val="21"/>
        </w:rPr>
        <w:instrText xml:space="preserve"> PAGEREF _Toc522716117 \h </w:instrText>
      </w:r>
      <w:r>
        <w:rPr>
          <w:szCs w:val="21"/>
        </w:rPr>
        <w:fldChar w:fldCharType="separate"/>
      </w:r>
      <w:r>
        <w:rPr>
          <w:szCs w:val="21"/>
        </w:rPr>
        <w:t>4</w:t>
      </w:r>
      <w:r>
        <w:rPr>
          <w:szCs w:val="21"/>
        </w:rPr>
        <w:fldChar w:fldCharType="end"/>
      </w:r>
      <w:r>
        <w:rPr>
          <w:szCs w:val="21"/>
        </w:rPr>
        <w:fldChar w:fldCharType="end"/>
      </w:r>
    </w:p>
    <w:p>
      <w:pPr>
        <w:pStyle w:val="16"/>
        <w:rPr>
          <w:b w:val="0"/>
          <w:bCs w:val="0"/>
          <w:caps w:val="0"/>
          <w:szCs w:val="21"/>
        </w:rPr>
      </w:pPr>
      <w:r>
        <w:fldChar w:fldCharType="begin"/>
      </w:r>
      <w:r>
        <w:instrText xml:space="preserve"> HYPERLINK \l "_Toc522716118" </w:instrText>
      </w:r>
      <w:r>
        <w:fldChar w:fldCharType="separate"/>
      </w:r>
      <w:r>
        <w:rPr>
          <w:rStyle w:val="24"/>
          <w:szCs w:val="21"/>
        </w:rPr>
        <w:t>4</w:t>
      </w:r>
      <w:r>
        <w:rPr>
          <w:b w:val="0"/>
          <w:bCs w:val="0"/>
          <w:caps w:val="0"/>
          <w:szCs w:val="21"/>
        </w:rPr>
        <w:tab/>
      </w:r>
      <w:r>
        <w:rPr>
          <w:rStyle w:val="24"/>
          <w:szCs w:val="21"/>
        </w:rPr>
        <w:t>职责</w:t>
      </w:r>
      <w:r>
        <w:rPr>
          <w:szCs w:val="21"/>
        </w:rPr>
        <w:tab/>
      </w:r>
      <w:r>
        <w:rPr>
          <w:szCs w:val="21"/>
        </w:rPr>
        <w:fldChar w:fldCharType="begin"/>
      </w:r>
      <w:r>
        <w:rPr>
          <w:szCs w:val="21"/>
        </w:rPr>
        <w:instrText xml:space="preserve"> PAGEREF _Toc522716118 \h </w:instrText>
      </w:r>
      <w:r>
        <w:rPr>
          <w:szCs w:val="21"/>
        </w:rPr>
        <w:fldChar w:fldCharType="separate"/>
      </w:r>
      <w:r>
        <w:rPr>
          <w:szCs w:val="21"/>
        </w:rPr>
        <w:t>4</w:t>
      </w:r>
      <w:r>
        <w:rPr>
          <w:szCs w:val="21"/>
        </w:rPr>
        <w:fldChar w:fldCharType="end"/>
      </w:r>
      <w:r>
        <w:rPr>
          <w:szCs w:val="21"/>
        </w:rPr>
        <w:fldChar w:fldCharType="end"/>
      </w:r>
    </w:p>
    <w:p>
      <w:pPr>
        <w:pStyle w:val="16"/>
        <w:rPr>
          <w:b w:val="0"/>
          <w:bCs w:val="0"/>
          <w:caps w:val="0"/>
          <w:szCs w:val="21"/>
        </w:rPr>
      </w:pPr>
      <w:r>
        <w:fldChar w:fldCharType="begin"/>
      </w:r>
      <w:r>
        <w:instrText xml:space="preserve"> HYPERLINK \l "_Toc522716119" </w:instrText>
      </w:r>
      <w:r>
        <w:fldChar w:fldCharType="separate"/>
      </w:r>
      <w:r>
        <w:rPr>
          <w:rStyle w:val="24"/>
          <w:szCs w:val="21"/>
        </w:rPr>
        <w:t>5</w:t>
      </w:r>
      <w:r>
        <w:rPr>
          <w:b w:val="0"/>
          <w:bCs w:val="0"/>
          <w:caps w:val="0"/>
          <w:szCs w:val="21"/>
        </w:rPr>
        <w:tab/>
      </w:r>
      <w:r>
        <w:rPr>
          <w:rStyle w:val="24"/>
          <w:szCs w:val="21"/>
        </w:rPr>
        <w:t>系统描述</w:t>
      </w:r>
      <w:r>
        <w:rPr>
          <w:szCs w:val="21"/>
        </w:rPr>
        <w:tab/>
      </w:r>
      <w:r>
        <w:rPr>
          <w:szCs w:val="21"/>
        </w:rPr>
        <w:fldChar w:fldCharType="begin"/>
      </w:r>
      <w:r>
        <w:rPr>
          <w:szCs w:val="21"/>
        </w:rPr>
        <w:instrText xml:space="preserve"> PAGEREF _Toc522716119 \h </w:instrText>
      </w:r>
      <w:r>
        <w:rPr>
          <w:szCs w:val="21"/>
        </w:rPr>
        <w:fldChar w:fldCharType="separate"/>
      </w:r>
      <w:r>
        <w:rPr>
          <w:szCs w:val="21"/>
        </w:rPr>
        <w:t>5</w:t>
      </w:r>
      <w:r>
        <w:rPr>
          <w:szCs w:val="21"/>
        </w:rPr>
        <w:fldChar w:fldCharType="end"/>
      </w:r>
      <w:r>
        <w:rPr>
          <w:szCs w:val="21"/>
        </w:rPr>
        <w:fldChar w:fldCharType="end"/>
      </w:r>
    </w:p>
    <w:p>
      <w:pPr>
        <w:pStyle w:val="16"/>
        <w:rPr>
          <w:b w:val="0"/>
          <w:bCs w:val="0"/>
          <w:caps w:val="0"/>
          <w:szCs w:val="21"/>
        </w:rPr>
      </w:pPr>
      <w:r>
        <w:fldChar w:fldCharType="begin"/>
      </w:r>
      <w:r>
        <w:instrText xml:space="preserve"> HYPERLINK \l "_Toc522716120" </w:instrText>
      </w:r>
      <w:r>
        <w:fldChar w:fldCharType="separate"/>
      </w:r>
      <w:r>
        <w:rPr>
          <w:rStyle w:val="24"/>
          <w:szCs w:val="21"/>
        </w:rPr>
        <w:t>6</w:t>
      </w:r>
      <w:r>
        <w:rPr>
          <w:b w:val="0"/>
          <w:bCs w:val="0"/>
          <w:caps w:val="0"/>
          <w:szCs w:val="21"/>
        </w:rPr>
        <w:tab/>
      </w:r>
      <w:r>
        <w:rPr>
          <w:rStyle w:val="24"/>
          <w:szCs w:val="21"/>
        </w:rPr>
        <w:t>安装要求</w:t>
      </w:r>
      <w:r>
        <w:rPr>
          <w:szCs w:val="21"/>
        </w:rPr>
        <w:tab/>
      </w:r>
      <w:r>
        <w:rPr>
          <w:szCs w:val="21"/>
        </w:rPr>
        <w:fldChar w:fldCharType="begin"/>
      </w:r>
      <w:r>
        <w:rPr>
          <w:szCs w:val="21"/>
        </w:rPr>
        <w:instrText xml:space="preserve"> PAGEREF _Toc522716120 \h </w:instrText>
      </w:r>
      <w:r>
        <w:rPr>
          <w:szCs w:val="21"/>
        </w:rPr>
        <w:fldChar w:fldCharType="separate"/>
      </w:r>
      <w:r>
        <w:rPr>
          <w:szCs w:val="21"/>
        </w:rPr>
        <w:t>5</w:t>
      </w:r>
      <w:r>
        <w:rPr>
          <w:szCs w:val="21"/>
        </w:rPr>
        <w:fldChar w:fldCharType="end"/>
      </w:r>
      <w:r>
        <w:rPr>
          <w:szCs w:val="21"/>
        </w:rPr>
        <w:fldChar w:fldCharType="end"/>
      </w:r>
    </w:p>
    <w:p>
      <w:pPr>
        <w:pStyle w:val="16"/>
        <w:rPr>
          <w:b w:val="0"/>
          <w:bCs w:val="0"/>
          <w:caps w:val="0"/>
          <w:szCs w:val="21"/>
        </w:rPr>
      </w:pPr>
      <w:r>
        <w:fldChar w:fldCharType="begin"/>
      </w:r>
      <w:r>
        <w:instrText xml:space="preserve"> HYPERLINK \l "_Toc522716121" </w:instrText>
      </w:r>
      <w:r>
        <w:fldChar w:fldCharType="separate"/>
      </w:r>
      <w:r>
        <w:rPr>
          <w:rStyle w:val="24"/>
          <w:szCs w:val="21"/>
        </w:rPr>
        <w:t>7</w:t>
      </w:r>
      <w:r>
        <w:rPr>
          <w:b w:val="0"/>
          <w:bCs w:val="0"/>
          <w:caps w:val="0"/>
          <w:szCs w:val="21"/>
        </w:rPr>
        <w:tab/>
      </w:r>
      <w:r>
        <w:rPr>
          <w:rStyle w:val="24"/>
          <w:szCs w:val="21"/>
        </w:rPr>
        <w:t>运行要求</w:t>
      </w:r>
      <w:r>
        <w:rPr>
          <w:szCs w:val="21"/>
        </w:rPr>
        <w:tab/>
      </w:r>
      <w:r>
        <w:rPr>
          <w:rFonts w:hint="eastAsia"/>
          <w:szCs w:val="21"/>
        </w:rPr>
        <w:t>7</w:t>
      </w:r>
      <w:r>
        <w:rPr>
          <w:rFonts w:hint="eastAsia"/>
          <w:szCs w:val="21"/>
        </w:rPr>
        <w:fldChar w:fldCharType="end"/>
      </w:r>
    </w:p>
    <w:p>
      <w:pPr>
        <w:pStyle w:val="16"/>
        <w:rPr>
          <w:b w:val="0"/>
          <w:bCs w:val="0"/>
          <w:caps w:val="0"/>
          <w:szCs w:val="21"/>
        </w:rPr>
      </w:pPr>
      <w:r>
        <w:fldChar w:fldCharType="begin"/>
      </w:r>
      <w:r>
        <w:instrText xml:space="preserve"> HYPERLINK \l "_Toc522716122" </w:instrText>
      </w:r>
      <w:r>
        <w:fldChar w:fldCharType="separate"/>
      </w:r>
      <w:r>
        <w:rPr>
          <w:rStyle w:val="24"/>
          <w:szCs w:val="21"/>
        </w:rPr>
        <w:t>8</w:t>
      </w:r>
      <w:r>
        <w:rPr>
          <w:b w:val="0"/>
          <w:bCs w:val="0"/>
          <w:caps w:val="0"/>
          <w:szCs w:val="21"/>
        </w:rPr>
        <w:tab/>
      </w:r>
      <w:r>
        <w:rPr>
          <w:rStyle w:val="24"/>
          <w:szCs w:val="21"/>
        </w:rPr>
        <w:t>电气、自动控制要求</w:t>
      </w:r>
      <w:r>
        <w:rPr>
          <w:szCs w:val="21"/>
        </w:rPr>
        <w:tab/>
      </w:r>
      <w:r>
        <w:rPr>
          <w:rFonts w:hint="eastAsia"/>
          <w:szCs w:val="21"/>
        </w:rPr>
        <w:t>8</w:t>
      </w:r>
      <w:r>
        <w:rPr>
          <w:rFonts w:hint="eastAsia"/>
          <w:szCs w:val="21"/>
        </w:rPr>
        <w:fldChar w:fldCharType="end"/>
      </w:r>
    </w:p>
    <w:p>
      <w:pPr>
        <w:pStyle w:val="16"/>
        <w:rPr>
          <w:b w:val="0"/>
          <w:bCs w:val="0"/>
          <w:caps w:val="0"/>
          <w:szCs w:val="21"/>
        </w:rPr>
      </w:pPr>
      <w:r>
        <w:fldChar w:fldCharType="begin"/>
      </w:r>
      <w:r>
        <w:instrText xml:space="preserve"> HYPERLINK \l "_Toc522716123" </w:instrText>
      </w:r>
      <w:r>
        <w:fldChar w:fldCharType="separate"/>
      </w:r>
      <w:r>
        <w:rPr>
          <w:rStyle w:val="24"/>
          <w:szCs w:val="21"/>
        </w:rPr>
        <w:t>9</w:t>
      </w:r>
      <w:r>
        <w:rPr>
          <w:b w:val="0"/>
          <w:bCs w:val="0"/>
          <w:caps w:val="0"/>
          <w:szCs w:val="21"/>
        </w:rPr>
        <w:tab/>
      </w:r>
      <w:r>
        <w:rPr>
          <w:rStyle w:val="24"/>
          <w:szCs w:val="21"/>
        </w:rPr>
        <w:t>安全要求</w:t>
      </w:r>
      <w:r>
        <w:rPr>
          <w:szCs w:val="21"/>
        </w:rPr>
        <w:tab/>
      </w:r>
      <w:r>
        <w:rPr>
          <w:rFonts w:hint="eastAsia"/>
          <w:szCs w:val="21"/>
        </w:rPr>
        <w:t>11</w:t>
      </w:r>
      <w:r>
        <w:rPr>
          <w:rFonts w:hint="eastAsia"/>
          <w:szCs w:val="21"/>
        </w:rPr>
        <w:fldChar w:fldCharType="end"/>
      </w:r>
    </w:p>
    <w:p>
      <w:pPr>
        <w:pStyle w:val="16"/>
        <w:rPr>
          <w:b w:val="0"/>
          <w:bCs w:val="0"/>
          <w:caps w:val="0"/>
          <w:szCs w:val="21"/>
        </w:rPr>
      </w:pPr>
      <w:r>
        <w:fldChar w:fldCharType="begin"/>
      </w:r>
      <w:r>
        <w:instrText xml:space="preserve"> HYPERLINK \l "_Toc522716124" </w:instrText>
      </w:r>
      <w:r>
        <w:fldChar w:fldCharType="separate"/>
      </w:r>
      <w:r>
        <w:rPr>
          <w:rStyle w:val="24"/>
          <w:szCs w:val="21"/>
        </w:rPr>
        <w:t>10</w:t>
      </w:r>
      <w:r>
        <w:rPr>
          <w:b w:val="0"/>
          <w:bCs w:val="0"/>
          <w:caps w:val="0"/>
          <w:szCs w:val="21"/>
        </w:rPr>
        <w:tab/>
      </w:r>
      <w:r>
        <w:rPr>
          <w:rStyle w:val="24"/>
          <w:szCs w:val="21"/>
        </w:rPr>
        <w:t>文件要求</w:t>
      </w:r>
      <w:r>
        <w:rPr>
          <w:szCs w:val="21"/>
        </w:rPr>
        <w:tab/>
      </w:r>
      <w:r>
        <w:rPr>
          <w:rFonts w:hint="eastAsia"/>
          <w:szCs w:val="21"/>
        </w:rPr>
        <w:t>11</w:t>
      </w:r>
      <w:r>
        <w:rPr>
          <w:rFonts w:hint="eastAsia"/>
          <w:szCs w:val="21"/>
        </w:rPr>
        <w:fldChar w:fldCharType="end"/>
      </w:r>
    </w:p>
    <w:p>
      <w:pPr>
        <w:pStyle w:val="16"/>
        <w:rPr>
          <w:b w:val="0"/>
          <w:bCs w:val="0"/>
          <w:caps w:val="0"/>
          <w:szCs w:val="21"/>
        </w:rPr>
      </w:pPr>
      <w:r>
        <w:fldChar w:fldCharType="begin"/>
      </w:r>
      <w:r>
        <w:instrText xml:space="preserve"> HYPERLINK \l "_Toc522716125" </w:instrText>
      </w:r>
      <w:r>
        <w:fldChar w:fldCharType="separate"/>
      </w:r>
      <w:r>
        <w:rPr>
          <w:rStyle w:val="24"/>
          <w:szCs w:val="21"/>
        </w:rPr>
        <w:t>11</w:t>
      </w:r>
      <w:r>
        <w:rPr>
          <w:b w:val="0"/>
          <w:bCs w:val="0"/>
          <w:caps w:val="0"/>
          <w:szCs w:val="21"/>
        </w:rPr>
        <w:tab/>
      </w:r>
      <w:r>
        <w:rPr>
          <w:rStyle w:val="24"/>
          <w:szCs w:val="21"/>
        </w:rPr>
        <w:t>服务要求</w:t>
      </w:r>
      <w:r>
        <w:rPr>
          <w:szCs w:val="21"/>
        </w:rPr>
        <w:tab/>
      </w:r>
      <w:r>
        <w:rPr>
          <w:rFonts w:hint="eastAsia"/>
          <w:szCs w:val="21"/>
        </w:rPr>
        <w:t>13</w:t>
      </w:r>
      <w:r>
        <w:rPr>
          <w:rFonts w:hint="eastAsia"/>
          <w:szCs w:val="21"/>
        </w:rPr>
        <w:fldChar w:fldCharType="end"/>
      </w:r>
    </w:p>
    <w:p>
      <w:pPr>
        <w:pStyle w:val="16"/>
        <w:rPr>
          <w:b w:val="0"/>
          <w:bCs w:val="0"/>
          <w:caps w:val="0"/>
          <w:szCs w:val="21"/>
        </w:rPr>
      </w:pPr>
      <w:r>
        <w:fldChar w:fldCharType="begin"/>
      </w:r>
      <w:r>
        <w:instrText xml:space="preserve"> HYPERLINK \l "_Toc522716126" </w:instrText>
      </w:r>
      <w:r>
        <w:fldChar w:fldCharType="separate"/>
      </w:r>
      <w:r>
        <w:rPr>
          <w:rStyle w:val="24"/>
          <w:szCs w:val="21"/>
        </w:rPr>
        <w:t>12</w:t>
      </w:r>
      <w:r>
        <w:rPr>
          <w:b w:val="0"/>
          <w:bCs w:val="0"/>
          <w:caps w:val="0"/>
          <w:szCs w:val="21"/>
        </w:rPr>
        <w:tab/>
      </w:r>
      <w:r>
        <w:rPr>
          <w:rStyle w:val="24"/>
          <w:szCs w:val="21"/>
        </w:rPr>
        <w:t>附件</w:t>
      </w:r>
      <w:r>
        <w:rPr>
          <w:szCs w:val="21"/>
        </w:rPr>
        <w:tab/>
      </w:r>
      <w:r>
        <w:rPr>
          <w:szCs w:val="21"/>
        </w:rPr>
        <w:fldChar w:fldCharType="begin"/>
      </w:r>
      <w:r>
        <w:rPr>
          <w:szCs w:val="21"/>
        </w:rPr>
        <w:instrText xml:space="preserve"> PAGEREF _Toc522716126 \h </w:instrText>
      </w:r>
      <w:r>
        <w:rPr>
          <w:szCs w:val="21"/>
        </w:rPr>
        <w:fldChar w:fldCharType="separate"/>
      </w:r>
      <w:r>
        <w:rPr>
          <w:szCs w:val="21"/>
        </w:rPr>
        <w:t>15</w:t>
      </w:r>
      <w:r>
        <w:rPr>
          <w:szCs w:val="21"/>
        </w:rPr>
        <w:fldChar w:fldCharType="end"/>
      </w:r>
      <w:r>
        <w:rPr>
          <w:szCs w:val="21"/>
        </w:rPr>
        <w:fldChar w:fldCharType="end"/>
      </w:r>
    </w:p>
    <w:p>
      <w:pPr>
        <w:rPr>
          <w:szCs w:val="21"/>
        </w:rPr>
      </w:pPr>
      <w:r>
        <w:rPr>
          <w:szCs w:val="21"/>
        </w:rPr>
        <w:fldChar w:fldCharType="end"/>
      </w:r>
    </w:p>
    <w:p>
      <w:pPr>
        <w:rPr>
          <w:b/>
          <w:bCs/>
          <w:caps/>
          <w:kern w:val="2"/>
          <w:szCs w:val="21"/>
          <w:lang w:eastAsia="zh-CN"/>
        </w:rPr>
      </w:pPr>
      <w:r>
        <w:rPr>
          <w:b/>
          <w:bCs/>
          <w:caps/>
          <w:kern w:val="2"/>
          <w:szCs w:val="21"/>
          <w:lang w:eastAsia="zh-CN"/>
        </w:rPr>
        <w:br w:type="page"/>
      </w:r>
    </w:p>
    <w:p>
      <w:pPr>
        <w:pStyle w:val="40"/>
        <w:numPr>
          <w:ilvl w:val="0"/>
          <w:numId w:val="3"/>
        </w:numPr>
        <w:spacing w:after="158" w:afterLines="50"/>
        <w:ind w:left="426" w:hanging="426" w:hangingChars="202"/>
        <w:outlineLvl w:val="0"/>
        <w:rPr>
          <w:rFonts w:ascii="Times New Roman" w:hAnsi="Times New Roman"/>
          <w:b/>
          <w:szCs w:val="21"/>
        </w:rPr>
      </w:pPr>
      <w:bookmarkStart w:id="6" w:name="_Toc522107735"/>
      <w:bookmarkStart w:id="7" w:name="_Toc522716115"/>
      <w:r>
        <w:rPr>
          <w:rFonts w:ascii="Times New Roman" w:hAnsi="Times New Roman"/>
          <w:b/>
          <w:szCs w:val="21"/>
        </w:rPr>
        <w:t>目的</w:t>
      </w:r>
      <w:bookmarkEnd w:id="6"/>
      <w:bookmarkEnd w:id="7"/>
    </w:p>
    <w:p>
      <w:pPr>
        <w:pStyle w:val="31"/>
        <w:spacing w:before="0" w:line="360" w:lineRule="auto"/>
        <w:ind w:left="357"/>
        <w:jc w:val="left"/>
        <w:rPr>
          <w:sz w:val="21"/>
          <w:szCs w:val="21"/>
          <w:lang w:eastAsia="zh-CN"/>
        </w:rPr>
      </w:pPr>
      <w:bookmarkStart w:id="8" w:name="_Toc481702475"/>
      <w:bookmarkStart w:id="9" w:name="_Toc482370061"/>
      <w:bookmarkStart w:id="10" w:name="_Toc482370757"/>
      <w:bookmarkStart w:id="11" w:name="_Toc482625279"/>
      <w:bookmarkStart w:id="12" w:name="_Toc482370349"/>
      <w:bookmarkStart w:id="13" w:name="_Toc482369805"/>
      <w:bookmarkStart w:id="14" w:name="_Toc482370141"/>
      <w:bookmarkStart w:id="15" w:name="_Toc482360281"/>
      <w:bookmarkStart w:id="16" w:name="_Toc482359936"/>
      <w:r>
        <w:rPr>
          <w:sz w:val="21"/>
          <w:szCs w:val="21"/>
          <w:lang w:eastAsia="zh-CN"/>
        </w:rPr>
        <w:t>本文件的目的是描述武汉生物制品研究所有限责任公司</w:t>
      </w:r>
      <w:r>
        <w:rPr>
          <w:rFonts w:hint="eastAsia"/>
          <w:sz w:val="21"/>
          <w:szCs w:val="21"/>
          <w:lang w:eastAsia="zh-CN"/>
        </w:rPr>
        <w:t>质量控制室低温保存箱</w:t>
      </w:r>
      <w:r>
        <w:rPr>
          <w:sz w:val="21"/>
          <w:szCs w:val="21"/>
          <w:lang w:eastAsia="zh-CN"/>
        </w:rPr>
        <w:t>的用户需求说明（URS），以确保最终用户的需求在项目设计阶段得以实现，并作为后续验证工作的基础。</w:t>
      </w:r>
    </w:p>
    <w:p>
      <w:pPr>
        <w:pStyle w:val="31"/>
        <w:spacing w:before="0"/>
        <w:ind w:left="360"/>
        <w:rPr>
          <w:sz w:val="21"/>
          <w:szCs w:val="21"/>
          <w:lang w:eastAsia="zh-CN"/>
        </w:rPr>
      </w:pPr>
    </w:p>
    <w:p>
      <w:pPr>
        <w:pStyle w:val="40"/>
        <w:numPr>
          <w:ilvl w:val="0"/>
          <w:numId w:val="3"/>
        </w:numPr>
        <w:spacing w:after="158" w:afterLines="50"/>
        <w:ind w:left="426" w:hanging="426" w:hangingChars="202"/>
        <w:outlineLvl w:val="0"/>
        <w:rPr>
          <w:rFonts w:ascii="Times New Roman" w:hAnsi="Times New Roman"/>
          <w:b/>
          <w:szCs w:val="21"/>
        </w:rPr>
      </w:pPr>
      <w:bookmarkStart w:id="17" w:name="_Toc522107736"/>
      <w:bookmarkStart w:id="18" w:name="_Toc522716116"/>
      <w:r>
        <w:rPr>
          <w:rFonts w:ascii="Times New Roman" w:hAnsi="Times New Roman"/>
          <w:b/>
          <w:szCs w:val="21"/>
        </w:rPr>
        <w:t>范围</w:t>
      </w:r>
      <w:bookmarkEnd w:id="17"/>
      <w:bookmarkEnd w:id="18"/>
    </w:p>
    <w:p>
      <w:pPr>
        <w:pStyle w:val="31"/>
        <w:spacing w:before="0" w:line="360" w:lineRule="auto"/>
        <w:ind w:left="357"/>
        <w:jc w:val="left"/>
        <w:rPr>
          <w:sz w:val="21"/>
          <w:szCs w:val="21"/>
          <w:lang w:eastAsia="zh-CN"/>
        </w:rPr>
      </w:pPr>
      <w:r>
        <w:rPr>
          <w:sz w:val="21"/>
          <w:szCs w:val="21"/>
          <w:lang w:eastAsia="zh-CN"/>
        </w:rPr>
        <w:t>本URS适用于武汉生物制品研究所有限责任公司</w:t>
      </w:r>
      <w:r>
        <w:rPr>
          <w:rFonts w:hint="eastAsia"/>
          <w:sz w:val="21"/>
          <w:szCs w:val="21"/>
          <w:lang w:eastAsia="zh-CN"/>
        </w:rPr>
        <w:t>质量控制室低温保存箱</w:t>
      </w:r>
      <w:r>
        <w:rPr>
          <w:sz w:val="21"/>
          <w:szCs w:val="21"/>
          <w:lang w:eastAsia="zh-CN"/>
        </w:rPr>
        <w:t>。</w:t>
      </w:r>
      <w:bookmarkEnd w:id="8"/>
      <w:bookmarkEnd w:id="9"/>
      <w:bookmarkEnd w:id="10"/>
      <w:bookmarkEnd w:id="11"/>
      <w:bookmarkEnd w:id="12"/>
      <w:bookmarkEnd w:id="13"/>
      <w:bookmarkEnd w:id="14"/>
      <w:bookmarkEnd w:id="15"/>
      <w:bookmarkEnd w:id="16"/>
    </w:p>
    <w:p>
      <w:pPr>
        <w:pStyle w:val="31"/>
        <w:spacing w:before="0" w:line="360" w:lineRule="auto"/>
        <w:ind w:left="357"/>
        <w:jc w:val="left"/>
        <w:rPr>
          <w:sz w:val="21"/>
          <w:szCs w:val="21"/>
          <w:lang w:eastAsia="zh-CN"/>
        </w:rPr>
      </w:pPr>
    </w:p>
    <w:p>
      <w:pPr>
        <w:pStyle w:val="40"/>
        <w:numPr>
          <w:ilvl w:val="0"/>
          <w:numId w:val="3"/>
        </w:numPr>
        <w:spacing w:after="158" w:afterLines="50"/>
        <w:ind w:left="426" w:hanging="426" w:hangingChars="202"/>
        <w:outlineLvl w:val="0"/>
        <w:rPr>
          <w:rFonts w:ascii="Times New Roman" w:hAnsi="Times New Roman"/>
          <w:b/>
          <w:szCs w:val="21"/>
        </w:rPr>
      </w:pPr>
      <w:bookmarkStart w:id="19" w:name="_Toc522716117"/>
      <w:bookmarkStart w:id="20" w:name="_Toc522107737"/>
      <w:r>
        <w:rPr>
          <w:rFonts w:ascii="Times New Roman" w:hAnsi="Times New Roman"/>
          <w:b/>
          <w:szCs w:val="21"/>
        </w:rPr>
        <w:t>参考文件</w:t>
      </w:r>
      <w:bookmarkEnd w:id="19"/>
      <w:bookmarkEnd w:id="20"/>
    </w:p>
    <w:p>
      <w:pPr>
        <w:pStyle w:val="31"/>
        <w:numPr>
          <w:ilvl w:val="0"/>
          <w:numId w:val="4"/>
        </w:numPr>
        <w:spacing w:before="0" w:line="360" w:lineRule="auto"/>
        <w:jc w:val="left"/>
        <w:rPr>
          <w:color w:val="000000"/>
          <w:sz w:val="21"/>
          <w:szCs w:val="21"/>
          <w:lang w:eastAsia="zh-CN"/>
        </w:rPr>
      </w:pPr>
      <w:r>
        <w:rPr>
          <w:color w:val="000000"/>
          <w:sz w:val="21"/>
          <w:szCs w:val="21"/>
          <w:lang w:eastAsia="zh-CN"/>
        </w:rPr>
        <w:t>GMP法规指南和SOP</w:t>
      </w:r>
    </w:p>
    <w:p>
      <w:pPr>
        <w:pStyle w:val="31"/>
        <w:numPr>
          <w:ilvl w:val="0"/>
          <w:numId w:val="5"/>
        </w:numPr>
        <w:spacing w:before="0" w:line="360" w:lineRule="auto"/>
        <w:ind w:left="777"/>
        <w:jc w:val="left"/>
        <w:rPr>
          <w:color w:val="4472C4"/>
          <w:sz w:val="21"/>
          <w:szCs w:val="21"/>
          <w:lang w:eastAsia="zh-CN"/>
        </w:rPr>
      </w:pPr>
      <w:r>
        <w:rPr>
          <w:color w:val="000000"/>
          <w:sz w:val="21"/>
          <w:szCs w:val="21"/>
          <w:lang w:eastAsia="zh-CN"/>
        </w:rPr>
        <w:t>SOP-06-12-0005 用户需求编写审批SOP</w:t>
      </w:r>
    </w:p>
    <w:p>
      <w:pPr>
        <w:pStyle w:val="31"/>
        <w:numPr>
          <w:ilvl w:val="0"/>
          <w:numId w:val="5"/>
        </w:numPr>
        <w:spacing w:before="0" w:line="360" w:lineRule="auto"/>
        <w:ind w:left="777"/>
        <w:jc w:val="left"/>
        <w:rPr>
          <w:color w:val="000000"/>
          <w:sz w:val="21"/>
          <w:szCs w:val="21"/>
          <w:lang w:eastAsia="zh-CN"/>
        </w:rPr>
      </w:pPr>
      <w:r>
        <w:rPr>
          <w:rFonts w:hint="eastAsia"/>
          <w:color w:val="000000"/>
          <w:sz w:val="21"/>
          <w:szCs w:val="21"/>
          <w:lang w:eastAsia="zh-CN"/>
        </w:rPr>
        <w:t>《</w:t>
      </w:r>
      <w:r>
        <w:rPr>
          <w:color w:val="000000"/>
          <w:sz w:val="21"/>
          <w:szCs w:val="21"/>
          <w:lang w:eastAsia="zh-CN"/>
        </w:rPr>
        <w:t xml:space="preserve">中国药典 </w:t>
      </w:r>
      <w:r>
        <w:rPr>
          <w:rFonts w:hint="eastAsia"/>
          <w:color w:val="000000"/>
          <w:sz w:val="21"/>
          <w:szCs w:val="21"/>
          <w:lang w:eastAsia="zh-CN"/>
        </w:rPr>
        <w:t>》</w:t>
      </w:r>
      <w:r>
        <w:rPr>
          <w:color w:val="000000"/>
          <w:sz w:val="21"/>
          <w:szCs w:val="21"/>
          <w:lang w:eastAsia="zh-CN"/>
        </w:rPr>
        <w:t>20</w:t>
      </w:r>
      <w:r>
        <w:rPr>
          <w:rFonts w:hint="eastAsia"/>
          <w:color w:val="000000"/>
          <w:sz w:val="21"/>
          <w:szCs w:val="21"/>
          <w:lang w:val="en-US" w:eastAsia="zh-CN"/>
        </w:rPr>
        <w:t>20</w:t>
      </w:r>
      <w:r>
        <w:rPr>
          <w:color w:val="000000"/>
          <w:sz w:val="21"/>
          <w:szCs w:val="21"/>
          <w:lang w:eastAsia="zh-CN"/>
        </w:rPr>
        <w:t>年版</w:t>
      </w:r>
    </w:p>
    <w:p>
      <w:pPr>
        <w:pStyle w:val="31"/>
        <w:numPr>
          <w:ilvl w:val="0"/>
          <w:numId w:val="5"/>
        </w:numPr>
        <w:spacing w:before="0" w:line="360" w:lineRule="auto"/>
        <w:ind w:left="777"/>
        <w:jc w:val="left"/>
        <w:rPr>
          <w:sz w:val="21"/>
          <w:szCs w:val="21"/>
          <w:lang w:eastAsia="zh-CN"/>
        </w:rPr>
      </w:pPr>
      <w:r>
        <w:rPr>
          <w:rFonts w:hint="eastAsia" w:ascii="宋体" w:hAnsi="宋体"/>
          <w:sz w:val="21"/>
          <w:szCs w:val="21"/>
          <w:lang w:eastAsia="zh-CN"/>
        </w:rPr>
        <w:t>《药品生产质量管理规范》（2010修订版）</w:t>
      </w:r>
      <w:r>
        <w:rPr>
          <w:rFonts w:hint="eastAsia"/>
          <w:sz w:val="21"/>
          <w:szCs w:val="21"/>
          <w:lang w:eastAsia="zh-CN"/>
        </w:rPr>
        <w:t>及附录</w:t>
      </w:r>
    </w:p>
    <w:p>
      <w:pPr>
        <w:pStyle w:val="31"/>
        <w:numPr>
          <w:ilvl w:val="0"/>
          <w:numId w:val="5"/>
        </w:numPr>
        <w:spacing w:before="0" w:line="360" w:lineRule="auto"/>
        <w:ind w:left="777"/>
        <w:jc w:val="left"/>
        <w:rPr>
          <w:sz w:val="21"/>
          <w:szCs w:val="21"/>
          <w:lang w:eastAsia="zh-CN"/>
        </w:rPr>
      </w:pPr>
      <w:r>
        <w:rPr>
          <w:rFonts w:hint="eastAsia"/>
          <w:sz w:val="21"/>
          <w:szCs w:val="21"/>
          <w:lang w:eastAsia="zh-CN"/>
        </w:rPr>
        <w:t>《药物临床试验质量管理规范》（现行版）</w:t>
      </w:r>
    </w:p>
    <w:p>
      <w:pPr>
        <w:pStyle w:val="31"/>
        <w:numPr>
          <w:ilvl w:val="0"/>
          <w:numId w:val="5"/>
        </w:numPr>
        <w:spacing w:before="0" w:line="360" w:lineRule="auto"/>
        <w:ind w:left="777"/>
        <w:jc w:val="left"/>
        <w:rPr>
          <w:sz w:val="21"/>
          <w:szCs w:val="21"/>
          <w:lang w:eastAsia="zh-CN"/>
        </w:rPr>
      </w:pPr>
      <w:r>
        <w:rPr>
          <w:sz w:val="21"/>
          <w:szCs w:val="21"/>
          <w:lang w:eastAsia="zh-CN"/>
        </w:rPr>
        <w:t>GMP</w:t>
      </w:r>
      <w:r>
        <w:rPr>
          <w:rFonts w:hint="eastAsia"/>
          <w:sz w:val="21"/>
          <w:szCs w:val="21"/>
          <w:lang w:eastAsia="zh-CN"/>
        </w:rPr>
        <w:t>附件</w:t>
      </w:r>
      <w:r>
        <w:rPr>
          <w:sz w:val="21"/>
          <w:szCs w:val="21"/>
          <w:lang w:eastAsia="zh-CN"/>
        </w:rPr>
        <w:t>1</w:t>
      </w:r>
      <w:r>
        <w:rPr>
          <w:rFonts w:hint="eastAsia"/>
          <w:sz w:val="21"/>
          <w:szCs w:val="21"/>
          <w:lang w:eastAsia="zh-CN"/>
        </w:rPr>
        <w:t>《计算机化系统》（</w:t>
      </w:r>
      <w:r>
        <w:rPr>
          <w:sz w:val="21"/>
          <w:szCs w:val="21"/>
          <w:lang w:eastAsia="zh-CN"/>
        </w:rPr>
        <w:t>2015</w:t>
      </w:r>
      <w:r>
        <w:rPr>
          <w:rFonts w:hint="eastAsia"/>
          <w:sz w:val="21"/>
          <w:szCs w:val="21"/>
          <w:lang w:eastAsia="zh-CN"/>
        </w:rPr>
        <w:t>版）</w:t>
      </w:r>
    </w:p>
    <w:p>
      <w:pPr>
        <w:pStyle w:val="31"/>
        <w:numPr>
          <w:ilvl w:val="0"/>
          <w:numId w:val="5"/>
        </w:numPr>
        <w:spacing w:before="0" w:line="360" w:lineRule="auto"/>
        <w:ind w:left="777"/>
        <w:jc w:val="left"/>
        <w:rPr>
          <w:sz w:val="21"/>
          <w:szCs w:val="21"/>
          <w:lang w:eastAsia="zh-CN"/>
        </w:rPr>
      </w:pPr>
      <w:r>
        <w:rPr>
          <w:sz w:val="21"/>
          <w:szCs w:val="21"/>
          <w:lang w:eastAsia="zh-CN"/>
        </w:rPr>
        <w:t>GMP</w:t>
      </w:r>
      <w:r>
        <w:rPr>
          <w:rFonts w:hint="eastAsia"/>
          <w:sz w:val="21"/>
          <w:szCs w:val="21"/>
          <w:lang w:eastAsia="zh-CN"/>
        </w:rPr>
        <w:t>附件</w:t>
      </w:r>
      <w:r>
        <w:rPr>
          <w:sz w:val="21"/>
          <w:szCs w:val="21"/>
          <w:lang w:eastAsia="zh-CN"/>
        </w:rPr>
        <w:t>2</w:t>
      </w:r>
      <w:r>
        <w:rPr>
          <w:rFonts w:hint="eastAsia"/>
          <w:sz w:val="21"/>
          <w:szCs w:val="21"/>
          <w:lang w:eastAsia="zh-CN"/>
        </w:rPr>
        <w:t>《确认与验证》（</w:t>
      </w:r>
      <w:r>
        <w:rPr>
          <w:sz w:val="21"/>
          <w:szCs w:val="21"/>
          <w:lang w:eastAsia="zh-CN"/>
        </w:rPr>
        <w:t>2015</w:t>
      </w:r>
      <w:r>
        <w:rPr>
          <w:rFonts w:hint="eastAsia"/>
          <w:sz w:val="21"/>
          <w:szCs w:val="21"/>
          <w:lang w:eastAsia="zh-CN"/>
        </w:rPr>
        <w:t>版）</w:t>
      </w:r>
    </w:p>
    <w:p>
      <w:pPr>
        <w:pStyle w:val="31"/>
        <w:numPr>
          <w:ilvl w:val="0"/>
          <w:numId w:val="5"/>
        </w:numPr>
        <w:spacing w:before="0" w:line="360" w:lineRule="auto"/>
        <w:ind w:left="777"/>
        <w:jc w:val="left"/>
        <w:rPr>
          <w:sz w:val="21"/>
          <w:szCs w:val="21"/>
          <w:lang w:eastAsia="zh-CN"/>
        </w:rPr>
      </w:pPr>
      <w:r>
        <w:rPr>
          <w:rFonts w:hint="eastAsia"/>
          <w:sz w:val="21"/>
          <w:szCs w:val="21"/>
          <w:lang w:eastAsia="zh-CN"/>
        </w:rPr>
        <w:t>GAMP5</w:t>
      </w:r>
    </w:p>
    <w:p>
      <w:pPr>
        <w:pStyle w:val="31"/>
        <w:numPr>
          <w:ilvl w:val="0"/>
          <w:numId w:val="4"/>
        </w:numPr>
        <w:spacing w:before="0" w:line="360" w:lineRule="auto"/>
        <w:jc w:val="left"/>
        <w:rPr>
          <w:color w:val="000000"/>
          <w:sz w:val="21"/>
          <w:szCs w:val="21"/>
          <w:lang w:eastAsia="zh-CN"/>
        </w:rPr>
      </w:pPr>
      <w:r>
        <w:rPr>
          <w:color w:val="000000"/>
          <w:sz w:val="21"/>
          <w:szCs w:val="21"/>
          <w:lang w:eastAsia="zh-CN"/>
        </w:rPr>
        <w:t>安全及环保法规指南</w:t>
      </w:r>
    </w:p>
    <w:p>
      <w:pPr>
        <w:pStyle w:val="31"/>
        <w:numPr>
          <w:ilvl w:val="0"/>
          <w:numId w:val="5"/>
        </w:numPr>
        <w:spacing w:before="0" w:line="360" w:lineRule="auto"/>
        <w:ind w:left="777"/>
        <w:jc w:val="left"/>
        <w:rPr>
          <w:color w:val="000000"/>
          <w:sz w:val="21"/>
          <w:szCs w:val="21"/>
          <w:lang w:eastAsia="zh-CN"/>
        </w:rPr>
      </w:pPr>
      <w:r>
        <w:rPr>
          <w:color w:val="000000"/>
          <w:sz w:val="21"/>
          <w:szCs w:val="21"/>
          <w:lang w:eastAsia="zh-CN"/>
        </w:rPr>
        <w:t>电气安全应符合GB4793.1和GB4793.4的要求。</w:t>
      </w:r>
    </w:p>
    <w:p>
      <w:pPr>
        <w:pStyle w:val="31"/>
        <w:spacing w:before="0" w:line="360" w:lineRule="auto"/>
        <w:jc w:val="left"/>
        <w:rPr>
          <w:sz w:val="21"/>
          <w:szCs w:val="21"/>
          <w:lang w:eastAsia="zh-CN"/>
        </w:rPr>
      </w:pPr>
    </w:p>
    <w:p>
      <w:pPr>
        <w:pStyle w:val="40"/>
        <w:numPr>
          <w:ilvl w:val="0"/>
          <w:numId w:val="3"/>
        </w:numPr>
        <w:spacing w:after="158" w:afterLines="50"/>
        <w:ind w:left="426" w:hanging="426" w:hangingChars="202"/>
        <w:outlineLvl w:val="0"/>
        <w:rPr>
          <w:rFonts w:ascii="Times New Roman" w:hAnsi="Times New Roman"/>
          <w:b/>
          <w:szCs w:val="21"/>
        </w:rPr>
      </w:pPr>
      <w:bookmarkStart w:id="21" w:name="_Toc522107739"/>
      <w:bookmarkStart w:id="22" w:name="_Toc522716119"/>
      <w:r>
        <w:rPr>
          <w:rFonts w:ascii="Times New Roman" w:hAnsi="Times New Roman"/>
          <w:b/>
          <w:szCs w:val="21"/>
        </w:rPr>
        <w:t>系统描述</w:t>
      </w:r>
      <w:bookmarkEnd w:id="21"/>
      <w:bookmarkEnd w:id="22"/>
    </w:p>
    <w:p>
      <w:pPr>
        <w:pStyle w:val="31"/>
        <w:spacing w:before="0" w:line="360" w:lineRule="auto"/>
        <w:ind w:left="357"/>
        <w:jc w:val="left"/>
        <w:rPr>
          <w:i/>
          <w:color w:val="4472C4"/>
          <w:sz w:val="21"/>
          <w:szCs w:val="21"/>
          <w:lang w:eastAsia="zh-CN"/>
        </w:rPr>
      </w:pPr>
      <w:r>
        <w:rPr>
          <w:rFonts w:hint="eastAsia"/>
          <w:color w:val="000000"/>
          <w:sz w:val="21"/>
          <w:szCs w:val="21"/>
          <w:lang w:eastAsia="zh-CN"/>
        </w:rPr>
        <w:t>质量控制室需购买</w:t>
      </w:r>
      <w:r>
        <w:rPr>
          <w:rFonts w:hint="eastAsia"/>
          <w:color w:val="000000"/>
          <w:sz w:val="21"/>
          <w:szCs w:val="21"/>
          <w:lang w:val="en-US" w:eastAsia="zh-CN"/>
        </w:rPr>
        <w:t>1</w:t>
      </w:r>
      <w:r>
        <w:rPr>
          <w:rFonts w:hint="eastAsia"/>
          <w:color w:val="000000"/>
          <w:sz w:val="21"/>
          <w:szCs w:val="21"/>
          <w:lang w:eastAsia="zh-CN"/>
        </w:rPr>
        <w:t>台低温保存箱主要用于</w:t>
      </w:r>
      <w:r>
        <w:rPr>
          <w:rFonts w:hint="eastAsia"/>
          <w:color w:val="000000"/>
          <w:sz w:val="21"/>
          <w:szCs w:val="21"/>
          <w:lang w:val="en-US" w:eastAsia="zh-CN"/>
        </w:rPr>
        <w:t>中硼硅管制注射剂瓶耐冷冻实验提供超低温环境</w:t>
      </w:r>
      <w:r>
        <w:rPr>
          <w:rFonts w:hint="eastAsia"/>
          <w:color w:val="000000"/>
          <w:sz w:val="21"/>
          <w:szCs w:val="21"/>
          <w:lang w:eastAsia="zh-CN"/>
        </w:rPr>
        <w:t>。</w:t>
      </w:r>
    </w:p>
    <w:p>
      <w:pPr>
        <w:pStyle w:val="40"/>
        <w:numPr>
          <w:ilvl w:val="0"/>
          <w:numId w:val="3"/>
        </w:numPr>
        <w:spacing w:after="158"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bookmarkStart w:id="48" w:name="_GoBack"/>
      <w:bookmarkEnd w:id="48"/>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i/>
                <w:color w:val="0070C0"/>
                <w:szCs w:val="21"/>
                <w:lang w:eastAsia="zh-CN"/>
              </w:rPr>
            </w:pPr>
            <w:r>
              <w:rPr>
                <w:rFonts w:hint="eastAsia"/>
                <w:color w:val="000000"/>
                <w:szCs w:val="21"/>
                <w:lang w:val="en-US" w:eastAsia="zh-CN"/>
              </w:rPr>
              <w:t>质量控制室</w:t>
            </w:r>
          </w:p>
        </w:tc>
        <w:tc>
          <w:tcPr>
            <w:tcW w:w="2125" w:type="dxa"/>
            <w:vAlign w:val="center"/>
          </w:tcPr>
          <w:p>
            <w:pPr>
              <w:jc w:val="both"/>
              <w:rPr>
                <w:i/>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color w:val="000000"/>
                <w:szCs w:val="21"/>
                <w:lang w:val="en-US" w:eastAsia="zh-CN"/>
              </w:rPr>
              <w:t>尺寸必须符合所放置房间布局</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color w:val="0070C0"/>
                <w:szCs w:val="21"/>
                <w:lang w:val="en-US" w:eastAsia="zh-CN"/>
              </w:rPr>
            </w:pPr>
            <w:r>
              <w:rPr>
                <w:color w:val="000000"/>
                <w:szCs w:val="21"/>
                <w:lang w:val="en-US"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color w:val="000000"/>
                <w:szCs w:val="21"/>
                <w:lang w:val="en-US"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i/>
                <w:color w:val="0070C0"/>
                <w:szCs w:val="21"/>
                <w:lang w:eastAsia="zh-CN"/>
              </w:rPr>
            </w:pPr>
            <w:r>
              <w:rPr>
                <w:rFonts w:hint="eastAsia"/>
                <w:color w:val="000000"/>
                <w:szCs w:val="21"/>
                <w:lang w:val="en-US" w:eastAsia="zh-CN"/>
              </w:rPr>
              <w:t>重量（</w:t>
            </w:r>
            <w:r>
              <w:rPr>
                <w:color w:val="000000"/>
                <w:szCs w:val="21"/>
                <w:lang w:val="en-US" w:eastAsia="zh-CN"/>
              </w:rPr>
              <w:t>kg</w:t>
            </w:r>
            <w:r>
              <w:rPr>
                <w:rFonts w:hint="eastAsia"/>
                <w:color w:val="000000"/>
                <w:szCs w:val="21"/>
                <w:lang w:val="en-US" w:eastAsia="zh-CN"/>
              </w:rPr>
              <w:t>）不超出房间地面承重要求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ind w:firstLine="0" w:firstLineChars="0"/>
              <w:rPr>
                <w:rFonts w:ascii="Times New Roman" w:hAnsi="Times New Roman"/>
                <w:szCs w:val="21"/>
              </w:rPr>
            </w:pPr>
          </w:p>
        </w:tc>
        <w:tc>
          <w:tcPr>
            <w:tcW w:w="9253" w:type="dxa"/>
            <w:gridSpan w:val="2"/>
            <w:vAlign w:val="center"/>
          </w:tcPr>
          <w:p>
            <w:pPr>
              <w:jc w:val="both"/>
              <w:rPr>
                <w:szCs w:val="21"/>
                <w:lang w:eastAsia="zh-CN"/>
              </w:rPr>
            </w:pPr>
            <w:r>
              <w:rPr>
                <w:color w:val="000000"/>
                <w:szCs w:val="21"/>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适用于我公司</w:t>
            </w:r>
            <w:r>
              <w:rPr>
                <w:color w:val="000000"/>
                <w:szCs w:val="21"/>
                <w:lang w:val="en-US" w:eastAsia="zh-CN"/>
              </w:rPr>
              <w:t>工作环境温度：能适应</w:t>
            </w:r>
            <w:r>
              <w:rPr>
                <w:rFonts w:hint="eastAsia"/>
                <w:color w:val="000000"/>
                <w:szCs w:val="21"/>
                <w:lang w:val="en-US" w:eastAsia="zh-CN"/>
              </w:rPr>
              <w:t>4℃</w:t>
            </w:r>
            <w:r>
              <w:rPr>
                <w:color w:val="000000"/>
                <w:szCs w:val="21"/>
                <w:lang w:val="en-US" w:eastAsia="zh-CN"/>
              </w:rPr>
              <w:t>～32</w:t>
            </w:r>
            <w:r>
              <w:rPr>
                <w:rFonts w:hint="eastAsia"/>
                <w:color w:val="000000"/>
                <w:szCs w:val="21"/>
                <w:lang w:val="en-US" w:eastAsia="zh-CN"/>
              </w:rPr>
              <w:t>℃</w:t>
            </w:r>
            <w:r>
              <w:rPr>
                <w:color w:val="000000"/>
                <w:szCs w:val="21"/>
                <w:lang w:val="en-US" w:eastAsia="zh-CN"/>
              </w:rPr>
              <w:t xml:space="preserve">环境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适用于我公司工</w:t>
            </w:r>
            <w:r>
              <w:rPr>
                <w:color w:val="000000"/>
                <w:szCs w:val="21"/>
                <w:lang w:val="en-US" w:eastAsia="zh-CN"/>
              </w:rPr>
              <w:t>作环境湿度：至少包括45%～</w:t>
            </w:r>
            <w:r>
              <w:rPr>
                <w:rFonts w:hint="eastAsia"/>
                <w:color w:val="000000"/>
                <w:szCs w:val="21"/>
                <w:lang w:val="en-US" w:eastAsia="zh-CN"/>
              </w:rPr>
              <w:t>80</w:t>
            </w:r>
            <w:r>
              <w:rPr>
                <w:color w:val="000000"/>
                <w:szCs w:val="21"/>
                <w:lang w:val="en-US"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szCs w:val="21"/>
                <w:lang w:val="en-US" w:eastAsia="zh-CN"/>
              </w:rPr>
              <w:t>适用于我公司</w:t>
            </w:r>
            <w:r>
              <w:rPr>
                <w:color w:val="000000"/>
                <w:szCs w:val="21"/>
                <w:lang w:val="en-US" w:eastAsia="zh-CN"/>
              </w:rPr>
              <w:t xml:space="preserve">工作环境洁净级别： </w:t>
            </w:r>
            <w:r>
              <w:rPr>
                <w:rFonts w:hint="eastAsia"/>
                <w:color w:val="000000"/>
                <w:szCs w:val="21"/>
                <w:lang w:val="en-US" w:eastAsia="zh-CN"/>
              </w:rPr>
              <w:t>普通区域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6"/>
              </w:numPr>
              <w:ind w:firstLineChars="0"/>
              <w:jc w:val="left"/>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color w:val="000000"/>
                <w:szCs w:val="21"/>
                <w:lang w:val="en-US" w:eastAsia="zh-CN"/>
              </w:rPr>
            </w:pPr>
            <w:r>
              <w:rPr>
                <w:szCs w:val="21"/>
                <w:lang w:val="en-US" w:eastAsia="zh-CN"/>
              </w:rPr>
              <w:t>匹配</w:t>
            </w:r>
            <w:r>
              <w:rPr>
                <w:color w:val="000000"/>
                <w:szCs w:val="21"/>
                <w:lang w:val="en-US" w:eastAsia="zh-CN"/>
              </w:rPr>
              <w:t xml:space="preserve">交流电电源：～220±10%V，50±1Hz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color w:val="000000"/>
                <w:szCs w:val="21"/>
                <w:lang w:val="en-US" w:eastAsia="zh-CN"/>
              </w:rPr>
            </w:pPr>
            <w:r>
              <w:rPr>
                <w:rFonts w:hint="eastAsia"/>
                <w:color w:val="000000"/>
                <w:szCs w:val="21"/>
                <w:lang w:val="en-US" w:eastAsia="zh-CN"/>
              </w:rPr>
              <w:t>工作区配置防溅安全电源插座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360" w:lineRule="auto"/>
              <w:jc w:val="both"/>
              <w:rPr>
                <w:color w:val="000000"/>
                <w:szCs w:val="21"/>
                <w:lang w:val="en-US" w:eastAsia="zh-CN"/>
              </w:rPr>
            </w:pPr>
            <w:r>
              <w:rPr>
                <w:rFonts w:hint="eastAsia" w:ascii="宋体" w:hAnsi="宋体"/>
                <w:szCs w:val="22"/>
                <w:lang w:eastAsia="zh-CN"/>
              </w:rPr>
              <w:t>防刮擦防剥落聚乙烯喷涂的钢外壳牢固，易于清洗</w:t>
            </w:r>
            <w:r>
              <w:rPr>
                <w:rFonts w:hint="eastAsia" w:ascii="宋体" w:hAnsi="宋体"/>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360" w:lineRule="auto"/>
              <w:jc w:val="both"/>
              <w:rPr>
                <w:color w:val="000000"/>
                <w:szCs w:val="21"/>
                <w:lang w:val="en-US" w:eastAsia="zh-CN"/>
              </w:rPr>
            </w:pPr>
            <w:r>
              <w:rPr>
                <w:rFonts w:hint="eastAsia" w:ascii="宋体" w:hAnsi="宋体"/>
                <w:szCs w:val="21"/>
                <w:lang w:eastAsia="zh-CN"/>
              </w:rPr>
              <w:t>铝型材手柄，</w:t>
            </w:r>
            <w:r>
              <w:rPr>
                <w:rFonts w:ascii="宋体" w:hAnsi="宋体"/>
                <w:szCs w:val="21"/>
                <w:lang w:eastAsia="zh-CN"/>
              </w:rPr>
              <w:t>特别坚固和卫生铝拉手提供了稳定性和卫</w:t>
            </w:r>
            <w:r>
              <w:rPr>
                <w:rFonts w:hint="eastAsia" w:ascii="宋体" w:hAnsi="宋体"/>
                <w:szCs w:val="21"/>
                <w:lang w:val="en-US" w:eastAsia="zh-CN"/>
              </w:rPr>
              <w:t>生</w:t>
            </w:r>
            <w:r>
              <w:rPr>
                <w:rFonts w:hint="eastAsia" w:ascii="宋体" w:hAnsi="宋体"/>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before="240" w:line="360" w:lineRule="auto"/>
              <w:ind w:left="11"/>
              <w:rPr>
                <w:color w:val="000000"/>
                <w:szCs w:val="21"/>
                <w:lang w:val="en-US" w:eastAsia="zh-CN"/>
              </w:rPr>
            </w:pPr>
            <w:r>
              <w:rPr>
                <w:rFonts w:hint="eastAsia" w:ascii="宋体" w:hAnsi="宋体"/>
                <w:szCs w:val="21"/>
                <w:lang w:eastAsia="zh-CN"/>
              </w:rPr>
              <w:t>柜体具有集成的泄压阀，在柜门关闭后可快速完成气压平衡，便于二次开启。</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6"/>
              <w:rPr>
                <w:color w:val="000000"/>
                <w:sz w:val="21"/>
                <w:szCs w:val="21"/>
                <w:lang w:val="en-US" w:eastAsia="zh-CN"/>
              </w:rPr>
            </w:pPr>
            <w:r>
              <w:rPr>
                <w:rFonts w:hint="eastAsia" w:ascii="宋体" w:hAnsi="宋体"/>
                <w:sz w:val="21"/>
                <w:szCs w:val="21"/>
                <w:lang w:eastAsia="zh-CN"/>
              </w:rPr>
              <w:t>压缩机：采用原装进口压缩机，采用环保型制冷剂R</w:t>
            </w:r>
            <w:r>
              <w:rPr>
                <w:rFonts w:hint="eastAsia" w:ascii="宋体" w:hAnsi="宋体"/>
                <w:sz w:val="21"/>
                <w:szCs w:val="21"/>
                <w:lang w:val="en-US" w:eastAsia="zh-CN"/>
              </w:rPr>
              <w:t>290</w:t>
            </w:r>
            <w:r>
              <w:rPr>
                <w:rFonts w:hint="eastAsia" w:ascii="宋体" w:hAnsi="宋体"/>
                <w:sz w:val="21"/>
                <w:szCs w:val="21"/>
                <w:lang w:eastAsia="zh-CN"/>
              </w:rPr>
              <w:t>，可根据当前环境和箱体内状，况实时调整压缩机运行速度。在新机启动和开门时压缩机高速运行以快速降温，在长时间关门的状态下则低速运行以维持温度稳定。</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6"/>
              <w:tabs>
                <w:tab w:val="left" w:pos="1922"/>
              </w:tabs>
              <w:rPr>
                <w:color w:val="000000"/>
                <w:sz w:val="21"/>
                <w:szCs w:val="21"/>
                <w:lang w:val="en-US" w:eastAsia="zh-CN"/>
              </w:rPr>
            </w:pPr>
            <w:r>
              <w:rPr>
                <w:rFonts w:hint="eastAsia"/>
                <w:sz w:val="21"/>
                <w:szCs w:val="16"/>
                <w:lang w:eastAsia="zh-CN"/>
              </w:rPr>
              <w:t>一体式发泡箱体，保温</w:t>
            </w:r>
            <w:r>
              <w:rPr>
                <w:rFonts w:hint="eastAsia" w:ascii="宋体" w:hAnsi="宋体"/>
                <w:sz w:val="21"/>
                <w:szCs w:val="21"/>
                <w:lang w:eastAsia="zh-CN"/>
              </w:rPr>
              <w:t>厚度≥</w:t>
            </w:r>
            <w:r>
              <w:rPr>
                <w:rFonts w:hint="eastAsia" w:ascii="宋体" w:hAnsi="宋体"/>
                <w:sz w:val="21"/>
                <w:szCs w:val="21"/>
                <w:lang w:val="en-US" w:eastAsia="zh-CN"/>
              </w:rPr>
              <w:t>12</w:t>
            </w:r>
            <w:r>
              <w:rPr>
                <w:rFonts w:hint="eastAsia" w:ascii="宋体" w:hAnsi="宋体"/>
                <w:sz w:val="21"/>
                <w:szCs w:val="21"/>
                <w:lang w:eastAsia="zh-CN"/>
              </w:rPr>
              <w:t>0mm，</w:t>
            </w:r>
            <w:r>
              <w:rPr>
                <w:rFonts w:hint="eastAsia"/>
                <w:sz w:val="21"/>
                <w:szCs w:val="16"/>
                <w:lang w:eastAsia="zh-CN"/>
              </w:rPr>
              <w:t>材质选择高密度聚氨酯等环保材料</w:t>
            </w:r>
            <w:r>
              <w:rPr>
                <w:rFonts w:hint="eastAsia" w:ascii="宋体" w:hAnsi="宋体"/>
                <w:sz w:val="21"/>
                <w:szCs w:val="21"/>
                <w:lang w:eastAsia="zh-CN"/>
              </w:rPr>
              <w:t>箱,体采用防刮擦防剥落聚乙烯喷涂的不低于0.7mm厚钢外壳。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rPr>
                <w:szCs w:val="21"/>
                <w:lang w:eastAsia="zh-CN"/>
              </w:rPr>
            </w:pPr>
            <w:r>
              <w:rPr>
                <w:rFonts w:hint="eastAsia"/>
                <w:lang w:val="en-US" w:eastAsia="zh-CN"/>
              </w:rPr>
              <w:t>需</w:t>
            </w:r>
            <w:r>
              <w:rPr>
                <w:lang w:val="en-US" w:eastAsia="zh-CN"/>
              </w:rPr>
              <w:t>配备RS485接口</w:t>
            </w:r>
            <w:r>
              <w:rPr>
                <w:rFonts w:hint="eastAsia"/>
                <w:lang w:val="en-US" w:eastAsia="zh-CN"/>
              </w:rPr>
              <w:t>，</w:t>
            </w:r>
            <w:r>
              <w:rPr>
                <w:lang w:val="en-US" w:eastAsia="zh-CN"/>
              </w:rPr>
              <w:t>配备无电压接口，实现远程实时监控功能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rPr>
                <w:szCs w:val="21"/>
                <w:lang w:eastAsia="zh-CN"/>
              </w:rPr>
            </w:pPr>
            <w:r>
              <w:rPr>
                <w:rFonts w:hint="eastAsia" w:ascii="宋体" w:hAnsi="宋体"/>
                <w:szCs w:val="22"/>
                <w:lang w:eastAsia="zh-CN"/>
              </w:rPr>
              <w:t>配备高质量门锁，保护冰箱存品安全，用于避免贵重物品受到未经授权的访问。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before="240" w:line="276" w:lineRule="auto"/>
              <w:jc w:val="both"/>
              <w:rPr>
                <w:color w:val="000000"/>
                <w:lang w:eastAsia="zh-CN"/>
              </w:rPr>
            </w:pPr>
            <w:r>
              <w:rPr>
                <w:color w:val="000000"/>
                <w:lang w:eastAsia="zh-CN"/>
              </w:rPr>
              <w:t>标识：至少应有以下永久贴牢和清楚易认的标识：</w:t>
            </w:r>
          </w:p>
          <w:p>
            <w:pPr>
              <w:spacing w:before="240" w:line="276" w:lineRule="auto"/>
              <w:jc w:val="both"/>
              <w:rPr>
                <w:color w:val="000000"/>
                <w:lang w:eastAsia="zh-CN"/>
              </w:rPr>
            </w:pPr>
            <w:r>
              <w:rPr>
                <w:color w:val="000000"/>
                <w:lang w:eastAsia="zh-CN"/>
              </w:rPr>
              <w:t>（1）制造/供应单位；</w:t>
            </w:r>
          </w:p>
          <w:p>
            <w:pPr>
              <w:spacing w:before="240" w:line="276" w:lineRule="auto"/>
              <w:jc w:val="both"/>
              <w:rPr>
                <w:color w:val="000000"/>
                <w:lang w:eastAsia="zh-CN"/>
              </w:rPr>
            </w:pPr>
            <w:r>
              <w:rPr>
                <w:color w:val="000000"/>
                <w:lang w:eastAsia="zh-CN"/>
              </w:rPr>
              <w:t>（2）产品注册号；</w:t>
            </w:r>
          </w:p>
          <w:p>
            <w:pPr>
              <w:spacing w:before="240" w:line="276" w:lineRule="auto"/>
              <w:jc w:val="both"/>
              <w:rPr>
                <w:color w:val="000000"/>
                <w:lang w:eastAsia="zh-CN"/>
              </w:rPr>
            </w:pPr>
            <w:r>
              <w:rPr>
                <w:color w:val="000000"/>
                <w:lang w:eastAsia="zh-CN"/>
              </w:rPr>
              <w:t>（3）型号；</w:t>
            </w:r>
          </w:p>
          <w:p>
            <w:pPr>
              <w:spacing w:before="240" w:line="276" w:lineRule="auto"/>
              <w:jc w:val="both"/>
              <w:rPr>
                <w:color w:val="000000"/>
                <w:lang w:eastAsia="zh-CN"/>
              </w:rPr>
            </w:pPr>
            <w:r>
              <w:rPr>
                <w:color w:val="000000"/>
                <w:lang w:eastAsia="zh-CN"/>
              </w:rPr>
              <w:t>（4）生产日期或编号；</w:t>
            </w:r>
          </w:p>
          <w:p>
            <w:pPr>
              <w:spacing w:before="240" w:line="276" w:lineRule="auto"/>
              <w:jc w:val="both"/>
              <w:rPr>
                <w:color w:val="000000"/>
                <w:lang w:eastAsia="zh-CN"/>
              </w:rPr>
            </w:pPr>
            <w:r>
              <w:rPr>
                <w:color w:val="000000"/>
                <w:lang w:eastAsia="zh-CN"/>
              </w:rPr>
              <w:t>（5）对设备必要的说明</w:t>
            </w:r>
            <w:r>
              <w:rPr>
                <w:rFonts w:hint="eastAsia"/>
                <w:color w:val="000000"/>
                <w:lang w:eastAsia="zh-CN"/>
              </w:rPr>
              <w:t>（</w:t>
            </w:r>
            <w:r>
              <w:rPr>
                <w:rFonts w:hint="eastAsia"/>
                <w:lang w:eastAsia="zh-CN"/>
              </w:rPr>
              <w:t>包括制冷剂型号、注入量等</w:t>
            </w:r>
            <w:r>
              <w:rPr>
                <w:rFonts w:hint="eastAsia"/>
                <w:color w:val="000000"/>
                <w:lang w:eastAsia="zh-CN"/>
              </w:rPr>
              <w:t>）</w:t>
            </w:r>
            <w:r>
              <w:rPr>
                <w:color w:val="000000"/>
                <w:lang w:eastAsia="zh-CN"/>
              </w:rPr>
              <w:t>；</w:t>
            </w:r>
          </w:p>
          <w:p>
            <w:pPr>
              <w:spacing w:before="240" w:line="276" w:lineRule="auto"/>
              <w:jc w:val="both"/>
              <w:rPr>
                <w:szCs w:val="21"/>
              </w:rPr>
            </w:pPr>
            <w:r>
              <w:rPr>
                <w:color w:val="000000"/>
                <w:lang w:eastAsia="zh-CN"/>
              </w:rPr>
              <w:t>（6）安全标识。</w:t>
            </w:r>
          </w:p>
        </w:tc>
        <w:tc>
          <w:tcPr>
            <w:tcW w:w="2125" w:type="dxa"/>
            <w:vAlign w:val="center"/>
          </w:tcPr>
          <w:p>
            <w:pPr>
              <w:jc w:val="both"/>
              <w:rPr>
                <w:szCs w:val="21"/>
                <w:lang w:eastAsia="zh-CN"/>
              </w:rPr>
            </w:pPr>
            <w:r>
              <w:rPr>
                <w:rFonts w:hint="eastAsia"/>
                <w:szCs w:val="21"/>
                <w:lang w:eastAsia="zh-CN"/>
              </w:rPr>
              <w:t>关键</w:t>
            </w:r>
          </w:p>
        </w:tc>
      </w:tr>
      <w:bookmarkEnd w:id="24"/>
      <w:bookmarkEnd w:id="25"/>
    </w:tbl>
    <w:p>
      <w:pPr>
        <w:pStyle w:val="40"/>
        <w:spacing w:after="158" w:afterLines="50"/>
        <w:ind w:left="425" w:firstLine="0" w:firstLineChars="0"/>
        <w:rPr>
          <w:rFonts w:ascii="Times New Roman" w:hAnsi="Times New Roman"/>
          <w:szCs w:val="21"/>
        </w:rPr>
      </w:pPr>
    </w:p>
    <w:p>
      <w:pPr>
        <w:pStyle w:val="40"/>
        <w:numPr>
          <w:ilvl w:val="0"/>
          <w:numId w:val="3"/>
        </w:numPr>
        <w:spacing w:after="158" w:afterLines="50"/>
        <w:ind w:left="426" w:hanging="426" w:hangingChars="202"/>
        <w:outlineLvl w:val="0"/>
        <w:rPr>
          <w:rFonts w:ascii="Times New Roman" w:hAnsi="Times New Roman"/>
          <w:b/>
          <w:szCs w:val="21"/>
        </w:rPr>
      </w:pPr>
      <w:bookmarkStart w:id="26" w:name="_Toc522716121"/>
      <w:bookmarkStart w:id="27" w:name="_Toc522107740"/>
      <w:r>
        <w:rPr>
          <w:rFonts w:ascii="Times New Roman" w:hAnsi="Times New Roman"/>
          <w:b/>
          <w:szCs w:val="21"/>
        </w:rPr>
        <w:t>运行要求</w:t>
      </w:r>
      <w:bookmarkEnd w:id="26"/>
      <w:bookmarkEnd w:id="27"/>
    </w:p>
    <w:p>
      <w:pPr>
        <w:pStyle w:val="31"/>
        <w:spacing w:before="0" w:line="360" w:lineRule="auto"/>
        <w:ind w:left="357"/>
        <w:jc w:val="left"/>
        <w:rPr>
          <w:bCs/>
          <w:i/>
          <w:color w:val="4472C4"/>
          <w:kern w:val="44"/>
          <w:sz w:val="21"/>
          <w:szCs w:val="21"/>
          <w:lang w:eastAsia="zh-CN"/>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8"/>
              </w:numPr>
              <w:ind w:firstLineChars="0"/>
              <w:jc w:val="left"/>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ind w:firstLine="0" w:firstLineChars="0"/>
              <w:rPr>
                <w:rFonts w:ascii="Times New Roman" w:hAnsi="Times New Roman"/>
                <w:color w:val="EEECE1"/>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ind w:firstLineChars="0"/>
              <w:rPr>
                <w:rFonts w:ascii="Times New Roman" w:hAnsi="Times New Roman"/>
                <w:szCs w:val="21"/>
              </w:rPr>
            </w:pPr>
          </w:p>
        </w:tc>
        <w:tc>
          <w:tcPr>
            <w:tcW w:w="9253" w:type="dxa"/>
            <w:gridSpan w:val="2"/>
            <w:vAlign w:val="center"/>
          </w:tcPr>
          <w:p>
            <w:pPr>
              <w:pStyle w:val="7"/>
              <w:spacing w:line="360" w:lineRule="auto"/>
              <w:rPr>
                <w:rFonts w:ascii="宋体"/>
                <w:b/>
                <w:color w:val="000000"/>
                <w:sz w:val="21"/>
                <w:szCs w:val="21"/>
                <w:lang w:eastAsia="zh-CN"/>
              </w:rPr>
            </w:pPr>
            <w:r>
              <w:rPr>
                <w:sz w:val="21"/>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sz w:val="21"/>
                <w:szCs w:val="21"/>
                <w:lang w:eastAsia="zh-CN"/>
              </w:rPr>
            </w:pPr>
            <w:r>
              <w:rPr>
                <w:color w:val="000000"/>
                <w:sz w:val="21"/>
                <w:szCs w:val="21"/>
                <w:lang w:eastAsia="zh-CN"/>
              </w:rPr>
              <w:t>箱内</w:t>
            </w:r>
            <w:r>
              <w:rPr>
                <w:rFonts w:hint="eastAsia"/>
                <w:color w:val="000000"/>
                <w:sz w:val="21"/>
                <w:szCs w:val="21"/>
                <w:lang w:eastAsia="zh-CN"/>
              </w:rPr>
              <w:t>可调</w:t>
            </w:r>
            <w:r>
              <w:rPr>
                <w:color w:val="000000"/>
                <w:sz w:val="21"/>
                <w:szCs w:val="21"/>
                <w:lang w:eastAsia="zh-CN"/>
              </w:rPr>
              <w:t>温度</w:t>
            </w:r>
            <w:r>
              <w:rPr>
                <w:rFonts w:hint="eastAsia"/>
                <w:color w:val="000000"/>
                <w:sz w:val="21"/>
                <w:szCs w:val="21"/>
                <w:lang w:eastAsia="zh-CN"/>
              </w:rPr>
              <w:t>：</w:t>
            </w:r>
            <w:r>
              <w:rPr>
                <w:rFonts w:hint="eastAsia"/>
                <w:color w:val="000000"/>
                <w:sz w:val="21"/>
                <w:szCs w:val="21"/>
                <w:lang w:val="en-US" w:eastAsia="zh-CN"/>
              </w:rPr>
              <w:t>-10</w:t>
            </w:r>
            <w:r>
              <w:rPr>
                <w:rFonts w:hint="eastAsia"/>
                <w:color w:val="000000"/>
                <w:sz w:val="21"/>
                <w:szCs w:val="21"/>
                <w:lang w:eastAsia="zh-CN"/>
              </w:rPr>
              <w:t>℃～</w:t>
            </w:r>
            <w:r>
              <w:rPr>
                <w:rFonts w:hint="eastAsia"/>
                <w:color w:val="000000"/>
                <w:sz w:val="21"/>
                <w:szCs w:val="21"/>
                <w:lang w:val="en-US" w:eastAsia="zh-CN"/>
              </w:rPr>
              <w:t>-45</w:t>
            </w:r>
            <w:r>
              <w:rPr>
                <w:rFonts w:hint="eastAsia"/>
                <w:color w:val="000000"/>
                <w:sz w:val="21"/>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sz w:val="21"/>
                <w:szCs w:val="21"/>
                <w:lang w:val="en-US" w:eastAsia="zh-CN"/>
              </w:rPr>
            </w:pPr>
            <w:r>
              <w:rPr>
                <w:rFonts w:ascii="宋体" w:hAnsi="宋体"/>
                <w:color w:val="000000"/>
                <w:sz w:val="21"/>
                <w:szCs w:val="21"/>
                <w:lang w:eastAsia="zh-CN"/>
              </w:rPr>
              <w:t>温度控制精度</w:t>
            </w:r>
            <w:r>
              <w:rPr>
                <w:rFonts w:hint="eastAsia" w:ascii="宋体" w:hAnsi="宋体"/>
                <w:color w:val="000000"/>
                <w:sz w:val="21"/>
                <w:szCs w:val="21"/>
                <w:lang w:eastAsia="zh-CN"/>
              </w:rPr>
              <w:t>：</w:t>
            </w:r>
            <w:r>
              <w:rPr>
                <w:rFonts w:ascii="宋体" w:hAnsi="宋体"/>
                <w:color w:val="000000"/>
                <w:sz w:val="21"/>
                <w:szCs w:val="21"/>
                <w:lang w:eastAsia="zh-CN"/>
              </w:rPr>
              <w:t>±1</w:t>
            </w:r>
            <w:r>
              <w:rPr>
                <w:rFonts w:hint="eastAsia" w:ascii="宋体" w:hAnsi="宋体" w:cs="宋体"/>
                <w:iCs/>
                <w:sz w:val="21"/>
                <w:szCs w:val="21"/>
                <w:lang w:eastAsia="zh-CN"/>
              </w:rPr>
              <w:t>℃</w:t>
            </w:r>
          </w:p>
        </w:tc>
        <w:tc>
          <w:tcPr>
            <w:tcW w:w="2125" w:type="dxa"/>
          </w:tcPr>
          <w:p>
            <w:pPr>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sz w:val="21"/>
                <w:szCs w:val="21"/>
                <w:lang w:eastAsia="zh-CN"/>
              </w:rPr>
            </w:pPr>
            <w:r>
              <w:rPr>
                <w:rFonts w:hint="eastAsia" w:ascii="宋体" w:hAnsi="宋体" w:cs="宋体"/>
                <w:iCs/>
                <w:sz w:val="21"/>
                <w:szCs w:val="21"/>
                <w:lang w:eastAsia="zh-CN"/>
              </w:rPr>
              <w:t>温度显示精度：</w:t>
            </w:r>
            <w:r>
              <w:rPr>
                <w:rFonts w:ascii="宋体" w:hAnsi="宋体"/>
                <w:color w:val="000000"/>
                <w:sz w:val="21"/>
                <w:szCs w:val="21"/>
                <w:lang w:eastAsia="zh-CN"/>
              </w:rPr>
              <w:t>±</w:t>
            </w:r>
            <w:r>
              <w:rPr>
                <w:rFonts w:hint="eastAsia" w:ascii="宋体" w:hAnsi="宋体"/>
                <w:color w:val="000000"/>
                <w:sz w:val="21"/>
                <w:szCs w:val="21"/>
                <w:lang w:val="en-US" w:eastAsia="zh-CN"/>
              </w:rPr>
              <w:t>0.</w:t>
            </w:r>
            <w:r>
              <w:rPr>
                <w:rFonts w:hint="eastAsia" w:ascii="宋体" w:hAnsi="宋体" w:cs="宋体"/>
                <w:iCs/>
                <w:sz w:val="21"/>
                <w:szCs w:val="21"/>
                <w:lang w:eastAsia="zh-CN"/>
              </w:rPr>
              <w:t>1℃</w:t>
            </w:r>
          </w:p>
        </w:tc>
        <w:tc>
          <w:tcPr>
            <w:tcW w:w="2125" w:type="dxa"/>
          </w:tcPr>
          <w:p>
            <w:pP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eastAsia="zh-CN"/>
              </w:rPr>
              <w:t>温度</w:t>
            </w:r>
            <w:r>
              <w:rPr>
                <w:rFonts w:hint="eastAsia" w:ascii="宋体" w:hAnsi="宋体"/>
                <w:szCs w:val="21"/>
                <w:lang w:val="en-US" w:eastAsia="zh-CN"/>
              </w:rPr>
              <w:t>9点法验证</w:t>
            </w:r>
            <w:r>
              <w:rPr>
                <w:rFonts w:hint="eastAsia" w:ascii="宋体" w:hAnsi="宋体"/>
                <w:szCs w:val="21"/>
                <w:lang w:eastAsia="zh-CN"/>
              </w:rPr>
              <w:t>均匀度：±2℃</w:t>
            </w:r>
          </w:p>
        </w:tc>
        <w:tc>
          <w:tcPr>
            <w:tcW w:w="2125" w:type="dxa"/>
          </w:tcPr>
          <w:p>
            <w:pPr>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8"/>
              </w:numPr>
              <w:ind w:firstLineChars="0"/>
              <w:jc w:val="left"/>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eastAsia="zh-CN"/>
              </w:rPr>
              <w:t>具备单点校准功能：电子控制器具备校准功能，可补偿设定温度和实际内部温度的差值，校正值可以精确到±0.1K。</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eastAsia="zh-CN"/>
              </w:rPr>
              <w:t>内部</w:t>
            </w:r>
            <w:r>
              <w:rPr>
                <w:rFonts w:ascii="宋体" w:hAnsi="宋体"/>
                <w:szCs w:val="21"/>
                <w:lang w:eastAsia="zh-CN"/>
              </w:rPr>
              <w:t>尺寸宽度不</w:t>
            </w:r>
            <w:r>
              <w:rPr>
                <w:rFonts w:hint="eastAsia" w:ascii="宋体" w:hAnsi="宋体"/>
                <w:szCs w:val="21"/>
                <w:lang w:val="en-US" w:eastAsia="zh-CN"/>
              </w:rPr>
              <w:t>高</w:t>
            </w:r>
            <w:r>
              <w:rPr>
                <w:rFonts w:ascii="宋体" w:hAnsi="宋体"/>
                <w:szCs w:val="21"/>
                <w:lang w:eastAsia="zh-CN"/>
              </w:rPr>
              <w:t>于1</w:t>
            </w:r>
            <w:r>
              <w:rPr>
                <w:rFonts w:hint="eastAsia" w:ascii="宋体" w:hAnsi="宋体"/>
                <w:szCs w:val="21"/>
                <w:lang w:val="en-US" w:eastAsia="zh-CN"/>
              </w:rPr>
              <w:t>15</w:t>
            </w:r>
            <w:r>
              <w:rPr>
                <w:rFonts w:ascii="宋体" w:hAnsi="宋体"/>
                <w:szCs w:val="21"/>
                <w:lang w:eastAsia="zh-CN"/>
              </w:rPr>
              <w:t>0mm，深度不</w:t>
            </w:r>
            <w:r>
              <w:rPr>
                <w:rFonts w:hint="eastAsia" w:ascii="宋体" w:hAnsi="宋体"/>
                <w:szCs w:val="21"/>
                <w:lang w:val="en-US" w:eastAsia="zh-CN"/>
              </w:rPr>
              <w:t>高</w:t>
            </w:r>
            <w:r>
              <w:rPr>
                <w:rFonts w:ascii="宋体" w:hAnsi="宋体"/>
                <w:szCs w:val="21"/>
                <w:lang w:eastAsia="zh-CN"/>
              </w:rPr>
              <w:t>于</w:t>
            </w:r>
            <w:r>
              <w:rPr>
                <w:rFonts w:hint="eastAsia" w:ascii="宋体" w:hAnsi="宋体"/>
                <w:szCs w:val="21"/>
                <w:lang w:val="en-US" w:eastAsia="zh-CN"/>
              </w:rPr>
              <w:t>80</w:t>
            </w:r>
            <w:r>
              <w:rPr>
                <w:rFonts w:ascii="宋体" w:hAnsi="宋体"/>
                <w:szCs w:val="21"/>
                <w:lang w:eastAsia="zh-CN"/>
              </w:rPr>
              <w:t>0mm，</w:t>
            </w:r>
            <w:r>
              <w:rPr>
                <w:rFonts w:hint="eastAsia" w:ascii="宋体" w:hAnsi="宋体"/>
                <w:szCs w:val="21"/>
                <w:lang w:eastAsia="zh-CN"/>
              </w:rPr>
              <w:t>高</w:t>
            </w:r>
            <w:r>
              <w:rPr>
                <w:rFonts w:ascii="宋体" w:hAnsi="宋体"/>
                <w:szCs w:val="21"/>
                <w:lang w:eastAsia="zh-CN"/>
              </w:rPr>
              <w:t>度不</w:t>
            </w:r>
            <w:r>
              <w:rPr>
                <w:rFonts w:hint="eastAsia" w:ascii="宋体" w:hAnsi="宋体"/>
                <w:szCs w:val="21"/>
                <w:lang w:val="en-US" w:eastAsia="zh-CN"/>
              </w:rPr>
              <w:t>高</w:t>
            </w:r>
            <w:r>
              <w:rPr>
                <w:rFonts w:ascii="宋体" w:hAnsi="宋体"/>
                <w:szCs w:val="21"/>
                <w:lang w:eastAsia="zh-CN"/>
              </w:rPr>
              <w:t>于</w:t>
            </w:r>
            <w:r>
              <w:rPr>
                <w:rFonts w:hint="eastAsia" w:ascii="宋体" w:hAnsi="宋体"/>
                <w:szCs w:val="21"/>
                <w:lang w:val="en-US" w:eastAsia="zh-CN"/>
              </w:rPr>
              <w:t>95</w:t>
            </w:r>
            <w:r>
              <w:rPr>
                <w:rFonts w:ascii="宋体" w:hAnsi="宋体"/>
                <w:szCs w:val="21"/>
                <w:lang w:eastAsia="zh-CN"/>
              </w:rPr>
              <w:t>0mm</w:t>
            </w:r>
            <w:r>
              <w:rPr>
                <w:rFonts w:hint="eastAsia" w:ascii="宋体" w:hAnsi="宋体"/>
                <w:szCs w:val="21"/>
                <w:lang w:eastAsia="zh-CN"/>
              </w:rPr>
              <w:t>（总容积</w:t>
            </w:r>
            <w:r>
              <w:rPr>
                <w:rFonts w:hint="eastAsia" w:ascii="Arial" w:hAnsi="Arial" w:cs="Arial"/>
                <w:szCs w:val="21"/>
                <w:lang w:eastAsia="zh-CN"/>
              </w:rPr>
              <w:t>大于</w:t>
            </w:r>
            <w:r>
              <w:rPr>
                <w:rFonts w:hint="eastAsia" w:ascii="宋体" w:hAnsi="宋体"/>
                <w:szCs w:val="21"/>
                <w:lang w:val="en-US" w:eastAsia="zh-CN"/>
              </w:rPr>
              <w:t>200</w:t>
            </w:r>
            <w:r>
              <w:rPr>
                <w:rFonts w:hint="eastAsia" w:ascii="宋体" w:hAnsi="宋体"/>
                <w:szCs w:val="21"/>
                <w:lang w:eastAsia="zh-CN"/>
              </w:rPr>
              <w:t>L）。</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ascii="宋体" w:hAnsi="宋体"/>
                <w:color w:val="000000"/>
                <w:szCs w:val="21"/>
                <w:lang w:eastAsia="zh-CN"/>
              </w:rPr>
              <w:t>开门方式</w:t>
            </w:r>
            <w:r>
              <w:rPr>
                <w:rFonts w:hint="eastAsia" w:ascii="宋体" w:hAnsi="宋体"/>
                <w:color w:val="000000"/>
                <w:szCs w:val="21"/>
                <w:lang w:eastAsia="zh-CN"/>
              </w:rPr>
              <w:t>为</w:t>
            </w:r>
            <w:r>
              <w:rPr>
                <w:rFonts w:hint="eastAsia" w:ascii="宋体" w:hAnsi="宋体"/>
                <w:color w:val="000000"/>
                <w:szCs w:val="21"/>
                <w:lang w:val="en-US" w:eastAsia="zh-CN"/>
              </w:rPr>
              <w:t>向上掀</w:t>
            </w:r>
            <w:r>
              <w:rPr>
                <w:rFonts w:ascii="宋体" w:hAnsi="宋体"/>
                <w:color w:val="000000"/>
                <w:szCs w:val="21"/>
                <w:lang w:eastAsia="zh-CN"/>
              </w:rPr>
              <w:t>开门</w:t>
            </w:r>
            <w:r>
              <w:rPr>
                <w:rFonts w:hint="eastAsia" w:ascii="宋体" w:hAnsi="宋体"/>
                <w:color w:val="000000"/>
                <w:szCs w:val="21"/>
                <w:lang w:eastAsia="zh-CN"/>
              </w:rPr>
              <w:t>，</w:t>
            </w:r>
            <w:r>
              <w:rPr>
                <w:rFonts w:ascii="宋体" w:hAnsi="宋体"/>
                <w:color w:val="000000"/>
                <w:szCs w:val="21"/>
                <w:lang w:eastAsia="zh-CN"/>
              </w:rPr>
              <w:t>门板可拆卸</w:t>
            </w:r>
            <w:r>
              <w:rPr>
                <w:rFonts w:hint="eastAsia" w:ascii="宋体" w:hAnsi="宋体"/>
                <w:color w:val="000000"/>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有屏幕对温度进行数字温度显示。温度传感器要易于拆装，便于维修和校验。</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eastAsia="zh-CN"/>
              </w:rPr>
              <w:t>内置数据存储器：警报记忆功能可记录最近3次的报警情况，包括警报类型、日期和时间、持续时间和最高温度。</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color w:val="000000"/>
                <w:szCs w:val="21"/>
                <w:lang w:eastAsia="zh-CN"/>
              </w:rPr>
              <w:t>采用</w:t>
            </w:r>
            <w:r>
              <w:rPr>
                <w:rFonts w:hint="eastAsia"/>
                <w:lang w:eastAsia="zh-CN"/>
              </w:rPr>
              <w:t>全铜管</w:t>
            </w:r>
            <w:r>
              <w:rPr>
                <w:rFonts w:hint="eastAsia" w:ascii="宋体" w:hAnsi="宋体"/>
                <w:color w:val="000000"/>
                <w:szCs w:val="21"/>
                <w:lang w:eastAsia="zh-CN"/>
              </w:rPr>
              <w:t>板管式蒸发器，制冷面积大，降温速度快。</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szCs w:val="21"/>
                <w:lang w:eastAsia="zh-CN"/>
              </w:rPr>
              <w:t>有温度数据打印功能，可每半小时~每两小时打印一次实时温度数据。除非必须，不可使用热敏纸打印。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color w:val="000000"/>
                <w:szCs w:val="21"/>
                <w:lang w:eastAsia="zh-CN"/>
              </w:rPr>
              <w:t>柜门带有门锁，至少配备2把以上钥匙。</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val="en-US" w:eastAsia="zh-CN"/>
              </w:rPr>
            </w:pPr>
            <w:r>
              <w:rPr>
                <w:rFonts w:hint="eastAsia" w:ascii="宋体" w:hAnsi="宋体"/>
                <w:color w:val="000000"/>
                <w:szCs w:val="21"/>
                <w:lang w:val="en-US" w:eastAsia="zh-CN"/>
              </w:rPr>
              <w:t>带有3层层架，用于分层放置物品</w:t>
            </w:r>
          </w:p>
        </w:tc>
        <w:tc>
          <w:tcPr>
            <w:tcW w:w="2125" w:type="dxa"/>
            <w:vAlign w:val="center"/>
          </w:tcPr>
          <w:p>
            <w:pPr>
              <w:jc w:val="both"/>
              <w:rPr>
                <w:szCs w:val="21"/>
                <w:lang w:val="en-US" w:eastAsia="zh-CN"/>
              </w:rPr>
            </w:pPr>
            <w:r>
              <w:rPr>
                <w:rFonts w:hint="eastAsia"/>
                <w:szCs w:val="21"/>
                <w:lang w:val="en-US" w:eastAsia="zh-CN"/>
              </w:rPr>
              <w:t>关键</w:t>
            </w:r>
          </w:p>
        </w:tc>
      </w:tr>
    </w:tbl>
    <w:p>
      <w:pPr>
        <w:pStyle w:val="40"/>
        <w:numPr>
          <w:ilvl w:val="0"/>
          <w:numId w:val="3"/>
        </w:numPr>
        <w:spacing w:after="158" w:afterLines="50"/>
        <w:ind w:left="426" w:hanging="426" w:hangingChars="202"/>
        <w:outlineLvl w:val="0"/>
        <w:rPr>
          <w:rFonts w:ascii="Times New Roman" w:hAnsi="Times New Roman"/>
          <w:b/>
          <w:szCs w:val="21"/>
        </w:rPr>
      </w:pPr>
      <w:bookmarkStart w:id="28" w:name="_Toc522716122"/>
      <w:bookmarkStart w:id="29" w:name="_Toc522107742"/>
      <w:bookmarkStart w:id="30" w:name="_Toc482370767"/>
      <w:bookmarkStart w:id="31" w:name="_Toc482370359"/>
      <w:bookmarkStart w:id="32" w:name="_Toc481702480"/>
      <w:bookmarkStart w:id="33" w:name="_Toc482625289"/>
      <w:bookmarkStart w:id="34" w:name="_Toc482359946"/>
      <w:bookmarkStart w:id="35" w:name="_Toc482360291"/>
      <w:bookmarkStart w:id="36" w:name="_Toc483227237"/>
      <w:bookmarkStart w:id="37" w:name="_Toc482369815"/>
      <w:bookmarkStart w:id="38" w:name="_Toc482717202"/>
      <w:bookmarkStart w:id="39" w:name="_Toc482370151"/>
      <w:bookmarkStart w:id="40" w:name="_Toc483400317"/>
      <w:bookmarkStart w:id="41" w:name="_Toc482370071"/>
      <w:r>
        <w:rPr>
          <w:rFonts w:ascii="Times New Roman" w:hAnsi="Times New Roman"/>
          <w:b/>
          <w:szCs w:val="21"/>
        </w:rPr>
        <w:t>电气、自动控制要求</w:t>
      </w:r>
      <w:bookmarkEnd w:id="28"/>
    </w:p>
    <w:p>
      <w:pPr>
        <w:pStyle w:val="31"/>
        <w:spacing w:before="0" w:line="360" w:lineRule="auto"/>
        <w:ind w:left="425"/>
        <w:jc w:val="left"/>
        <w:rPr>
          <w:i/>
          <w:color w:val="4472C4"/>
          <w:sz w:val="21"/>
          <w:szCs w:val="21"/>
          <w:lang w:eastAsia="zh-CN"/>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sz w:val="21"/>
                <w:szCs w:val="21"/>
                <w:lang w:eastAsia="zh-CN"/>
              </w:rPr>
            </w:pPr>
            <w:r>
              <w:rPr>
                <w:rFonts w:hint="eastAsia"/>
                <w:sz w:val="21"/>
                <w:szCs w:val="21"/>
                <w:lang w:eastAsia="zh-CN"/>
              </w:rPr>
              <w:t>温度控制采用微电脑控制，实时温度数据大屏数字显示，</w:t>
            </w:r>
            <w:r>
              <w:rPr>
                <w:rFonts w:hint="eastAsia" w:ascii="宋体" w:hAnsi="宋体" w:cs="Arial"/>
                <w:sz w:val="21"/>
                <w:szCs w:val="21"/>
                <w:lang w:eastAsia="zh-CN"/>
              </w:rPr>
              <w:t>带电源指示灯。</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sz w:val="21"/>
                <w:szCs w:val="21"/>
                <w:lang w:eastAsia="zh-CN"/>
              </w:rPr>
            </w:pPr>
            <w:r>
              <w:rPr>
                <w:rFonts w:hint="eastAsia"/>
                <w:sz w:val="21"/>
                <w:szCs w:val="21"/>
                <w:lang w:val="en-US" w:eastAsia="zh-CN"/>
              </w:rPr>
              <w:t>门开启后，</w:t>
            </w:r>
            <w:r>
              <w:rPr>
                <w:sz w:val="21"/>
                <w:szCs w:val="21"/>
                <w:lang w:eastAsia="zh-CN"/>
              </w:rPr>
              <w:t>LED内置灯</w:t>
            </w:r>
            <w:r>
              <w:rPr>
                <w:rFonts w:hint="eastAsia"/>
                <w:sz w:val="21"/>
                <w:szCs w:val="21"/>
                <w:lang w:val="en-US" w:eastAsia="zh-CN"/>
              </w:rPr>
              <w:t>自动开启，</w:t>
            </w:r>
            <w:r>
              <w:rPr>
                <w:sz w:val="21"/>
                <w:szCs w:val="21"/>
                <w:lang w:eastAsia="zh-CN"/>
              </w:rPr>
              <w:t>用于内部的照明</w:t>
            </w:r>
            <w:r>
              <w:rPr>
                <w:rFonts w:hint="eastAsia"/>
                <w:sz w:val="21"/>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sz w:val="21"/>
                <w:szCs w:val="21"/>
                <w:lang w:eastAsia="zh-CN"/>
              </w:rPr>
            </w:pPr>
            <w:r>
              <w:rPr>
                <w:rFonts w:hint="eastAsia"/>
                <w:sz w:val="21"/>
                <w:szCs w:val="21"/>
                <w:lang w:eastAsia="zh-CN"/>
              </w:rPr>
              <w:t>具有报警控制功能，</w:t>
            </w:r>
            <w:r>
              <w:rPr>
                <w:rFonts w:hint="eastAsia" w:ascii="宋体" w:hAnsi="宋体" w:cs="宋体"/>
                <w:sz w:val="21"/>
                <w:szCs w:val="21"/>
                <w:lang w:eastAsia="zh-CN"/>
              </w:rPr>
              <w:t>带远程报警接口，</w:t>
            </w:r>
            <w:r>
              <w:rPr>
                <w:rFonts w:hint="eastAsia"/>
                <w:sz w:val="21"/>
                <w:szCs w:val="21"/>
                <w:lang w:eastAsia="zh-CN"/>
              </w:rPr>
              <w:t>可根据需要设定报警温度上下限</w:t>
            </w:r>
            <w:r>
              <w:rPr>
                <w:rFonts w:hint="eastAsia"/>
                <w:sz w:val="21"/>
                <w:szCs w:val="21"/>
                <w:lang w:val="en-US" w:eastAsia="zh-CN"/>
              </w:rPr>
              <w:t>和开门时间上线</w:t>
            </w:r>
            <w:r>
              <w:rPr>
                <w:rFonts w:hint="eastAsia"/>
                <w:sz w:val="21"/>
                <w:szCs w:val="21"/>
                <w:lang w:eastAsia="zh-CN"/>
              </w:rPr>
              <w:t>：</w:t>
            </w:r>
          </w:p>
          <w:p>
            <w:pPr>
              <w:pStyle w:val="7"/>
              <w:spacing w:line="360" w:lineRule="auto"/>
              <w:rPr>
                <w:rFonts w:ascii="宋体" w:hAnsi="宋体" w:cs="宋体"/>
                <w:sz w:val="21"/>
                <w:szCs w:val="21"/>
                <w:lang w:eastAsia="zh-CN"/>
              </w:rPr>
            </w:pPr>
            <w:r>
              <w:rPr>
                <w:rFonts w:hint="eastAsia"/>
                <w:sz w:val="21"/>
                <w:szCs w:val="21"/>
                <w:lang w:eastAsia="zh-CN"/>
              </w:rPr>
              <w:t>（1）多种报警：高、低温超限报警、传感器故障报警、断电报警、</w:t>
            </w:r>
            <w:r>
              <w:rPr>
                <w:rFonts w:hint="eastAsia"/>
                <w:sz w:val="21"/>
                <w:szCs w:val="21"/>
                <w:lang w:val="en-US" w:eastAsia="zh-CN"/>
              </w:rPr>
              <w:t>开门时间过长报警</w:t>
            </w:r>
            <w:r>
              <w:rPr>
                <w:rFonts w:hint="eastAsia"/>
                <w:sz w:val="21"/>
                <w:szCs w:val="21"/>
                <w:lang w:eastAsia="zh-CN"/>
              </w:rPr>
              <w:t>等等；</w:t>
            </w:r>
          </w:p>
          <w:p>
            <w:pPr>
              <w:pStyle w:val="7"/>
              <w:spacing w:line="360" w:lineRule="auto"/>
              <w:rPr>
                <w:sz w:val="21"/>
                <w:szCs w:val="21"/>
                <w:lang w:eastAsia="zh-CN"/>
              </w:rPr>
            </w:pPr>
            <w:r>
              <w:rPr>
                <w:rFonts w:hint="eastAsia"/>
                <w:sz w:val="21"/>
                <w:szCs w:val="21"/>
                <w:lang w:eastAsia="zh-CN"/>
              </w:rPr>
              <w:t>（2）两种报警方式：声音蜂鸣报警、显示屏闪烁报警。</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sz w:val="21"/>
                <w:szCs w:val="21"/>
                <w:lang w:eastAsia="zh-CN"/>
              </w:rPr>
            </w:pPr>
            <w:r>
              <w:rPr>
                <w:rFonts w:hint="eastAsia"/>
                <w:sz w:val="21"/>
                <w:szCs w:val="21"/>
                <w:lang w:eastAsia="zh-CN"/>
              </w:rPr>
              <w:t>可链接外设通用打印机或第三方冷链监控设备，可以进行温度监控及打印，具备定时自动打印功能，打印过程中尽可能不产生微粒并且所使用的打印纸为市场上常用的规格，打印记录在日常环境下能较长期保存。</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6"/>
              <w:rPr>
                <w:sz w:val="21"/>
                <w:szCs w:val="21"/>
                <w:lang w:eastAsia="zh-CN"/>
              </w:rPr>
            </w:pPr>
            <w:r>
              <w:rPr>
                <w:rFonts w:hint="eastAsia"/>
                <w:sz w:val="21"/>
                <w:szCs w:val="16"/>
                <w:lang w:eastAsia="zh-CN"/>
              </w:rPr>
              <w:t>具备断电记忆功能：设备断电再恢复后能按照之前设置的参数自动延时启动。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2"/>
                <w:numId w:val="9"/>
              </w:numPr>
              <w:ind w:firstLineChars="0"/>
              <w:rPr>
                <w:rFonts w:ascii="Times New Roman" w:hAnsi="Times New Roman"/>
                <w:szCs w:val="21"/>
              </w:rPr>
            </w:pPr>
          </w:p>
        </w:tc>
        <w:tc>
          <w:tcPr>
            <w:tcW w:w="9253" w:type="dxa"/>
            <w:gridSpan w:val="2"/>
            <w:shd w:val="clear" w:color="auto" w:fill="D9D9D9"/>
            <w:vAlign w:val="center"/>
          </w:tcPr>
          <w:p>
            <w:pPr>
              <w:pStyle w:val="6"/>
              <w:rPr>
                <w:rFonts w:ascii="宋体" w:hAnsi="宋体"/>
                <w:sz w:val="21"/>
                <w:szCs w:val="21"/>
                <w:lang w:eastAsia="zh-CN"/>
              </w:rPr>
            </w:pPr>
            <w:r>
              <w:rPr>
                <w:rFonts w:hint="eastAsia"/>
                <w:sz w:val="21"/>
                <w:szCs w:val="16"/>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9253" w:type="dxa"/>
            <w:gridSpan w:val="2"/>
            <w:vAlign w:val="center"/>
          </w:tcPr>
          <w:p>
            <w:pPr>
              <w:spacing w:line="276" w:lineRule="auto"/>
              <w:jc w:val="both"/>
              <w:rPr>
                <w:szCs w:val="21"/>
                <w:lang w:eastAsia="zh-CN"/>
              </w:rPr>
            </w:pPr>
            <w:r>
              <w:rPr>
                <w:rFonts w:hint="eastAsia"/>
                <w:szCs w:val="21"/>
                <w:lang w:val="en-US" w:eastAsia="zh-CN"/>
              </w:rPr>
              <w:t>N/A</w:t>
            </w:r>
          </w:p>
        </w:tc>
      </w:tr>
    </w:tbl>
    <w:p>
      <w:pPr>
        <w:spacing w:after="158" w:afterLines="50"/>
        <w:rPr>
          <w:b/>
          <w:szCs w:val="21"/>
          <w:lang w:eastAsia="zh-CN"/>
        </w:rPr>
      </w:pPr>
    </w:p>
    <w:p>
      <w:pPr>
        <w:pStyle w:val="40"/>
        <w:numPr>
          <w:ilvl w:val="0"/>
          <w:numId w:val="3"/>
        </w:numPr>
        <w:spacing w:after="158" w:afterLines="50"/>
        <w:ind w:left="426" w:hanging="426" w:hangingChars="202"/>
        <w:outlineLvl w:val="0"/>
        <w:rPr>
          <w:rFonts w:ascii="Times New Roman" w:hAnsi="Times New Roman"/>
          <w:b/>
          <w:szCs w:val="21"/>
        </w:rPr>
      </w:pPr>
      <w:bookmarkStart w:id="42" w:name="_Toc522716123"/>
      <w:r>
        <w:rPr>
          <w:rFonts w:ascii="Times New Roman" w:hAnsi="Times New Roman"/>
          <w:b/>
          <w:szCs w:val="21"/>
        </w:rPr>
        <w:t>安全要求</w:t>
      </w:r>
      <w:bookmarkEnd w:id="29"/>
      <w:bookmarkEnd w:id="42"/>
    </w:p>
    <w:p>
      <w:pPr>
        <w:pStyle w:val="31"/>
        <w:spacing w:before="0" w:line="360" w:lineRule="auto"/>
        <w:jc w:val="left"/>
        <w:rPr>
          <w:i/>
          <w:color w:val="4472C4"/>
          <w:sz w:val="21"/>
          <w:szCs w:val="21"/>
          <w:lang w:eastAsia="zh-CN"/>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ind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color w:val="000000"/>
                <w:sz w:val="24"/>
                <w:lang w:eastAsia="zh-CN"/>
              </w:rPr>
            </w:pPr>
            <w:r>
              <w:rPr>
                <w:rFonts w:hint="eastAsia"/>
                <w:sz w:val="21"/>
                <w:szCs w:val="21"/>
                <w:lang w:eastAsia="zh-CN"/>
              </w:rPr>
              <w:t>有漏电保护功能，金属外壳要有良好的接地。</w:t>
            </w:r>
          </w:p>
        </w:tc>
        <w:tc>
          <w:tcPr>
            <w:tcW w:w="2125" w:type="dxa"/>
            <w:vAlign w:val="center"/>
          </w:tcPr>
          <w:p>
            <w:pPr>
              <w:tabs>
                <w:tab w:val="left" w:pos="556"/>
              </w:tabs>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rPr>
                <w:sz w:val="21"/>
                <w:szCs w:val="21"/>
                <w:lang w:eastAsia="zh-CN"/>
              </w:rPr>
            </w:pPr>
            <w:r>
              <w:rPr>
                <w:rFonts w:hint="eastAsia"/>
                <w:sz w:val="21"/>
                <w:szCs w:val="21"/>
                <w:lang w:eastAsia="zh-CN"/>
              </w:rPr>
              <w:t>压缩机应有过流保护功能。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6"/>
              <w:rPr>
                <w:sz w:val="21"/>
                <w:szCs w:val="21"/>
                <w:lang w:eastAsia="zh-CN"/>
              </w:rPr>
            </w:pPr>
            <w:r>
              <w:rPr>
                <w:rFonts w:hint="eastAsia"/>
                <w:sz w:val="21"/>
                <w:szCs w:val="21"/>
                <w:lang w:eastAsia="zh-CN"/>
              </w:rPr>
              <w:t>设备应有良好的气密性和绝热性。</w:t>
            </w:r>
          </w:p>
        </w:tc>
        <w:tc>
          <w:tcPr>
            <w:tcW w:w="2125" w:type="dxa"/>
            <w:vAlign w:val="center"/>
          </w:tcPr>
          <w:p>
            <w:pPr>
              <w:jc w:val="both"/>
              <w:rPr>
                <w:szCs w:val="21"/>
                <w:lang w:eastAsia="zh-CN"/>
              </w:rPr>
            </w:pPr>
            <w:r>
              <w:rPr>
                <w:rFonts w:hint="eastAsia"/>
                <w:szCs w:val="21"/>
                <w:lang w:eastAsia="zh-CN"/>
              </w:rPr>
              <w:t>关键</w:t>
            </w:r>
          </w:p>
        </w:tc>
      </w:tr>
    </w:tbl>
    <w:p>
      <w:pPr>
        <w:rPr>
          <w:szCs w:val="21"/>
          <w:lang w:eastAsia="zh-CN"/>
        </w:rPr>
      </w:pPr>
    </w:p>
    <w:p>
      <w:pPr>
        <w:pStyle w:val="40"/>
        <w:numPr>
          <w:ilvl w:val="0"/>
          <w:numId w:val="3"/>
        </w:numPr>
        <w:spacing w:after="158" w:afterLines="50"/>
        <w:ind w:left="426" w:hanging="426" w:hangingChars="202"/>
        <w:outlineLvl w:val="0"/>
        <w:rPr>
          <w:rFonts w:ascii="Times New Roman" w:hAnsi="Times New Roman"/>
          <w:b/>
          <w:szCs w:val="21"/>
        </w:rPr>
      </w:pPr>
      <w:bookmarkStart w:id="43" w:name="_Toc522716124"/>
      <w:bookmarkStart w:id="44" w:name="_Toc522107743"/>
      <w:r>
        <w:rPr>
          <w:rFonts w:ascii="Times New Roman" w:hAnsi="Times New Roman"/>
          <w:b/>
          <w:szCs w:val="21"/>
        </w:rPr>
        <w:t>文件要求</w:t>
      </w:r>
      <w:bookmarkEnd w:id="43"/>
      <w:bookmarkEnd w:id="44"/>
    </w:p>
    <w:p>
      <w:pPr>
        <w:pStyle w:val="31"/>
        <w:spacing w:before="0" w:line="360" w:lineRule="auto"/>
        <w:jc w:val="left"/>
        <w:rPr>
          <w:i/>
          <w:sz w:val="21"/>
          <w:szCs w:val="21"/>
          <w:lang w:eastAsia="zh-CN"/>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szCs w:val="21"/>
                <w:lang w:eastAsia="zh-CN"/>
              </w:rPr>
            </w:pPr>
            <w:r>
              <w:rPr>
                <w:rFonts w:hint="eastAsia"/>
                <w:sz w:val="21"/>
                <w:szCs w:val="21"/>
                <w:lang w:eastAsia="zh-CN"/>
              </w:rPr>
              <w:t>投标文件、合同及订单。提交文件时限要求：设备开箱验收。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sz w:val="21"/>
                <w:szCs w:val="21"/>
                <w:lang w:eastAsia="zh-CN"/>
              </w:rPr>
            </w:pPr>
            <w:r>
              <w:rPr>
                <w:rFonts w:hint="eastAsia"/>
                <w:sz w:val="21"/>
                <w:szCs w:val="21"/>
                <w:lang w:eastAsia="zh-CN"/>
              </w:rPr>
              <w:t>卖方发运清单及相关检验报告。提交文件时限要求：设备开箱验收。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sz w:val="21"/>
                <w:szCs w:val="21"/>
                <w:lang w:eastAsia="zh-CN"/>
              </w:rPr>
            </w:pPr>
            <w:r>
              <w:rPr>
                <w:rFonts w:hint="eastAsia"/>
                <w:sz w:val="21"/>
                <w:szCs w:val="21"/>
                <w:lang w:eastAsia="zh-CN"/>
              </w:rPr>
              <w:t>系统功能配置清单及说明，包含各主要组件名称、编号、型号、规格、品牌、材质等</w:t>
            </w:r>
            <w:r>
              <w:rPr>
                <w:rFonts w:hint="eastAsia"/>
                <w:sz w:val="21"/>
                <w:szCs w:val="21"/>
                <w:lang w:eastAsia="zh-CN"/>
              </w:rPr>
              <w:tab/>
            </w:r>
            <w:r>
              <w:rPr>
                <w:rFonts w:hint="eastAsia"/>
                <w:sz w:val="21"/>
                <w:szCs w:val="21"/>
                <w:lang w:eastAsia="zh-CN"/>
              </w:rPr>
              <w:t>提交文件时限要求：设备开箱验收。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sz w:val="21"/>
                <w:szCs w:val="21"/>
                <w:lang w:eastAsia="zh-CN"/>
              </w:rPr>
            </w:pPr>
            <w:r>
              <w:rPr>
                <w:rFonts w:hint="eastAsia"/>
                <w:sz w:val="21"/>
                <w:szCs w:val="20"/>
                <w:lang w:eastAsia="zh-CN"/>
              </w:rPr>
              <w:t>符合NF X15-140标准，附随机出厂报告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rFonts w:ascii="宋体" w:hAnsi="宋体"/>
                <w:sz w:val="21"/>
                <w:szCs w:val="21"/>
                <w:lang w:eastAsia="zh-CN"/>
              </w:rPr>
            </w:pPr>
            <w:r>
              <w:rPr>
                <w:rFonts w:hint="eastAsia" w:ascii="宋体" w:hAnsi="宋体"/>
                <w:sz w:val="21"/>
                <w:szCs w:val="21"/>
                <w:lang w:eastAsia="zh-CN"/>
              </w:rPr>
              <w:t>厂家通过ISO</w:t>
            </w:r>
            <w:r>
              <w:rPr>
                <w:rFonts w:ascii="宋体" w:hAnsi="宋体"/>
                <w:sz w:val="21"/>
                <w:szCs w:val="21"/>
                <w:lang w:eastAsia="zh-CN"/>
              </w:rPr>
              <w:t>9001</w:t>
            </w:r>
            <w:r>
              <w:rPr>
                <w:rFonts w:hint="eastAsia" w:ascii="宋体" w:hAnsi="宋体"/>
                <w:sz w:val="21"/>
                <w:szCs w:val="21"/>
                <w:lang w:eastAsia="zh-CN"/>
              </w:rPr>
              <w:t>质量管理标准，ISO</w:t>
            </w:r>
            <w:r>
              <w:rPr>
                <w:rFonts w:ascii="宋体" w:hAnsi="宋体"/>
                <w:sz w:val="21"/>
                <w:szCs w:val="21"/>
                <w:lang w:eastAsia="zh-CN"/>
              </w:rPr>
              <w:t>14001</w:t>
            </w:r>
            <w:r>
              <w:rPr>
                <w:rFonts w:hint="eastAsia" w:ascii="宋体" w:hAnsi="宋体"/>
                <w:sz w:val="21"/>
                <w:szCs w:val="21"/>
                <w:lang w:eastAsia="zh-CN"/>
              </w:rPr>
              <w:t>环境管理标准，ISO</w:t>
            </w:r>
            <w:r>
              <w:rPr>
                <w:rFonts w:ascii="宋体" w:hAnsi="宋体"/>
                <w:sz w:val="21"/>
                <w:szCs w:val="21"/>
                <w:lang w:eastAsia="zh-CN"/>
              </w:rPr>
              <w:t>50001</w:t>
            </w:r>
            <w:r>
              <w:rPr>
                <w:rFonts w:hint="eastAsia" w:ascii="宋体" w:hAnsi="宋体"/>
                <w:sz w:val="21"/>
                <w:szCs w:val="21"/>
                <w:lang w:eastAsia="zh-CN"/>
              </w:rPr>
              <w:t>能源管理标准认证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rFonts w:ascii="宋体" w:hAnsi="宋体"/>
                <w:sz w:val="21"/>
                <w:szCs w:val="21"/>
                <w:lang w:eastAsia="zh-CN"/>
              </w:rPr>
            </w:pPr>
            <w:r>
              <w:rPr>
                <w:rFonts w:hint="eastAsia"/>
                <w:sz w:val="21"/>
                <w:szCs w:val="20"/>
                <w:lang w:eastAsia="zh-CN"/>
              </w:rPr>
              <w:t>设备</w:t>
            </w:r>
            <w:r>
              <w:rPr>
                <w:rFonts w:hint="eastAsia" w:ascii="宋体" w:hAnsi="宋体"/>
                <w:sz w:val="21"/>
                <w:szCs w:val="21"/>
                <w:lang w:val="en-US" w:eastAsia="zh-CN"/>
              </w:rPr>
              <w:t>获得</w:t>
            </w:r>
            <w:r>
              <w:rPr>
                <w:rFonts w:hint="eastAsia" w:ascii="宋体" w:hAnsi="宋体"/>
                <w:sz w:val="21"/>
                <w:szCs w:val="21"/>
                <w:lang w:eastAsia="zh-CN"/>
              </w:rPr>
              <w:t>电工产品安全认证CB体系证书，EMC电磁兼容性证书，通过EC欧盟产品符合标准证书，符合限制在电气产品中使用的有害物质的指令证书，环保材料声明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sz w:val="21"/>
                <w:szCs w:val="21"/>
                <w:lang w:eastAsia="zh-CN"/>
              </w:rPr>
            </w:pPr>
            <w:r>
              <w:rPr>
                <w:rFonts w:hint="eastAsia"/>
                <w:sz w:val="21"/>
                <w:szCs w:val="21"/>
                <w:lang w:eastAsia="zh-CN"/>
              </w:rPr>
              <w:t>设备厂家文件：出厂测试合格证、各关键组件说明书、相关检测报告、各种标示 ，提交文件时限要求：不晚于IQ开始前。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sz w:val="21"/>
                <w:szCs w:val="21"/>
                <w:lang w:eastAsia="zh-CN"/>
              </w:rPr>
            </w:pPr>
            <w:r>
              <w:rPr>
                <w:rFonts w:hint="eastAsia" w:ascii="宋体" w:hAnsi="宋体"/>
                <w:sz w:val="21"/>
                <w:szCs w:val="21"/>
                <w:lang w:eastAsia="zh-CN"/>
              </w:rPr>
              <w:t>设备安装文件：各种安装处理记录及报告。</w:t>
            </w:r>
            <w:r>
              <w:rPr>
                <w:rFonts w:hint="eastAsia"/>
                <w:sz w:val="21"/>
                <w:szCs w:val="21"/>
                <w:lang w:eastAsia="zh-CN"/>
              </w:rPr>
              <w:t>提交文件时限要求：</w:t>
            </w:r>
            <w:r>
              <w:rPr>
                <w:rFonts w:hint="eastAsia" w:ascii="宋体" w:hAnsi="宋体"/>
                <w:sz w:val="21"/>
                <w:szCs w:val="21"/>
                <w:lang w:eastAsia="zh-CN"/>
              </w:rPr>
              <w:t>不晚于</w:t>
            </w:r>
            <w:r>
              <w:rPr>
                <w:rFonts w:hint="eastAsia"/>
                <w:sz w:val="21"/>
                <w:szCs w:val="21"/>
                <w:lang w:eastAsia="zh-CN"/>
              </w:rPr>
              <w:t>IQ</w:t>
            </w:r>
            <w:r>
              <w:rPr>
                <w:rFonts w:hint="eastAsia" w:ascii="宋体" w:hAnsi="宋体"/>
                <w:sz w:val="21"/>
                <w:szCs w:val="21"/>
                <w:lang w:eastAsia="zh-CN"/>
              </w:rPr>
              <w:t>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sz w:val="21"/>
                <w:szCs w:val="21"/>
                <w:lang w:eastAsia="zh-CN"/>
              </w:rPr>
            </w:pPr>
            <w:r>
              <w:rPr>
                <w:rFonts w:hint="eastAsia"/>
                <w:sz w:val="21"/>
                <w:szCs w:val="21"/>
                <w:lang w:eastAsia="zh-CN"/>
              </w:rPr>
              <w:t>校验报告及计量证书。</w:t>
            </w:r>
            <w:r>
              <w:rPr>
                <w:rFonts w:hint="eastAsia"/>
                <w:sz w:val="21"/>
                <w:szCs w:val="21"/>
                <w:lang w:eastAsia="zh-CN"/>
              </w:rPr>
              <w:tab/>
            </w:r>
            <w:r>
              <w:rPr>
                <w:rFonts w:hint="eastAsia"/>
                <w:sz w:val="21"/>
                <w:szCs w:val="21"/>
                <w:lang w:eastAsia="zh-CN"/>
              </w:rPr>
              <w:t>提交文件时限要求：不晚于IQ开始前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192" w:lineRule="auto"/>
              <w:rPr>
                <w:sz w:val="21"/>
                <w:szCs w:val="21"/>
                <w:lang w:eastAsia="zh-CN"/>
              </w:rPr>
            </w:pPr>
            <w:r>
              <w:rPr>
                <w:rFonts w:hint="eastAsia"/>
                <w:sz w:val="21"/>
                <w:szCs w:val="21"/>
                <w:lang w:eastAsia="zh-CN"/>
              </w:rPr>
              <w:t xml:space="preserve"> 各种必要的合格证，包括部件合格证、环路校验合格报告、材质证书等。提交文件时限要求：设备开箱验收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192" w:lineRule="auto"/>
              <w:rPr>
                <w:sz w:val="21"/>
                <w:szCs w:val="21"/>
                <w:lang w:eastAsia="zh-CN"/>
              </w:rPr>
            </w:pPr>
            <w:r>
              <w:rPr>
                <w:rFonts w:hint="eastAsia"/>
                <w:sz w:val="21"/>
                <w:szCs w:val="21"/>
                <w:lang w:eastAsia="zh-CN"/>
              </w:rPr>
              <w:t>调试文件：调试计划、调试方案、设备测试记录，检测清单，测试报告，调试总结报告、现场验收报告等。提交文件时限要求：不晚于IQ开始前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192" w:lineRule="auto"/>
              <w:rPr>
                <w:sz w:val="21"/>
                <w:szCs w:val="21"/>
                <w:lang w:eastAsia="zh-CN"/>
              </w:rPr>
            </w:pPr>
            <w:r>
              <w:rPr>
                <w:rFonts w:hint="eastAsia"/>
                <w:sz w:val="21"/>
                <w:szCs w:val="21"/>
                <w:lang w:eastAsia="zh-CN"/>
              </w:rPr>
              <w:t>验证文件：提供完整的IQ、OQ文件，协助完成PQ文件。</w:t>
            </w:r>
            <w:r>
              <w:rPr>
                <w:rFonts w:hint="eastAsia"/>
                <w:sz w:val="21"/>
                <w:szCs w:val="21"/>
                <w:lang w:eastAsia="zh-CN"/>
              </w:rPr>
              <w:tab/>
            </w:r>
          </w:p>
          <w:p>
            <w:pPr>
              <w:pStyle w:val="7"/>
              <w:spacing w:line="192" w:lineRule="auto"/>
              <w:rPr>
                <w:sz w:val="21"/>
                <w:szCs w:val="21"/>
                <w:lang w:eastAsia="zh-CN"/>
              </w:rPr>
            </w:pPr>
            <w:r>
              <w:rPr>
                <w:rFonts w:hint="eastAsia"/>
                <w:sz w:val="21"/>
                <w:szCs w:val="21"/>
                <w:lang w:eastAsia="zh-CN"/>
              </w:rPr>
              <w:t>（1）验证计划</w:t>
            </w:r>
            <w:r>
              <w:rPr>
                <w:rFonts w:hint="eastAsia"/>
                <w:sz w:val="21"/>
                <w:szCs w:val="21"/>
                <w:lang w:eastAsia="zh-CN"/>
              </w:rPr>
              <w:tab/>
            </w:r>
            <w:r>
              <w:rPr>
                <w:rFonts w:hint="eastAsia"/>
                <w:sz w:val="21"/>
                <w:szCs w:val="21"/>
                <w:lang w:eastAsia="zh-CN"/>
              </w:rPr>
              <w:t>提交文件时限要求： 设计阶段，设计确认开始前</w:t>
            </w:r>
          </w:p>
          <w:p>
            <w:pPr>
              <w:pStyle w:val="7"/>
              <w:spacing w:line="192" w:lineRule="auto"/>
              <w:rPr>
                <w:sz w:val="21"/>
                <w:szCs w:val="21"/>
                <w:lang w:eastAsia="zh-CN"/>
              </w:rPr>
            </w:pPr>
            <w:r>
              <w:rPr>
                <w:rFonts w:hint="eastAsia"/>
                <w:sz w:val="21"/>
                <w:szCs w:val="21"/>
                <w:lang w:eastAsia="zh-CN"/>
              </w:rPr>
              <w:t>（</w:t>
            </w:r>
            <w:r>
              <w:rPr>
                <w:sz w:val="21"/>
                <w:szCs w:val="21"/>
                <w:lang w:eastAsia="zh-CN"/>
              </w:rPr>
              <w:t>2</w:t>
            </w:r>
            <w:r>
              <w:rPr>
                <w:rFonts w:hint="eastAsia"/>
                <w:sz w:val="21"/>
                <w:szCs w:val="21"/>
                <w:lang w:eastAsia="zh-CN"/>
              </w:rPr>
              <w:t>）安装确认及文件（IQ）；</w:t>
            </w:r>
            <w:r>
              <w:rPr>
                <w:rFonts w:hint="eastAsia"/>
                <w:sz w:val="21"/>
                <w:szCs w:val="21"/>
                <w:lang w:eastAsia="zh-CN"/>
              </w:rPr>
              <w:tab/>
            </w:r>
            <w:r>
              <w:rPr>
                <w:rFonts w:hint="eastAsia"/>
                <w:sz w:val="21"/>
                <w:szCs w:val="21"/>
                <w:lang w:eastAsia="zh-CN"/>
              </w:rPr>
              <w:t>提交文件时限要求：OQ开始前完成审批并提交</w:t>
            </w:r>
          </w:p>
          <w:p>
            <w:pPr>
              <w:pStyle w:val="7"/>
              <w:spacing w:line="192" w:lineRule="auto"/>
              <w:rPr>
                <w:sz w:val="21"/>
                <w:szCs w:val="21"/>
                <w:lang w:eastAsia="zh-CN"/>
              </w:rPr>
            </w:pPr>
            <w:r>
              <w:rPr>
                <w:rFonts w:hint="eastAsia"/>
                <w:sz w:val="21"/>
                <w:szCs w:val="21"/>
                <w:lang w:eastAsia="zh-CN"/>
              </w:rPr>
              <w:t>（</w:t>
            </w:r>
            <w:r>
              <w:rPr>
                <w:sz w:val="21"/>
                <w:szCs w:val="21"/>
                <w:lang w:eastAsia="zh-CN"/>
              </w:rPr>
              <w:t>3</w:t>
            </w:r>
            <w:r>
              <w:rPr>
                <w:rFonts w:hint="eastAsia"/>
                <w:sz w:val="21"/>
                <w:szCs w:val="21"/>
                <w:lang w:eastAsia="zh-CN"/>
              </w:rPr>
              <w:t>）运行确认及文件（OQ）；提交文件时限要求：IQ批准后开始执行，PQ开始前完成审批并提交</w:t>
            </w:r>
          </w:p>
          <w:p>
            <w:pPr>
              <w:pStyle w:val="7"/>
              <w:spacing w:line="192" w:lineRule="auto"/>
              <w:rPr>
                <w:sz w:val="21"/>
                <w:szCs w:val="21"/>
                <w:lang w:eastAsia="zh-CN"/>
              </w:rPr>
            </w:pPr>
            <w:r>
              <w:rPr>
                <w:rFonts w:hint="eastAsia"/>
                <w:sz w:val="21"/>
                <w:szCs w:val="21"/>
                <w:lang w:eastAsia="zh-CN"/>
              </w:rPr>
              <w:t>（</w:t>
            </w:r>
            <w:r>
              <w:rPr>
                <w:sz w:val="21"/>
                <w:szCs w:val="21"/>
                <w:lang w:eastAsia="zh-CN"/>
              </w:rPr>
              <w:t>4</w:t>
            </w:r>
            <w:r>
              <w:rPr>
                <w:rFonts w:hint="eastAsia"/>
                <w:sz w:val="21"/>
                <w:szCs w:val="21"/>
                <w:lang w:eastAsia="zh-CN"/>
              </w:rPr>
              <w:t>）设备生产商负责制定设备验证计划、评估文件、IQ/OQ验证文件，并负责验证工作的实施，该验证文件作为设备必备文件。</w:t>
            </w:r>
            <w:r>
              <w:rPr>
                <w:rFonts w:hint="eastAsia"/>
                <w:sz w:val="21"/>
                <w:szCs w:val="21"/>
                <w:lang w:eastAsia="zh-CN"/>
              </w:rPr>
              <w:tab/>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192" w:lineRule="auto"/>
              <w:rPr>
                <w:sz w:val="21"/>
                <w:szCs w:val="21"/>
                <w:lang w:eastAsia="zh-CN"/>
              </w:rPr>
            </w:pPr>
            <w:r>
              <w:rPr>
                <w:rFonts w:hint="eastAsia"/>
                <w:sz w:val="21"/>
                <w:szCs w:val="21"/>
                <w:lang w:eastAsia="zh-CN"/>
              </w:rPr>
              <w:t>设备交付计划表。提交文件时限要求：设备开箱验收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192" w:lineRule="auto"/>
              <w:rPr>
                <w:sz w:val="21"/>
                <w:szCs w:val="21"/>
                <w:lang w:eastAsia="zh-CN"/>
              </w:rPr>
            </w:pPr>
            <w:r>
              <w:rPr>
                <w:rFonts w:hint="eastAsia"/>
                <w:sz w:val="21"/>
                <w:szCs w:val="21"/>
                <w:lang w:eastAsia="zh-CN"/>
              </w:rPr>
              <w:t>使用操作说明书及维护保养说明（即运行及维护手册）3份。</w:t>
            </w:r>
            <w:r>
              <w:rPr>
                <w:rFonts w:hint="eastAsia"/>
                <w:sz w:val="21"/>
                <w:szCs w:val="21"/>
                <w:lang w:eastAsia="zh-CN"/>
              </w:rPr>
              <w:tab/>
            </w:r>
            <w:r>
              <w:rPr>
                <w:rFonts w:hint="eastAsia"/>
                <w:sz w:val="21"/>
                <w:szCs w:val="21"/>
                <w:lang w:eastAsia="zh-CN"/>
              </w:rPr>
              <w:t>提交文件时限要求：设备开箱验收</w:t>
            </w:r>
          </w:p>
        </w:tc>
        <w:tc>
          <w:tcPr>
            <w:tcW w:w="2125"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192" w:lineRule="auto"/>
              <w:rPr>
                <w:sz w:val="21"/>
                <w:szCs w:val="21"/>
                <w:lang w:eastAsia="zh-CN"/>
              </w:rPr>
            </w:pPr>
            <w:r>
              <w:rPr>
                <w:rFonts w:hint="eastAsia"/>
                <w:sz w:val="21"/>
                <w:szCs w:val="21"/>
                <w:lang w:eastAsia="zh-CN"/>
              </w:rPr>
              <w:t>提供设备及其零部件使用寿命清单。提交文件时限要求：设备开箱验收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192" w:lineRule="auto"/>
              <w:rPr>
                <w:sz w:val="21"/>
                <w:szCs w:val="21"/>
                <w:lang w:eastAsia="zh-CN"/>
              </w:rPr>
            </w:pPr>
            <w:r>
              <w:rPr>
                <w:rFonts w:hint="eastAsia"/>
                <w:sz w:val="21"/>
                <w:szCs w:val="21"/>
                <w:lang w:eastAsia="zh-CN"/>
              </w:rPr>
              <w:t>文件具体要求：</w:t>
            </w:r>
          </w:p>
          <w:p>
            <w:pPr>
              <w:pStyle w:val="7"/>
              <w:spacing w:line="192" w:lineRule="auto"/>
              <w:rPr>
                <w:sz w:val="21"/>
                <w:szCs w:val="21"/>
                <w:lang w:eastAsia="zh-CN"/>
              </w:rPr>
            </w:pPr>
            <w:r>
              <w:rPr>
                <w:rFonts w:hint="eastAsia"/>
                <w:sz w:val="21"/>
                <w:szCs w:val="21"/>
                <w:lang w:eastAsia="zh-CN"/>
              </w:rPr>
              <w:t>（1）系统相关方案中，应明确本系统的配置、规格，并且通过分析阐述每一个系统环节的必要性；</w:t>
            </w:r>
          </w:p>
          <w:p>
            <w:pPr>
              <w:pStyle w:val="7"/>
              <w:spacing w:line="192" w:lineRule="auto"/>
              <w:rPr>
                <w:sz w:val="21"/>
                <w:szCs w:val="21"/>
                <w:lang w:eastAsia="zh-CN"/>
              </w:rPr>
            </w:pPr>
            <w:r>
              <w:rPr>
                <w:rFonts w:hint="eastAsia"/>
                <w:sz w:val="21"/>
                <w:szCs w:val="21"/>
                <w:lang w:eastAsia="zh-CN"/>
              </w:rPr>
              <w:t>（2）标书中明确系统所有组件的品牌、材质、型号，并且注明每一个组件的保修期；提交文件时限要求：设备开箱验收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192" w:lineRule="auto"/>
              <w:rPr>
                <w:sz w:val="21"/>
                <w:szCs w:val="21"/>
                <w:lang w:eastAsia="zh-CN"/>
              </w:rPr>
            </w:pPr>
            <w:r>
              <w:rPr>
                <w:rFonts w:hint="eastAsia"/>
                <w:sz w:val="21"/>
                <w:szCs w:val="21"/>
                <w:lang w:eastAsia="zh-CN"/>
              </w:rPr>
              <w:t>上述条款规定的文件需提供电子版，并在设备开箱验收时将最终批准的电子版及纸质版全套资料交工程技术部存档。</w:t>
            </w:r>
            <w:r>
              <w:rPr>
                <w:rFonts w:hint="eastAsia"/>
                <w:sz w:val="21"/>
                <w:szCs w:val="21"/>
                <w:lang w:eastAsia="zh-CN"/>
              </w:rPr>
              <w:tab/>
            </w:r>
            <w:r>
              <w:rPr>
                <w:rFonts w:hint="eastAsia"/>
                <w:sz w:val="21"/>
                <w:szCs w:val="21"/>
                <w:lang w:eastAsia="zh-CN"/>
              </w:rPr>
              <w:t>提交文件时限要求：设备开箱验收</w:t>
            </w:r>
          </w:p>
        </w:tc>
        <w:tc>
          <w:tcPr>
            <w:tcW w:w="2125" w:type="dxa"/>
            <w:vAlign w:val="center"/>
          </w:tcPr>
          <w:p>
            <w:pPr>
              <w:jc w:val="both"/>
              <w:rPr>
                <w:szCs w:val="21"/>
                <w:lang w:eastAsia="zh-CN"/>
              </w:rPr>
            </w:pPr>
            <w:r>
              <w:rPr>
                <w:rFonts w:hint="eastAsia"/>
                <w:szCs w:val="21"/>
                <w:lang w:eastAsia="zh-CN"/>
              </w:rPr>
              <w:t>关键</w:t>
            </w:r>
          </w:p>
        </w:tc>
      </w:tr>
    </w:tbl>
    <w:p>
      <w:pPr>
        <w:rPr>
          <w:szCs w:val="21"/>
          <w:lang w:eastAsia="zh-CN"/>
        </w:rPr>
      </w:pPr>
    </w:p>
    <w:p>
      <w:pPr>
        <w:pStyle w:val="40"/>
        <w:numPr>
          <w:ilvl w:val="0"/>
          <w:numId w:val="3"/>
        </w:numPr>
        <w:spacing w:after="158" w:afterLines="50"/>
        <w:ind w:left="426" w:hanging="426" w:hangingChars="202"/>
        <w:outlineLvl w:val="0"/>
        <w:rPr>
          <w:rFonts w:ascii="Times New Roman" w:hAnsi="Times New Roman"/>
          <w:b/>
          <w:szCs w:val="21"/>
        </w:rPr>
      </w:pPr>
      <w:bookmarkStart w:id="45" w:name="_Toc522716125"/>
      <w:r>
        <w:rPr>
          <w:rFonts w:ascii="Times New Roman" w:hAnsi="Times New Roman"/>
          <w:b/>
          <w:szCs w:val="21"/>
        </w:rPr>
        <w:t>服务要求</w:t>
      </w:r>
      <w:bookmarkEnd w:id="45"/>
    </w:p>
    <w:p>
      <w:pPr>
        <w:pStyle w:val="31"/>
        <w:spacing w:before="0" w:line="360" w:lineRule="auto"/>
        <w:ind w:left="357"/>
        <w:jc w:val="left"/>
        <w:rPr>
          <w:i/>
          <w:color w:val="4472C4"/>
          <w:sz w:val="21"/>
          <w:szCs w:val="21"/>
          <w:lang w:eastAsia="zh-CN"/>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11.1</w:t>
            </w: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color w:val="0070C0"/>
                <w:sz w:val="21"/>
                <w:szCs w:val="21"/>
                <w:lang w:eastAsia="zh-CN"/>
              </w:rPr>
            </w:pPr>
            <w:r>
              <w:rPr>
                <w:sz w:val="21"/>
                <w:szCs w:val="21"/>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color w:val="0070C0"/>
                <w:sz w:val="21"/>
                <w:szCs w:val="21"/>
                <w:lang w:eastAsia="zh-CN"/>
              </w:rPr>
            </w:pPr>
            <w:r>
              <w:rPr>
                <w:sz w:val="21"/>
                <w:szCs w:val="21"/>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color w:val="0070C0"/>
                <w:sz w:val="21"/>
                <w:szCs w:val="21"/>
                <w:lang w:eastAsia="zh-CN"/>
              </w:rPr>
            </w:pPr>
            <w:r>
              <w:rPr>
                <w:rFonts w:hint="eastAsia"/>
                <w:sz w:val="21"/>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11.2</w:t>
            </w: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11.3</w:t>
            </w: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提供完整的IQ、OQ文件，协助完成PQ工作和文件。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sz w:val="21"/>
                <w:szCs w:val="21"/>
                <w:lang w:eastAsia="zh-CN"/>
              </w:rPr>
            </w:pPr>
            <w:r>
              <w:rPr>
                <w:rFonts w:hint="eastAsia"/>
                <w:sz w:val="21"/>
                <w:szCs w:val="21"/>
                <w:lang w:eastAsia="zh-CN"/>
              </w:rPr>
              <w:t>各验证工作开始前验证方案需经过本公司相关部门审核，并经质量保证部批准。供应商必须派出有同类设备工作经验、熟悉验证文件编写及验证执行的验证工程师执行相关验证工作。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sz w:val="21"/>
                <w:szCs w:val="21"/>
                <w:lang w:eastAsia="zh-CN"/>
              </w:rPr>
            </w:pPr>
            <w:r>
              <w:rPr>
                <w:rFonts w:hint="eastAsia"/>
                <w:sz w:val="21"/>
                <w:szCs w:val="21"/>
                <w:lang w:eastAsia="zh-CN"/>
              </w:rPr>
              <w:t xml:space="preserve"> 验证工作应按照G</w:t>
            </w:r>
            <w:r>
              <w:rPr>
                <w:sz w:val="21"/>
                <w:szCs w:val="21"/>
                <w:lang w:eastAsia="zh-CN"/>
              </w:rPr>
              <w:t>MP</w:t>
            </w:r>
            <w:r>
              <w:rPr>
                <w:rFonts w:hint="eastAsia"/>
                <w:sz w:val="21"/>
                <w:szCs w:val="21"/>
                <w:lang w:eastAsia="zh-CN"/>
              </w:rPr>
              <w:t>相关法规要求按时保质完成，供应商需提供验证工作计划表。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sz w:val="21"/>
                <w:szCs w:val="21"/>
                <w:lang w:eastAsia="zh-CN"/>
              </w:rPr>
            </w:pPr>
            <w:r>
              <w:rPr>
                <w:rFonts w:hint="eastAsia"/>
                <w:sz w:val="21"/>
                <w:szCs w:val="21"/>
                <w:lang w:eastAsia="zh-CN"/>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sz w:val="21"/>
                <w:szCs w:val="21"/>
                <w:lang w:eastAsia="zh-CN"/>
              </w:rPr>
            </w:pPr>
            <w:r>
              <w:rPr>
                <w:rFonts w:hint="eastAsia"/>
                <w:sz w:val="21"/>
                <w:szCs w:val="21"/>
                <w:lang w:eastAsia="zh-CN"/>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7"/>
              <w:spacing w:line="360" w:lineRule="auto"/>
              <w:rPr>
                <w:sz w:val="21"/>
                <w:szCs w:val="21"/>
                <w:lang w:eastAsia="zh-CN"/>
              </w:rPr>
            </w:pPr>
            <w:r>
              <w:rPr>
                <w:rFonts w:hint="eastAsia"/>
                <w:sz w:val="21"/>
                <w:szCs w:val="21"/>
                <w:lang w:eastAsia="zh-CN"/>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11.4</w:t>
            </w: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设备保质期从确认验收的阶段就开始计算</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pStyle w:val="6"/>
              <w:rPr>
                <w:sz w:val="21"/>
                <w:szCs w:val="21"/>
                <w:lang w:eastAsia="zh-CN"/>
              </w:rPr>
            </w:pPr>
            <w:r>
              <w:rPr>
                <w:rFonts w:hint="eastAsia"/>
                <w:sz w:val="21"/>
                <w:szCs w:val="18"/>
                <w:lang w:eastAsia="zh-CN"/>
              </w:rPr>
              <w:t>设备整机质保期为一年，一年内免费保修（其中</w:t>
            </w:r>
            <w:r>
              <w:rPr>
                <w:rFonts w:hint="eastAsia"/>
                <w:sz w:val="21"/>
                <w:szCs w:val="16"/>
                <w:lang w:eastAsia="zh-CN"/>
              </w:rPr>
              <w:t>压缩机等关键部件需保修3年）</w:t>
            </w:r>
            <w:r>
              <w:rPr>
                <w:rFonts w:hint="eastAsia"/>
                <w:sz w:val="21"/>
                <w:szCs w:val="18"/>
                <w:lang w:eastAsia="zh-CN"/>
              </w:rPr>
              <w:t>一年后应提供良好的售后服务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ascii="宋体" w:hAnsi="宋体" w:cs="宋体"/>
                <w:szCs w:val="21"/>
                <w:lang w:eastAsia="zh-CN"/>
              </w:rPr>
              <w:t>售后服务必须响应及时，要求设备出现须厂家维修的故障后，应在4小时内明确答复，当电话沟通无法解决时，须24小时内派人至现场解决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360"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厂家应提供合格的备件，用于设备相应部件的维修、更换。</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0"/>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11.5</w:t>
            </w: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供应商进厂施工需遵守安全和施工规定</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0"/>
              <w:numPr>
                <w:ilvl w:val="0"/>
                <w:numId w:val="7"/>
              </w:numPr>
              <w:ind w:left="12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确认试车验收合格后，买卖双方签订验收报告</w:t>
            </w:r>
          </w:p>
        </w:tc>
        <w:tc>
          <w:tcPr>
            <w:tcW w:w="2125" w:type="dxa"/>
            <w:vAlign w:val="center"/>
          </w:tcPr>
          <w:p>
            <w:pPr>
              <w:jc w:val="both"/>
              <w:rPr>
                <w:szCs w:val="21"/>
                <w:lang w:eastAsia="zh-CN"/>
              </w:rPr>
            </w:pPr>
            <w:r>
              <w:rPr>
                <w:rFonts w:hint="eastAsia"/>
                <w:szCs w:val="21"/>
                <w:lang w:eastAsia="zh-CN"/>
              </w:rPr>
              <w:t>关键</w:t>
            </w:r>
          </w:p>
        </w:tc>
      </w:tr>
    </w:tbl>
    <w:p>
      <w:pPr>
        <w:rPr>
          <w:szCs w:val="21"/>
        </w:rPr>
      </w:pPr>
    </w:p>
    <w:p>
      <w:pPr>
        <w:pStyle w:val="40"/>
        <w:numPr>
          <w:ilvl w:val="0"/>
          <w:numId w:val="3"/>
        </w:numPr>
        <w:spacing w:after="158" w:afterLines="50"/>
        <w:ind w:left="426" w:hanging="426" w:hangingChars="202"/>
        <w:outlineLvl w:val="0"/>
        <w:rPr>
          <w:rFonts w:ascii="Times New Roman" w:hAnsi="Times New Roman"/>
          <w:b/>
          <w:szCs w:val="21"/>
        </w:rPr>
      </w:pPr>
      <w:bookmarkStart w:id="46" w:name="_Toc522716126"/>
      <w:bookmarkStart w:id="47" w:name="_Toc522107746"/>
      <w:r>
        <w:rPr>
          <w:rFonts w:ascii="Times New Roman" w:hAnsi="Times New Roman"/>
          <w:b/>
          <w:szCs w:val="21"/>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1"/>
        <w:spacing w:before="0" w:line="360" w:lineRule="auto"/>
        <w:ind w:left="357"/>
        <w:jc w:val="left"/>
        <w:rPr>
          <w:sz w:val="21"/>
          <w:szCs w:val="21"/>
          <w:lang w:eastAsia="zh-CN"/>
        </w:rPr>
      </w:pPr>
      <w:r>
        <w:rPr>
          <w:rFonts w:hint="eastAsia"/>
          <w:sz w:val="21"/>
          <w:szCs w:val="21"/>
          <w:lang w:eastAsia="zh-CN"/>
        </w:rPr>
        <w:t>不适用</w:t>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496" w:hanging="420"/>
      </w:pPr>
      <w:rPr>
        <w:rFonts w:hint="eastAsia"/>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86546ED"/>
    <w:multiLevelType w:val="multilevel"/>
    <w:tmpl w:val="686546ED"/>
    <w:lvl w:ilvl="0" w:tentative="0">
      <w:start w:val="1"/>
      <w:numFmt w:val="decimal"/>
      <w:pStyle w:val="36"/>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9"/>
  </w:num>
  <w:num w:numId="3">
    <w:abstractNumId w:val="6"/>
  </w:num>
  <w:num w:numId="4">
    <w:abstractNumId w:val="8"/>
  </w:num>
  <w:num w:numId="5">
    <w:abstractNumId w:val="5"/>
  </w:num>
  <w:num w:numId="6">
    <w:abstractNumId w:val="0"/>
  </w:num>
  <w:num w:numId="7">
    <w:abstractNumId w:val="4"/>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2C6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3EF0"/>
    <w:rsid w:val="00094D22"/>
    <w:rsid w:val="000961C0"/>
    <w:rsid w:val="00096510"/>
    <w:rsid w:val="00097A7D"/>
    <w:rsid w:val="00097CA2"/>
    <w:rsid w:val="000A1D9E"/>
    <w:rsid w:val="000A2664"/>
    <w:rsid w:val="000A2C3C"/>
    <w:rsid w:val="000A41DA"/>
    <w:rsid w:val="000A55CC"/>
    <w:rsid w:val="000A5CEE"/>
    <w:rsid w:val="000A6423"/>
    <w:rsid w:val="000A6661"/>
    <w:rsid w:val="000A72AF"/>
    <w:rsid w:val="000B02ED"/>
    <w:rsid w:val="000B02FD"/>
    <w:rsid w:val="000B068C"/>
    <w:rsid w:val="000B417D"/>
    <w:rsid w:val="000B45E0"/>
    <w:rsid w:val="000B4EC4"/>
    <w:rsid w:val="000B5888"/>
    <w:rsid w:val="000B6B8B"/>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BA1"/>
    <w:rsid w:val="000D7C49"/>
    <w:rsid w:val="000E0DDB"/>
    <w:rsid w:val="000E1477"/>
    <w:rsid w:val="000E17B5"/>
    <w:rsid w:val="000E41B5"/>
    <w:rsid w:val="000E51FF"/>
    <w:rsid w:val="000E5684"/>
    <w:rsid w:val="000E5B57"/>
    <w:rsid w:val="000F0D08"/>
    <w:rsid w:val="000F2CD3"/>
    <w:rsid w:val="000F36B9"/>
    <w:rsid w:val="000F3A00"/>
    <w:rsid w:val="000F4E03"/>
    <w:rsid w:val="000F606A"/>
    <w:rsid w:val="000F706D"/>
    <w:rsid w:val="00100217"/>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A23"/>
    <w:rsid w:val="00132F4C"/>
    <w:rsid w:val="00134C68"/>
    <w:rsid w:val="00135FD6"/>
    <w:rsid w:val="001374CF"/>
    <w:rsid w:val="00137AE9"/>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1B9C"/>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2D5A"/>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54F"/>
    <w:rsid w:val="00324B23"/>
    <w:rsid w:val="003257E0"/>
    <w:rsid w:val="00325FFA"/>
    <w:rsid w:val="00330D16"/>
    <w:rsid w:val="00330FFF"/>
    <w:rsid w:val="00331986"/>
    <w:rsid w:val="00333C91"/>
    <w:rsid w:val="0033695C"/>
    <w:rsid w:val="00341B2F"/>
    <w:rsid w:val="00342915"/>
    <w:rsid w:val="00344B04"/>
    <w:rsid w:val="00345847"/>
    <w:rsid w:val="003467E6"/>
    <w:rsid w:val="00347576"/>
    <w:rsid w:val="00347772"/>
    <w:rsid w:val="00347A51"/>
    <w:rsid w:val="00347B19"/>
    <w:rsid w:val="003531FA"/>
    <w:rsid w:val="0035416F"/>
    <w:rsid w:val="003549FE"/>
    <w:rsid w:val="00355AAC"/>
    <w:rsid w:val="00355D7D"/>
    <w:rsid w:val="003647CA"/>
    <w:rsid w:val="003649FF"/>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3E4"/>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5E26"/>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5A6"/>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0DC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77ACF"/>
    <w:rsid w:val="00480286"/>
    <w:rsid w:val="00480C3B"/>
    <w:rsid w:val="00480FE3"/>
    <w:rsid w:val="00481C94"/>
    <w:rsid w:val="00482DE2"/>
    <w:rsid w:val="00484A8D"/>
    <w:rsid w:val="00485F58"/>
    <w:rsid w:val="00486A4E"/>
    <w:rsid w:val="00486B09"/>
    <w:rsid w:val="0049139F"/>
    <w:rsid w:val="00494F07"/>
    <w:rsid w:val="00496116"/>
    <w:rsid w:val="004965A0"/>
    <w:rsid w:val="00497335"/>
    <w:rsid w:val="00497D19"/>
    <w:rsid w:val="004A05A7"/>
    <w:rsid w:val="004A3F98"/>
    <w:rsid w:val="004A5532"/>
    <w:rsid w:val="004A5958"/>
    <w:rsid w:val="004A76DF"/>
    <w:rsid w:val="004B0A75"/>
    <w:rsid w:val="004B2190"/>
    <w:rsid w:val="004B2EB9"/>
    <w:rsid w:val="004B605D"/>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121A"/>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46298"/>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57E1"/>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58B9"/>
    <w:rsid w:val="005964B1"/>
    <w:rsid w:val="005965FD"/>
    <w:rsid w:val="005973CF"/>
    <w:rsid w:val="00597FCC"/>
    <w:rsid w:val="005A132A"/>
    <w:rsid w:val="005A337C"/>
    <w:rsid w:val="005A3432"/>
    <w:rsid w:val="005A34B0"/>
    <w:rsid w:val="005A3ECF"/>
    <w:rsid w:val="005A6821"/>
    <w:rsid w:val="005B2393"/>
    <w:rsid w:val="005B750A"/>
    <w:rsid w:val="005C0438"/>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21E"/>
    <w:rsid w:val="005F6CB3"/>
    <w:rsid w:val="005F7612"/>
    <w:rsid w:val="005F7663"/>
    <w:rsid w:val="005F7D63"/>
    <w:rsid w:val="006047DA"/>
    <w:rsid w:val="00607170"/>
    <w:rsid w:val="00607408"/>
    <w:rsid w:val="0061068D"/>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05D7"/>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25C"/>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13EF"/>
    <w:rsid w:val="007036CA"/>
    <w:rsid w:val="00703972"/>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4673"/>
    <w:rsid w:val="00726CB6"/>
    <w:rsid w:val="00727255"/>
    <w:rsid w:val="0072779B"/>
    <w:rsid w:val="00727CCF"/>
    <w:rsid w:val="007330CD"/>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3D19"/>
    <w:rsid w:val="00765D6E"/>
    <w:rsid w:val="00765D7E"/>
    <w:rsid w:val="007674B6"/>
    <w:rsid w:val="00770E90"/>
    <w:rsid w:val="00772C42"/>
    <w:rsid w:val="0077302F"/>
    <w:rsid w:val="00773103"/>
    <w:rsid w:val="00773661"/>
    <w:rsid w:val="00774A61"/>
    <w:rsid w:val="00774E08"/>
    <w:rsid w:val="00774E72"/>
    <w:rsid w:val="0077746F"/>
    <w:rsid w:val="007775FE"/>
    <w:rsid w:val="00780A5F"/>
    <w:rsid w:val="00781592"/>
    <w:rsid w:val="00784913"/>
    <w:rsid w:val="00785B90"/>
    <w:rsid w:val="0078639C"/>
    <w:rsid w:val="007913D3"/>
    <w:rsid w:val="0079790C"/>
    <w:rsid w:val="007A102A"/>
    <w:rsid w:val="007A1498"/>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274F"/>
    <w:rsid w:val="007E3532"/>
    <w:rsid w:val="007E4208"/>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3333"/>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1C76"/>
    <w:rsid w:val="008A4E05"/>
    <w:rsid w:val="008A56DB"/>
    <w:rsid w:val="008A6CFC"/>
    <w:rsid w:val="008B2125"/>
    <w:rsid w:val="008B25D4"/>
    <w:rsid w:val="008B38E5"/>
    <w:rsid w:val="008B58C4"/>
    <w:rsid w:val="008B6CD2"/>
    <w:rsid w:val="008B72DD"/>
    <w:rsid w:val="008C050B"/>
    <w:rsid w:val="008C1132"/>
    <w:rsid w:val="008C302A"/>
    <w:rsid w:val="008C3D9D"/>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46521"/>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25F7"/>
    <w:rsid w:val="009C339C"/>
    <w:rsid w:val="009C33B8"/>
    <w:rsid w:val="009C368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510A"/>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91E"/>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69BD"/>
    <w:rsid w:val="00B07418"/>
    <w:rsid w:val="00B11547"/>
    <w:rsid w:val="00B11EF0"/>
    <w:rsid w:val="00B1226C"/>
    <w:rsid w:val="00B14B56"/>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15BE"/>
    <w:rsid w:val="00B4308D"/>
    <w:rsid w:val="00B440DA"/>
    <w:rsid w:val="00B4415A"/>
    <w:rsid w:val="00B503CD"/>
    <w:rsid w:val="00B548AB"/>
    <w:rsid w:val="00B54BBE"/>
    <w:rsid w:val="00B54C46"/>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A7E8C"/>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5E07"/>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5EB1"/>
    <w:rsid w:val="00C16542"/>
    <w:rsid w:val="00C22382"/>
    <w:rsid w:val="00C2355B"/>
    <w:rsid w:val="00C24886"/>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24F3"/>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1815"/>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098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5A58"/>
    <w:rsid w:val="00E078BD"/>
    <w:rsid w:val="00E078F8"/>
    <w:rsid w:val="00E07C24"/>
    <w:rsid w:val="00E1142B"/>
    <w:rsid w:val="00E11F10"/>
    <w:rsid w:val="00E1343E"/>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4DC"/>
    <w:rsid w:val="00E37BF1"/>
    <w:rsid w:val="00E428B3"/>
    <w:rsid w:val="00E449F8"/>
    <w:rsid w:val="00E44D19"/>
    <w:rsid w:val="00E46DD4"/>
    <w:rsid w:val="00E51372"/>
    <w:rsid w:val="00E51CAF"/>
    <w:rsid w:val="00E51E95"/>
    <w:rsid w:val="00E51F9D"/>
    <w:rsid w:val="00E5202F"/>
    <w:rsid w:val="00E5211A"/>
    <w:rsid w:val="00E53A9F"/>
    <w:rsid w:val="00E549AF"/>
    <w:rsid w:val="00E60540"/>
    <w:rsid w:val="00E61C74"/>
    <w:rsid w:val="00E637E3"/>
    <w:rsid w:val="00E63D8F"/>
    <w:rsid w:val="00E706B6"/>
    <w:rsid w:val="00E76FF1"/>
    <w:rsid w:val="00E774FE"/>
    <w:rsid w:val="00E809A0"/>
    <w:rsid w:val="00E80AF7"/>
    <w:rsid w:val="00E84407"/>
    <w:rsid w:val="00E85E54"/>
    <w:rsid w:val="00E86146"/>
    <w:rsid w:val="00E863D7"/>
    <w:rsid w:val="00E86A76"/>
    <w:rsid w:val="00E87A90"/>
    <w:rsid w:val="00E904D1"/>
    <w:rsid w:val="00E92425"/>
    <w:rsid w:val="00E92AD3"/>
    <w:rsid w:val="00E959EA"/>
    <w:rsid w:val="00E96237"/>
    <w:rsid w:val="00E965D7"/>
    <w:rsid w:val="00E96D30"/>
    <w:rsid w:val="00EA1327"/>
    <w:rsid w:val="00EA623C"/>
    <w:rsid w:val="00EA6395"/>
    <w:rsid w:val="00EA781E"/>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245D"/>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47B3E"/>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6BD7B1B"/>
    <w:rsid w:val="07B631FA"/>
    <w:rsid w:val="09480032"/>
    <w:rsid w:val="0A8F00CF"/>
    <w:rsid w:val="110A1557"/>
    <w:rsid w:val="14D113C0"/>
    <w:rsid w:val="15E75ED1"/>
    <w:rsid w:val="170D0D55"/>
    <w:rsid w:val="18A40F81"/>
    <w:rsid w:val="18B11676"/>
    <w:rsid w:val="18E841D5"/>
    <w:rsid w:val="19917708"/>
    <w:rsid w:val="19FF7CE5"/>
    <w:rsid w:val="1F0E47EC"/>
    <w:rsid w:val="1F5D5ADA"/>
    <w:rsid w:val="20663C6B"/>
    <w:rsid w:val="220B7316"/>
    <w:rsid w:val="23A957AE"/>
    <w:rsid w:val="25C00F3A"/>
    <w:rsid w:val="281B3956"/>
    <w:rsid w:val="295D2050"/>
    <w:rsid w:val="2B963C6C"/>
    <w:rsid w:val="2BDE1884"/>
    <w:rsid w:val="2DAE0095"/>
    <w:rsid w:val="3262653E"/>
    <w:rsid w:val="32FC7315"/>
    <w:rsid w:val="35FE4E9D"/>
    <w:rsid w:val="36591027"/>
    <w:rsid w:val="372F7E58"/>
    <w:rsid w:val="3CAE52AF"/>
    <w:rsid w:val="425E4FA2"/>
    <w:rsid w:val="47C72292"/>
    <w:rsid w:val="47FD4415"/>
    <w:rsid w:val="49E60A86"/>
    <w:rsid w:val="4CF31070"/>
    <w:rsid w:val="4EF113DF"/>
    <w:rsid w:val="4F6E77C2"/>
    <w:rsid w:val="4F900C28"/>
    <w:rsid w:val="4FDD4B0A"/>
    <w:rsid w:val="50B85C5B"/>
    <w:rsid w:val="51F44F4D"/>
    <w:rsid w:val="51F629B0"/>
    <w:rsid w:val="529B4AF0"/>
    <w:rsid w:val="54D10981"/>
    <w:rsid w:val="54EC2168"/>
    <w:rsid w:val="55736716"/>
    <w:rsid w:val="5BDB6029"/>
    <w:rsid w:val="5FA63320"/>
    <w:rsid w:val="5FA720B7"/>
    <w:rsid w:val="5FB24FCF"/>
    <w:rsid w:val="606065B4"/>
    <w:rsid w:val="62CB5A95"/>
    <w:rsid w:val="631A4FCE"/>
    <w:rsid w:val="66EB7476"/>
    <w:rsid w:val="67B8595C"/>
    <w:rsid w:val="67CA5219"/>
    <w:rsid w:val="68A4772B"/>
    <w:rsid w:val="6A0D1268"/>
    <w:rsid w:val="6AB139AE"/>
    <w:rsid w:val="6C0C2143"/>
    <w:rsid w:val="6DA468C3"/>
    <w:rsid w:val="6F2F1EF3"/>
    <w:rsid w:val="7051301E"/>
    <w:rsid w:val="706B4319"/>
    <w:rsid w:val="71676E35"/>
    <w:rsid w:val="73BF6564"/>
    <w:rsid w:val="751D523C"/>
    <w:rsid w:val="776B0BEA"/>
    <w:rsid w:val="77864721"/>
    <w:rsid w:val="77951C44"/>
    <w:rsid w:val="77E56B45"/>
    <w:rsid w:val="79D7480F"/>
    <w:rsid w:val="7A2A1FAC"/>
    <w:rsid w:val="7C100C33"/>
    <w:rsid w:val="7EAD192E"/>
    <w:rsid w:val="7ED67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8"/>
    <w:semiHidden/>
    <w:qFormat/>
    <w:uiPriority w:val="0"/>
    <w:rPr>
      <w:sz w:val="24"/>
    </w:rPr>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Date"/>
    <w:basedOn w:val="1"/>
    <w:next w:val="1"/>
    <w:link w:val="33"/>
    <w:qFormat/>
    <w:uiPriority w:val="99"/>
    <w:pPr>
      <w:widowControl w:val="0"/>
      <w:overflowPunct/>
      <w:autoSpaceDE/>
      <w:autoSpaceDN/>
      <w:adjustRightInd/>
      <w:ind w:left="100" w:leftChars="2500"/>
      <w:jc w:val="both"/>
      <w:textAlignment w:val="auto"/>
    </w:pPr>
    <w:rPr>
      <w:kern w:val="2"/>
      <w:szCs w:val="24"/>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29"/>
    <w:qFormat/>
    <w:uiPriority w:val="99"/>
    <w:pPr>
      <w:tabs>
        <w:tab w:val="center" w:pos="4320"/>
        <w:tab w:val="right" w:pos="8640"/>
      </w:tabs>
    </w:pPr>
    <w:rPr>
      <w:sz w:val="24"/>
    </w:rPr>
  </w:style>
  <w:style w:type="paragraph" w:styleId="15">
    <w:name w:val="header"/>
    <w:basedOn w:val="1"/>
    <w:link w:val="37"/>
    <w:qFormat/>
    <w:uiPriority w:val="0"/>
    <w:pPr>
      <w:tabs>
        <w:tab w:val="center" w:pos="4320"/>
        <w:tab w:val="right" w:pos="8640"/>
      </w:tabs>
    </w:pPr>
    <w:rPr>
      <w:sz w:val="24"/>
    </w:rPr>
  </w:style>
  <w:style w:type="paragraph" w:styleId="16">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32"/>
    <w:qFormat/>
    <w:uiPriority w:val="0"/>
    <w:pPr>
      <w:spacing w:before="240" w:after="60"/>
      <w:jc w:val="center"/>
      <w:outlineLvl w:val="0"/>
    </w:pPr>
    <w:rPr>
      <w:rFonts w:ascii="Calibri Light" w:hAnsi="Calibri Light"/>
      <w:b/>
      <w:bCs/>
      <w:sz w:val="32"/>
      <w:szCs w:val="32"/>
    </w:rPr>
  </w:style>
  <w:style w:type="paragraph" w:styleId="19">
    <w:name w:val="annotation subject"/>
    <w:basedOn w:val="6"/>
    <w:next w:val="6"/>
    <w:semiHidden/>
    <w:qFormat/>
    <w:uiPriority w:val="0"/>
    <w:rPr>
      <w:b/>
      <w:bCs/>
    </w:rPr>
  </w:style>
  <w:style w:type="table" w:styleId="21">
    <w:name w:val="Table Grid"/>
    <w:basedOn w:val="20"/>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semiHidden/>
    <w:qFormat/>
    <w:uiPriority w:val="0"/>
    <w:rPr>
      <w:sz w:val="21"/>
      <w:szCs w:val="21"/>
    </w:rPr>
  </w:style>
  <w:style w:type="character" w:customStyle="1" w:styleId="26">
    <w:name w:val="Footer Char"/>
    <w:semiHidden/>
    <w:qFormat/>
    <w:locked/>
    <w:uiPriority w:val="0"/>
    <w:rPr>
      <w:rFonts w:cs="Times New Roman"/>
      <w:sz w:val="18"/>
      <w:szCs w:val="18"/>
    </w:rPr>
  </w:style>
  <w:style w:type="character" w:customStyle="1" w:styleId="27">
    <w:name w:val="keyword"/>
    <w:basedOn w:val="22"/>
    <w:qFormat/>
    <w:uiPriority w:val="0"/>
  </w:style>
  <w:style w:type="character" w:customStyle="1" w:styleId="28">
    <w:name w:val="批注文字 Char"/>
    <w:link w:val="6"/>
    <w:semiHidden/>
    <w:qFormat/>
    <w:uiPriority w:val="0"/>
    <w:rPr>
      <w:sz w:val="24"/>
      <w:lang w:val="en-GB" w:eastAsia="en-US"/>
    </w:rPr>
  </w:style>
  <w:style w:type="character" w:customStyle="1" w:styleId="29">
    <w:name w:val="页脚 Char"/>
    <w:link w:val="14"/>
    <w:qFormat/>
    <w:uiPriority w:val="99"/>
    <w:rPr>
      <w:sz w:val="24"/>
      <w:lang w:val="en-GB" w:eastAsia="en-US"/>
    </w:rPr>
  </w:style>
  <w:style w:type="character" w:customStyle="1" w:styleId="30">
    <w:name w:val="Text Char"/>
    <w:link w:val="31"/>
    <w:qFormat/>
    <w:locked/>
    <w:uiPriority w:val="0"/>
    <w:rPr>
      <w:sz w:val="24"/>
      <w:lang w:eastAsia="en-US"/>
    </w:rPr>
  </w:style>
  <w:style w:type="paragraph" w:customStyle="1" w:styleId="31">
    <w:name w:val="Text"/>
    <w:basedOn w:val="1"/>
    <w:link w:val="30"/>
    <w:qFormat/>
    <w:uiPriority w:val="0"/>
    <w:pPr>
      <w:overflowPunct/>
      <w:autoSpaceDE/>
      <w:autoSpaceDN/>
      <w:adjustRightInd/>
      <w:spacing w:before="120"/>
      <w:jc w:val="both"/>
      <w:textAlignment w:val="auto"/>
    </w:pPr>
    <w:rPr>
      <w:sz w:val="24"/>
    </w:rPr>
  </w:style>
  <w:style w:type="character" w:customStyle="1" w:styleId="32">
    <w:name w:val="标题 Char"/>
    <w:link w:val="18"/>
    <w:qFormat/>
    <w:uiPriority w:val="0"/>
    <w:rPr>
      <w:rFonts w:ascii="Calibri Light" w:hAnsi="Calibri Light" w:cs="Times New Roman"/>
      <w:b/>
      <w:bCs/>
      <w:sz w:val="32"/>
      <w:szCs w:val="32"/>
      <w:lang w:val="en-GB" w:eastAsia="en-US"/>
    </w:rPr>
  </w:style>
  <w:style w:type="character" w:customStyle="1" w:styleId="33">
    <w:name w:val="日期 Char"/>
    <w:link w:val="11"/>
    <w:qFormat/>
    <w:uiPriority w:val="99"/>
    <w:rPr>
      <w:kern w:val="2"/>
      <w:sz w:val="21"/>
      <w:szCs w:val="24"/>
    </w:rPr>
  </w:style>
  <w:style w:type="character" w:customStyle="1" w:styleId="34">
    <w:name w:val="instruction standard blue"/>
    <w:qFormat/>
    <w:uiPriority w:val="1"/>
    <w:rPr>
      <w:rFonts w:cs="Arial"/>
      <w:i/>
      <w:color w:val="0070C0"/>
    </w:rPr>
  </w:style>
  <w:style w:type="character" w:customStyle="1" w:styleId="35">
    <w:name w:val="numbering blue Zchn"/>
    <w:link w:val="36"/>
    <w:qFormat/>
    <w:uiPriority w:val="0"/>
    <w:rPr>
      <w:rFonts w:ascii="Arial" w:hAnsi="Arial" w:eastAsia="PMingLiU"/>
      <w:color w:val="0070C0"/>
      <w:lang w:eastAsia="zh-TW"/>
    </w:rPr>
  </w:style>
  <w:style w:type="paragraph" w:customStyle="1" w:styleId="36">
    <w:name w:val="numbering blue"/>
    <w:basedOn w:val="1"/>
    <w:link w:val="35"/>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7">
    <w:name w:val="页眉 Char"/>
    <w:link w:val="15"/>
    <w:qFormat/>
    <w:uiPriority w:val="0"/>
    <w:rPr>
      <w:rFonts w:eastAsia="宋体"/>
      <w:sz w:val="24"/>
      <w:lang w:val="en-GB" w:eastAsia="en-US" w:bidi="ar-SA"/>
    </w:rPr>
  </w:style>
  <w:style w:type="character" w:customStyle="1" w:styleId="38">
    <w:name w:val="ordinary-span-edit2"/>
    <w:qFormat/>
    <w:uiPriority w:val="0"/>
  </w:style>
  <w:style w:type="character" w:customStyle="1" w:styleId="39">
    <w:name w:val="apple-converted-space"/>
    <w:basedOn w:val="22"/>
    <w:qFormat/>
    <w:uiPriority w:val="0"/>
  </w:style>
  <w:style w:type="paragraph" w:styleId="40">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41">
    <w:name w:val="Default Text"/>
    <w:basedOn w:val="1"/>
    <w:qFormat/>
    <w:uiPriority w:val="0"/>
    <w:pPr>
      <w:overflowPunct/>
      <w:textAlignment w:val="auto"/>
    </w:pPr>
    <w:rPr>
      <w:rFonts w:ascii="Arial" w:hAnsi="Arial"/>
      <w:szCs w:val="24"/>
      <w:lang w:val="en-US"/>
    </w:rPr>
  </w:style>
  <w:style w:type="paragraph" w:customStyle="1" w:styleId="42">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43">
    <w:name w:val="Table text"/>
    <w:basedOn w:val="1"/>
    <w:qFormat/>
    <w:uiPriority w:val="0"/>
    <w:pPr>
      <w:overflowPunct/>
      <w:autoSpaceDE/>
      <w:autoSpaceDN/>
      <w:adjustRightInd/>
      <w:spacing w:before="120" w:after="120"/>
      <w:jc w:val="both"/>
      <w:textAlignment w:val="auto"/>
    </w:pPr>
    <w:rPr>
      <w:lang w:val="en-US"/>
    </w:rPr>
  </w:style>
  <w:style w:type="paragraph" w:customStyle="1" w:styleId="44">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45">
    <w:name w:val="_Style 44"/>
    <w:basedOn w:val="2"/>
    <w:next w:val="1"/>
    <w:qFormat/>
    <w:uiPriority w:val="39"/>
    <w:pPr>
      <w:numPr>
        <w:numId w:val="0"/>
      </w:numPr>
      <w:outlineLvl w:val="9"/>
    </w:pPr>
  </w:style>
  <w:style w:type="paragraph" w:customStyle="1" w:styleId="46">
    <w:name w:val="Style"/>
    <w:basedOn w:val="1"/>
    <w:qFormat/>
    <w:uiPriority w:val="0"/>
    <w:pPr>
      <w:overflowPunct/>
      <w:textAlignment w:val="auto"/>
    </w:pPr>
    <w:rPr>
      <w:rFonts w:ascii="Arial" w:hAnsi="Arial"/>
      <w:szCs w:val="24"/>
      <w:lang w:val="en-US"/>
    </w:rPr>
  </w:style>
  <w:style w:type="paragraph" w:customStyle="1" w:styleId="47">
    <w:name w:val="正文1"/>
    <w:basedOn w:val="1"/>
    <w:qFormat/>
    <w:uiPriority w:val="0"/>
    <w:pPr>
      <w:overflowPunct/>
      <w:textAlignment w:val="auto"/>
    </w:pPr>
    <w:rPr>
      <w:rFonts w:ascii="Arial" w:hAnsi="Arial"/>
      <w:sz w:val="20"/>
      <w:lang w:val="en-US"/>
    </w:rPr>
  </w:style>
  <w:style w:type="paragraph" w:customStyle="1" w:styleId="48">
    <w:name w:val="_Style 47"/>
    <w:semiHidden/>
    <w:qFormat/>
    <w:uiPriority w:val="99"/>
    <w:rPr>
      <w:rFonts w:ascii="Times New Roman" w:hAnsi="Times New Roman" w:eastAsia="宋体" w:cs="Times New Roman"/>
      <w:sz w:val="24"/>
      <w:lang w:val="en-GB"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826</Words>
  <Characters>4709</Characters>
  <Lines>39</Lines>
  <Paragraphs>11</Paragraphs>
  <TotalTime>1</TotalTime>
  <ScaleCrop>false</ScaleCrop>
  <LinksUpToDate>false</LinksUpToDate>
  <CharactersWithSpaces>5524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2019-04-30T04:19:00Z</dcterms:created>
  <dc:creator>Lilly</dc:creator>
  <cp:lastModifiedBy>汪洋</cp:lastModifiedBy>
  <cp:lastPrinted>2020-06-10T01:35:00Z</cp:lastPrinted>
  <dcterms:modified xsi:type="dcterms:W3CDTF">2022-09-15T00:42:25Z</dcterms:modified>
  <dc:title>生效期：</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