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4532399"/>
      <w:bookmarkStart w:id="1" w:name="_Toc483666358"/>
      <w:bookmarkStart w:id="2" w:name="_Toc482717189"/>
      <w:bookmarkStart w:id="3" w:name="_Toc483227223"/>
      <w:bookmarkStart w:id="4" w:name="_Toc483400307"/>
    </w:p>
    <w:p>
      <w:pPr>
        <w:spacing w:after="158" w:afterLines="50"/>
        <w:jc w:val="center"/>
        <w:rPr>
          <w:b/>
          <w:szCs w:val="21"/>
          <w:lang w:eastAsia="zh-CN"/>
        </w:rPr>
      </w:pPr>
      <w:permStart w:id="0" w:edGrp="everyone"/>
      <w:r>
        <w:rPr>
          <w:rFonts w:hint="eastAsia" w:ascii="宋体" w:hAnsi="宋体"/>
          <w:b/>
          <w:sz w:val="28"/>
          <w:szCs w:val="28"/>
          <w:lang w:val="en-US" w:eastAsia="zh-CN"/>
        </w:rPr>
        <w:t>质量控制室</w:t>
      </w:r>
      <w:r>
        <w:rPr>
          <w:rFonts w:hint="eastAsia" w:ascii="宋体" w:hAnsi="宋体"/>
          <w:b/>
          <w:sz w:val="28"/>
          <w:szCs w:val="28"/>
          <w:lang w:eastAsia="zh-CN"/>
        </w:rPr>
        <w:t>医用冷藏冷冻箱</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rPr>
          <w:rFonts w:hint="eastAsia"/>
        </w:rPr>
        <w:t>7</w:t>
      </w:r>
      <w:r>
        <w:rPr>
          <w:rFonts w:hint="eastAsia"/>
        </w:rP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rPr>
          <w:rFonts w:hint="eastAsia"/>
        </w:rPr>
        <w:t>8</w:t>
      </w:r>
      <w:r>
        <w:rPr>
          <w:rFonts w:hint="eastAsia"/>
        </w:rP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rPr>
          <w:rFonts w:hint="eastAsia"/>
        </w:rPr>
        <w:t>9</w:t>
      </w:r>
      <w:r>
        <w:rPr>
          <w:rFonts w:hint="eastAsia"/>
        </w:rP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rPr>
          <w:rFonts w:hint="eastAsia"/>
        </w:rPr>
        <w:t>9</w:t>
      </w:r>
      <w:r>
        <w:rPr>
          <w:rFonts w:hint="eastAsia"/>
        </w:rP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rPr>
          <w:rFonts w:hint="eastAsia"/>
        </w:rPr>
        <w:t>11</w:t>
      </w:r>
      <w:r>
        <w:rPr>
          <w:rFonts w:hint="eastAsia"/>
        </w:rP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716115"/>
      <w:bookmarkStart w:id="6" w:name="_Toc522107735"/>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2370061"/>
      <w:bookmarkStart w:id="8" w:name="_Toc482370141"/>
      <w:bookmarkStart w:id="9" w:name="_Toc482360281"/>
      <w:bookmarkStart w:id="10" w:name="_Toc482370757"/>
      <w:bookmarkStart w:id="11" w:name="_Toc482370349"/>
      <w:bookmarkStart w:id="12" w:name="_Toc482369805"/>
      <w:bookmarkStart w:id="13" w:name="_Toc481702475"/>
      <w:bookmarkStart w:id="14" w:name="_Toc482625279"/>
      <w:bookmarkStart w:id="15" w:name="_Toc482359936"/>
      <w:r>
        <w:rPr>
          <w:szCs w:val="21"/>
          <w:lang w:eastAsia="zh-CN"/>
        </w:rPr>
        <w:t>本文件的目的是描述武汉生物制品研究所有限责任公司</w:t>
      </w:r>
      <w:permStart w:id="3" w:edGrp="everyone"/>
      <w:r>
        <w:rPr>
          <w:rFonts w:hint="eastAsia"/>
          <w:szCs w:val="21"/>
          <w:lang w:eastAsia="zh-CN"/>
        </w:rPr>
        <w:t>质量控制室</w:t>
      </w:r>
      <w:r>
        <w:rPr>
          <w:rFonts w:hint="eastAsia" w:ascii="宋体" w:hAnsi="宋体"/>
          <w:szCs w:val="21"/>
          <w:lang w:eastAsia="zh-CN"/>
        </w:rPr>
        <w:t>医用冷藏冷冻箱</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质量控制室</w:t>
      </w:r>
      <w:r>
        <w:rPr>
          <w:rFonts w:hint="eastAsia" w:ascii="宋体" w:hAnsi="宋体"/>
          <w:szCs w:val="21"/>
          <w:lang w:eastAsia="zh-CN"/>
        </w:rPr>
        <w:t>医用冷藏冷冻箱</w:t>
      </w:r>
      <w:permEnd w:id="4"/>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szCs w:val="21"/>
          <w:lang w:eastAsia="zh-CN"/>
        </w:rPr>
      </w:pPr>
      <w:permStart w:id="5" w:edGrp="everyone"/>
      <w:r>
        <w:rPr>
          <w:szCs w:val="21"/>
          <w:lang w:eastAsia="zh-CN"/>
        </w:rPr>
        <w:t xml:space="preserve">中国药典 </w:t>
      </w:r>
      <w:r>
        <w:rPr>
          <w:szCs w:val="21"/>
        </w:rPr>
        <w:t>20</w:t>
      </w:r>
      <w:r>
        <w:rPr>
          <w:rFonts w:hint="eastAsia"/>
          <w:szCs w:val="21"/>
          <w:lang w:eastAsia="zh-CN"/>
        </w:rPr>
        <w:t>20</w:t>
      </w:r>
      <w:r>
        <w:rPr>
          <w:szCs w:val="21"/>
        </w:rPr>
        <w:t>年版</w:t>
      </w:r>
    </w:p>
    <w:p>
      <w:pPr>
        <w:pStyle w:val="41"/>
        <w:numPr>
          <w:ilvl w:val="0"/>
          <w:numId w:val="5"/>
        </w:numPr>
        <w:spacing w:before="0" w:line="360" w:lineRule="auto"/>
        <w:ind w:left="777"/>
        <w:jc w:val="left"/>
        <w:rPr>
          <w:iCs/>
          <w:szCs w:val="21"/>
          <w:lang w:eastAsia="zh-CN"/>
        </w:rPr>
      </w:pPr>
      <w:r>
        <w:rPr>
          <w:rFonts w:hint="eastAsia"/>
          <w:iCs/>
          <w:szCs w:val="21"/>
          <w:lang w:eastAsia="zh-CN"/>
        </w:rPr>
        <w:t>《药品生产质量管理规范》（2010修订版）</w:t>
      </w:r>
    </w:p>
    <w:p>
      <w:pPr>
        <w:pStyle w:val="41"/>
        <w:numPr>
          <w:ilvl w:val="0"/>
          <w:numId w:val="5"/>
        </w:numPr>
        <w:spacing w:before="0" w:line="360" w:lineRule="auto"/>
        <w:ind w:left="777"/>
        <w:jc w:val="left"/>
        <w:rPr>
          <w:iCs/>
          <w:szCs w:val="21"/>
          <w:lang w:eastAsia="zh-CN"/>
        </w:rPr>
      </w:pPr>
      <w:r>
        <w:rPr>
          <w:rFonts w:hint="eastAsia"/>
          <w:iCs/>
          <w:szCs w:val="21"/>
          <w:lang w:eastAsia="zh-CN"/>
        </w:rPr>
        <w:t>GMP附件2《确认与验证》（2015版）</w:t>
      </w:r>
    </w:p>
    <w:p>
      <w:pPr>
        <w:pStyle w:val="41"/>
        <w:numPr>
          <w:ilvl w:val="0"/>
          <w:numId w:val="5"/>
        </w:numPr>
        <w:spacing w:before="0" w:line="360" w:lineRule="auto"/>
        <w:ind w:left="777"/>
        <w:jc w:val="left"/>
        <w:rPr>
          <w:iCs/>
          <w:szCs w:val="21"/>
          <w:lang w:eastAsia="zh-CN"/>
        </w:rPr>
      </w:pPr>
      <w:r>
        <w:rPr>
          <w:rFonts w:hint="eastAsia"/>
          <w:iCs/>
          <w:szCs w:val="21"/>
          <w:lang w:eastAsia="zh-CN"/>
        </w:rPr>
        <w:t>YY/T0086 -2007  药品冷藏箱</w:t>
      </w:r>
    </w:p>
    <w:p>
      <w:pPr>
        <w:pStyle w:val="41"/>
        <w:numPr>
          <w:ilvl w:val="0"/>
          <w:numId w:val="5"/>
        </w:numPr>
        <w:spacing w:before="0" w:line="360" w:lineRule="auto"/>
        <w:ind w:left="777"/>
        <w:jc w:val="left"/>
        <w:rPr>
          <w:i/>
          <w:color w:val="4472C4"/>
          <w:szCs w:val="21"/>
          <w:lang w:eastAsia="zh-CN"/>
        </w:rPr>
      </w:pPr>
      <w:r>
        <w:rPr>
          <w:color w:val="000000"/>
          <w:szCs w:val="21"/>
          <w:lang w:val="zh-TW" w:eastAsia="zh-TW"/>
        </w:rPr>
        <w:t>GAMP5</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szCs w:val="21"/>
          <w:lang w:eastAsia="zh-CN"/>
        </w:rPr>
      </w:pPr>
      <w:permStart w:id="6" w:edGrp="everyone"/>
      <w:r>
        <w:rPr>
          <w:szCs w:val="21"/>
          <w:lang w:eastAsia="zh-CN"/>
        </w:rPr>
        <w:t>电气安全应符合GB4793.1和GB4793.4的要求。</w:t>
      </w:r>
    </w:p>
    <w:permEnd w:id="6"/>
    <w:p>
      <w:pPr>
        <w:pStyle w:val="41"/>
        <w:spacing w:before="0" w:line="360" w:lineRule="auto"/>
        <w:ind w:left="357"/>
        <w:jc w:val="left"/>
        <w:rPr>
          <w:i/>
          <w:szCs w:val="21"/>
          <w:lang w:eastAsia="zh-CN"/>
        </w:rPr>
      </w:pPr>
    </w:p>
    <w:p>
      <w:pPr>
        <w:pStyle w:val="31"/>
        <w:numPr>
          <w:ilvl w:val="0"/>
          <w:numId w:val="3"/>
        </w:numPr>
        <w:spacing w:after="158" w:afterLines="50"/>
        <w:ind w:left="426" w:hanging="426" w:hangingChars="202"/>
        <w:outlineLvl w:val="0"/>
        <w:rPr>
          <w:rFonts w:ascii="Times New Roman" w:hAnsi="Times New Roman"/>
          <w:b/>
        </w:rPr>
      </w:pPr>
      <w:permStart w:id="7" w:edGrp="everyone"/>
      <w:permEnd w:id="7"/>
      <w:bookmarkStart w:id="20" w:name="_Toc522716119"/>
      <w:bookmarkStart w:id="21" w:name="_Toc522107739"/>
      <w:r>
        <w:rPr>
          <w:rFonts w:ascii="Times New Roman" w:hAnsi="Times New Roman"/>
          <w:b/>
        </w:rPr>
        <w:t>系统描述</w:t>
      </w:r>
      <w:bookmarkEnd w:id="20"/>
      <w:bookmarkEnd w:id="21"/>
    </w:p>
    <w:p>
      <w:pPr>
        <w:pStyle w:val="41"/>
        <w:spacing w:before="0" w:line="360" w:lineRule="auto"/>
        <w:ind w:left="357"/>
        <w:jc w:val="left"/>
        <w:rPr>
          <w:i/>
          <w:color w:val="4472C4"/>
          <w:szCs w:val="21"/>
          <w:lang w:eastAsia="zh-CN"/>
        </w:rPr>
      </w:pPr>
      <w:permStart w:id="8" w:edGrp="everyone"/>
      <w:r>
        <w:rPr>
          <w:rFonts w:hint="eastAsia" w:ascii="宋体" w:hAnsi="宋体"/>
          <w:szCs w:val="21"/>
          <w:lang w:eastAsia="zh-CN"/>
        </w:rPr>
        <w:t>医用冷藏冷冻箱</w:t>
      </w:r>
      <w:r>
        <w:rPr>
          <w:rFonts w:hint="eastAsia" w:ascii="宋体" w:hAnsi="宋体" w:cs="宋体"/>
          <w:szCs w:val="21"/>
          <w:shd w:val="clear" w:color="auto" w:fill="FFFFFF"/>
          <w:lang w:eastAsia="zh-CN"/>
        </w:rPr>
        <w:t>，主要用于质量控制室分子生物学检测区试剂、</w:t>
      </w:r>
      <w:r>
        <w:rPr>
          <w:rFonts w:hint="eastAsia" w:ascii="宋体" w:hAnsi="宋体" w:cs="宋体"/>
          <w:szCs w:val="21"/>
          <w:shd w:val="clear" w:color="auto" w:fill="FFFFFF"/>
          <w:lang w:val="en-US" w:eastAsia="zh-CN"/>
        </w:rPr>
        <w:t>病毒滴定室2</w:t>
      </w:r>
      <w:r>
        <w:rPr>
          <w:rFonts w:hint="eastAsia" w:ascii="宋体" w:hAnsi="宋体" w:cs="宋体"/>
          <w:szCs w:val="21"/>
          <w:shd w:val="clear" w:color="auto" w:fill="FFFFFF"/>
          <w:lang w:eastAsia="zh-CN"/>
        </w:rPr>
        <w:t>等在规定温度条件下的存放</w:t>
      </w:r>
      <w:r>
        <w:rPr>
          <w:rFonts w:hint="eastAsia" w:ascii="Arial" w:hAnsi="Arial" w:cs="Arial"/>
          <w:szCs w:val="21"/>
          <w:shd w:val="clear" w:color="auto" w:fill="FFFFFF"/>
          <w:lang w:eastAsia="zh-CN"/>
        </w:rPr>
        <w:t>。该设备应采用高精度控制器和高灵敏度传感器进行校准，保证箱内冷藏温度恒定控制在2～8℃，冷冻温度恒定控制在-20～-30℃；能够实现试剂等存放温度的实时监控和记录，具有多种报警功能和方式，使故障和异常情况能够得到及时提醒，保证存储物品的品质安全。</w:t>
      </w:r>
      <w:r>
        <w:rPr>
          <w:rFonts w:hint="eastAsia" w:ascii="宋体" w:hAnsi="宋体" w:cs="宋体"/>
          <w:szCs w:val="21"/>
          <w:shd w:val="clear" w:color="auto" w:fill="FFFFFF"/>
          <w:lang w:eastAsia="zh-CN"/>
        </w:rPr>
        <w:t>质量控制室需购买</w:t>
      </w:r>
      <w:r>
        <w:rPr>
          <w:rFonts w:hint="eastAsia" w:ascii="宋体" w:hAnsi="宋体" w:cs="宋体"/>
          <w:szCs w:val="21"/>
          <w:shd w:val="clear" w:color="auto" w:fill="FFFFFF"/>
          <w:lang w:val="en-US" w:eastAsia="zh-CN"/>
        </w:rPr>
        <w:t>4</w:t>
      </w:r>
      <w:r>
        <w:rPr>
          <w:rFonts w:hint="eastAsia" w:ascii="宋体" w:hAnsi="宋体" w:cs="宋体"/>
          <w:szCs w:val="21"/>
          <w:shd w:val="clear" w:color="auto" w:fill="FFFFFF"/>
          <w:lang w:eastAsia="zh-CN"/>
        </w:rPr>
        <w:t>台。</w:t>
      </w:r>
      <w:permEnd w:id="8"/>
    </w:p>
    <w:p>
      <w:pPr>
        <w:pStyle w:val="31"/>
        <w:numPr>
          <w:ilvl w:val="0"/>
          <w:numId w:val="3"/>
        </w:numPr>
        <w:spacing w:after="158" w:afterLines="50"/>
        <w:ind w:left="426" w:hanging="426" w:hangingChars="202"/>
        <w:outlineLvl w:val="0"/>
        <w:rPr>
          <w:rFonts w:ascii="Times New Roman" w:hAnsi="Times New Roman"/>
          <w:szCs w:val="21"/>
        </w:rPr>
      </w:pPr>
      <w:bookmarkStart w:id="22" w:name="_Toc522716120"/>
      <w:r>
        <w:rPr>
          <w:rFonts w:ascii="Times New Roman" w:hAnsi="Times New Roman"/>
          <w:b/>
          <w:szCs w:val="21"/>
        </w:rPr>
        <w:t>安装要求</w:t>
      </w:r>
      <w:bookmarkEnd w:id="22"/>
      <w:bookmarkStart w:id="47" w:name="_GoBack"/>
      <w:bookmarkEnd w:id="47"/>
      <w:permStart w:id="9" w:edGrp="everyone"/>
      <w:permEnd w:id="9"/>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2"/>
            <w:bookmarkStart w:id="24"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
                <w:color w:val="0070C0"/>
                <w:szCs w:val="21"/>
                <w:lang w:eastAsia="zh-CN"/>
              </w:rPr>
            </w:pPr>
            <w:r>
              <w:rPr>
                <w:rFonts w:hint="eastAsia"/>
                <w:szCs w:val="21"/>
                <w:lang w:val="en-US" w:eastAsia="zh-CN"/>
              </w:rPr>
              <w:t>本设备安装于质量控制室分子生物学检测区及病毒滴定室2。</w:t>
            </w:r>
          </w:p>
        </w:tc>
        <w:tc>
          <w:tcPr>
            <w:tcW w:w="2125" w:type="dxa"/>
            <w:shd w:val="clear" w:color="auto" w:fill="auto"/>
            <w:vAlign w:val="center"/>
          </w:tcPr>
          <w:p>
            <w:pPr>
              <w:jc w:val="both"/>
              <w:rPr>
                <w:i/>
                <w:szCs w:val="21"/>
                <w:lang w:eastAsia="zh-CN"/>
              </w:rPr>
            </w:pPr>
            <w:r>
              <w:rPr>
                <w:rFonts w:hint="eastAsia"/>
                <w:color w:val="000000"/>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外部尺寸不大于7</w:t>
            </w:r>
            <w:r>
              <w:rPr>
                <w:szCs w:val="21"/>
                <w:lang w:val="en-US" w:eastAsia="zh-CN"/>
              </w:rPr>
              <w:t>36</w:t>
            </w:r>
            <w:r>
              <w:rPr>
                <w:rFonts w:hint="eastAsia"/>
                <w:szCs w:val="21"/>
                <w:lang w:val="en-US" w:eastAsia="zh-CN"/>
              </w:rPr>
              <w:t>*</w:t>
            </w:r>
            <w:r>
              <w:rPr>
                <w:szCs w:val="21"/>
                <w:lang w:val="en-US" w:eastAsia="zh-CN"/>
              </w:rPr>
              <w:t>660</w:t>
            </w:r>
            <w:r>
              <w:rPr>
                <w:rFonts w:hint="eastAsia"/>
                <w:szCs w:val="21"/>
                <w:lang w:val="en-US" w:eastAsia="zh-CN"/>
              </w:rPr>
              <w:t>*</w:t>
            </w:r>
            <w:r>
              <w:rPr>
                <w:szCs w:val="21"/>
                <w:lang w:val="en-US" w:eastAsia="zh-CN"/>
              </w:rPr>
              <w:t>1810</w:t>
            </w:r>
            <w:r>
              <w:rPr>
                <w:rFonts w:hint="eastAsia"/>
                <w:szCs w:val="21"/>
                <w:lang w:val="en-US" w:eastAsia="zh-CN"/>
              </w:rPr>
              <w:t>mm</w:t>
            </w:r>
          </w:p>
        </w:tc>
        <w:tc>
          <w:tcPr>
            <w:tcW w:w="2125" w:type="dxa"/>
            <w:shd w:val="clear" w:color="auto" w:fill="auto"/>
            <w:vAlign w:val="center"/>
          </w:tcPr>
          <w:p>
            <w:pPr>
              <w:jc w:val="both"/>
              <w:rPr>
                <w:color w:val="FF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szCs w:val="21"/>
                <w:lang w:eastAsia="zh-CN"/>
              </w:rPr>
              <w:t>供应商必须给出设备选型方案及相应附件选型方案，并交给我公司使用部门及工程类部门审核。</w:t>
            </w:r>
            <w:r>
              <w:rPr>
                <w:rFonts w:hint="eastAsia"/>
                <w:szCs w:val="21"/>
                <w:lang w:val="en-US" w:eastAsia="zh-CN"/>
              </w:rPr>
              <w:t xml:space="preserve">                                                             </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i/>
                <w:color w:val="0070C0"/>
                <w:szCs w:val="21"/>
                <w:lang w:eastAsia="zh-CN"/>
              </w:rPr>
            </w:pPr>
            <w:r>
              <w:rPr>
                <w:rFonts w:hint="eastAsia" w:ascii="宋体" w:hAnsi="宋体"/>
                <w:color w:val="000000"/>
                <w:szCs w:val="21"/>
                <w:lang w:eastAsia="zh-CN"/>
              </w:rPr>
              <w:t>其重量不超出房间地面承重要求。</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rPr>
                <w:szCs w:val="21"/>
                <w:lang w:eastAsia="zh-CN"/>
              </w:rPr>
            </w:pPr>
            <w:permStart w:id="13" w:edGrp="everyone"/>
          </w:p>
        </w:tc>
        <w:tc>
          <w:tcPr>
            <w:tcW w:w="9253" w:type="dxa"/>
            <w:gridSpan w:val="2"/>
            <w:shd w:val="clear" w:color="auto" w:fill="auto"/>
            <w:vAlign w:val="center"/>
          </w:tcPr>
          <w:p>
            <w:pPr>
              <w:jc w:val="both"/>
              <w:rPr>
                <w:szCs w:val="21"/>
                <w:lang w:eastAsia="zh-CN"/>
              </w:rPr>
            </w:pPr>
            <w:r>
              <w:rPr>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szCs w:val="21"/>
                <w:lang w:eastAsia="zh-CN"/>
              </w:rPr>
            </w:pPr>
            <w:r>
              <w:rPr>
                <w:rFonts w:hint="eastAsia"/>
                <w:lang w:eastAsia="zh-CN"/>
              </w:rPr>
              <w:t>适用于我公司的</w:t>
            </w:r>
            <w:r>
              <w:rPr>
                <w:rFonts w:hint="eastAsia"/>
                <w:color w:val="000000"/>
                <w:lang w:eastAsia="zh-CN"/>
              </w:rPr>
              <w:t>工作环境温度：</w:t>
            </w:r>
            <w:r>
              <w:rPr>
                <w:lang w:eastAsia="zh-CN"/>
              </w:rPr>
              <w:t xml:space="preserve"> 10</w:t>
            </w:r>
            <w:r>
              <w:rPr>
                <w:rFonts w:hint="eastAsia" w:ascii="宋体" w:hAnsi="宋体" w:cs="宋体"/>
                <w:lang w:eastAsia="zh-CN"/>
              </w:rPr>
              <w:t>℃</w:t>
            </w:r>
            <w:r>
              <w:rPr>
                <w:rFonts w:hint="eastAsia"/>
                <w:lang w:eastAsia="zh-CN"/>
              </w:rPr>
              <w:t>～</w:t>
            </w:r>
            <w:r>
              <w:rPr>
                <w:lang w:eastAsia="zh-CN"/>
              </w:rPr>
              <w:t>30</w:t>
            </w:r>
            <w:r>
              <w:rPr>
                <w:rFonts w:hint="eastAsia" w:ascii="宋体" w:hAnsi="宋体" w:cs="宋体"/>
                <w:lang w:eastAsia="zh-CN"/>
              </w:rPr>
              <w:t>℃</w:t>
            </w:r>
            <w:r>
              <w:rPr>
                <w:rFonts w:hint="eastAsia"/>
                <w:lang w:eastAsia="zh-CN"/>
              </w:rPr>
              <w:t>环境</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szCs w:val="21"/>
                <w:lang w:eastAsia="zh-CN"/>
              </w:rPr>
            </w:pPr>
            <w:r>
              <w:rPr>
                <w:rFonts w:hint="eastAsia"/>
                <w:lang w:eastAsia="zh-CN"/>
              </w:rPr>
              <w:t>适用于我公司的</w:t>
            </w:r>
            <w:r>
              <w:rPr>
                <w:rFonts w:hint="eastAsia"/>
                <w:color w:val="000000"/>
                <w:lang w:eastAsia="zh-CN"/>
              </w:rPr>
              <w:t>工作环境湿度：</w:t>
            </w:r>
            <w:r>
              <w:rPr>
                <w:rFonts w:hint="eastAsia"/>
                <w:lang w:eastAsia="zh-CN"/>
              </w:rPr>
              <w:t>相对湿度≤80%</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color w:val="000000"/>
                <w:lang w:eastAsia="zh-CN"/>
              </w:rPr>
            </w:pPr>
            <w:r>
              <w:rPr>
                <w:rFonts w:hint="eastAsia"/>
                <w:color w:val="000000"/>
                <w:lang w:eastAsia="zh-CN"/>
              </w:rPr>
              <w:t>工作环境洁净级别：无特殊要求</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pStyle w:val="6"/>
              <w:rPr>
                <w:color w:val="000000"/>
                <w:lang w:val="en-US" w:eastAsia="zh-CN"/>
              </w:rPr>
            </w:pPr>
            <w:r>
              <w:rPr>
                <w:rFonts w:hint="eastAsia"/>
                <w:lang w:eastAsia="zh-CN"/>
              </w:rPr>
              <w:t>应</w:t>
            </w:r>
            <w:r>
              <w:rPr>
                <w:szCs w:val="21"/>
                <w:lang w:eastAsia="zh-CN"/>
              </w:rPr>
              <w:t>符合制造商说明书及技术文件规定的要求</w:t>
            </w:r>
            <w:r>
              <w:rPr>
                <w:rFonts w:hint="eastAsia"/>
                <w:szCs w:val="21"/>
                <w:lang w:eastAsia="zh-CN"/>
              </w:rPr>
              <w:t>。</w:t>
            </w:r>
            <w:r>
              <w:rPr>
                <w:color w:val="000000"/>
                <w:lang w:eastAsia="zh-CN"/>
              </w:rPr>
              <w:t>交流电电源</w:t>
            </w:r>
            <w:r>
              <w:rPr>
                <w:lang w:eastAsia="zh-CN"/>
              </w:rPr>
              <w:t>：</w:t>
            </w:r>
            <w:r>
              <w:rPr>
                <w:iCs/>
                <w:color w:val="000000" w:themeColor="text1"/>
                <w:lang w:eastAsia="zh-CN"/>
              </w:rPr>
              <w:t>220±10%V，50±1Hz</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i/>
                <w:color w:val="000000"/>
                <w:lang w:eastAsia="zh-CN"/>
              </w:rPr>
            </w:pPr>
            <w:r>
              <w:rPr>
                <w:rFonts w:hint="eastAsia"/>
                <w:szCs w:val="21"/>
                <w:lang w:val="en-US" w:eastAsia="zh-CN"/>
              </w:rPr>
              <w:t>医用冷藏冷冻箱为立式，单开门或双开门。</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外壳应至少用优质钢板构成，焊接应光滑，无锐边毛刺 、露底、起泡、起层或擦伤</w:t>
            </w:r>
            <w:r>
              <w:rPr>
                <w:rFonts w:hint="eastAsia" w:asciiTheme="majorEastAsia" w:hAnsiTheme="majorEastAsia" w:eastAsiaTheme="majorEastAsia"/>
                <w:szCs w:val="21"/>
                <w:lang w:val="en-US"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医用冷藏冷冻箱箱门与箱体应端正、牢固，开闭应灵活，拉手装备要端正。</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箱内应有照明灯，并设保护罩，由外置开关控制。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箱门为钢门体，具有避光性能。</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箱内胆应采用不锈钢材质，易于清洁与保养。</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箱体应有保温隔热结构，保证箱腔内工作温度稳定。</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箱门与箱体应密封效果良好且使用寿命长。</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r>
              <w:rPr>
                <w:rFonts w:hint="eastAsia" w:ascii="Times New Roman" w:hAnsi="Times New Roman"/>
                <w:szCs w:val="21"/>
              </w:rPr>
              <w:t>箱</w:t>
            </w: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制冷系统应为</w:t>
            </w:r>
            <w:r>
              <w:rPr>
                <w:rFonts w:hint="eastAsia" w:ascii="宋体" w:hAnsi="宋体"/>
                <w:szCs w:val="21"/>
                <w:lang w:eastAsia="zh-CN"/>
              </w:rPr>
              <w:t>知名品牌压缩机，环保制冷剂，</w:t>
            </w:r>
            <w:r>
              <w:rPr>
                <w:rFonts w:hint="eastAsia"/>
                <w:szCs w:val="21"/>
                <w:lang w:val="en-US" w:eastAsia="zh-CN"/>
              </w:rPr>
              <w:t>密封，任何部位制冷剂年泄漏量不得大于0.5g。</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箱体外配有调节设备各项功能的按键。</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箱体外应有温度显示时间显示或查询装置，能够实时查询核对时间，显示时间应至少包括年、月、日、小时及分钟</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r>
              <w:rPr>
                <w:rFonts w:hint="eastAsia" w:ascii="Times New Roman" w:hAnsi="Times New Roman"/>
                <w:szCs w:val="21"/>
              </w:rPr>
              <w:t>虚</w:t>
            </w: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箱外应有温度设置装置及冷藏冷冻双显示以及温度记录装置（冷藏区温度精确设置为0.1℃，冷冻区温度精确设置为1℃）。</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冷藏箱应配有</w:t>
            </w:r>
            <w:r>
              <w:rPr>
                <w:rFonts w:hint="eastAsia" w:ascii="宋体" w:hAnsi="宋体"/>
                <w:color w:val="000000"/>
                <w:kern w:val="2"/>
                <w:szCs w:val="21"/>
                <w:lang w:eastAsia="zh-CN"/>
              </w:rPr>
              <w:t>万向轮设计，带有制动功能，移动固定方便。</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w:t>
            </w:r>
            <w:r>
              <w:rPr>
                <w:rFonts w:hint="eastAsia"/>
                <w:szCs w:val="21"/>
                <w:lang w:eastAsia="zh-CN"/>
              </w:rPr>
              <w:t>气候类型</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r>
              <w:rPr>
                <w:rFonts w:hint="eastAsia"/>
                <w:szCs w:val="21"/>
                <w:lang w:eastAsia="zh-CN"/>
              </w:rPr>
              <w:t>，如有效容积，制冷剂名称及注入量等</w:t>
            </w:r>
            <w:r>
              <w:rPr>
                <w:szCs w:val="21"/>
                <w:lang w:eastAsia="zh-CN"/>
              </w:rPr>
              <w:t>；</w:t>
            </w:r>
          </w:p>
          <w:p>
            <w:pPr>
              <w:pStyle w:val="7"/>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125" w:type="dxa"/>
            <w:shd w:val="clear" w:color="auto" w:fill="auto"/>
            <w:vAlign w:val="center"/>
          </w:tcPr>
          <w:p>
            <w:pPr>
              <w:jc w:val="both"/>
              <w:rPr>
                <w:szCs w:val="21"/>
                <w:lang w:eastAsia="zh-CN"/>
              </w:rPr>
            </w:pPr>
            <w:r>
              <w:rPr>
                <w:rFonts w:hint="eastAsia"/>
                <w:szCs w:val="21"/>
                <w:lang w:eastAsia="zh-CN"/>
              </w:rPr>
              <w:t>关键</w:t>
            </w:r>
          </w:p>
        </w:tc>
      </w:tr>
      <w:bookmarkEnd w:id="23"/>
      <w:bookmarkEnd w:id="24"/>
      <w:permEnd w:id="18"/>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5" w:name="_Toc522716121"/>
      <w:bookmarkStart w:id="26" w:name="_Toc522107740"/>
      <w:r>
        <w:rPr>
          <w:rFonts w:ascii="Times New Roman" w:hAnsi="Times New Roman"/>
          <w:b/>
        </w:rPr>
        <w:t>运行要求</w:t>
      </w:r>
      <w:bookmarkEnd w:id="25"/>
      <w:bookmarkEnd w:id="26"/>
    </w:p>
    <w:p>
      <w:pPr>
        <w:pStyle w:val="41"/>
        <w:spacing w:before="0" w:line="360" w:lineRule="auto"/>
        <w:jc w:val="left"/>
        <w:rPr>
          <w:bCs/>
          <w:i/>
          <w:color w:val="4472C4"/>
          <w:kern w:val="44"/>
          <w:szCs w:val="21"/>
          <w:lang w:eastAsia="zh-CN"/>
        </w:rPr>
      </w:pPr>
      <w:permStart w:id="19" w:edGrp="everyone"/>
    </w:p>
    <w:permEnd w:id="19"/>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20"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1" w:edGrp="everyone"/>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冷藏室采用风冷，冷冻室采用直冷以保证冷藏室温度稳定，冷冻室快速降温，可通过设定温度使冷藏箱内温度保持在2～8℃、冷冻箱内温度保持在-20～-</w:t>
            </w:r>
            <w:r>
              <w:rPr>
                <w:rFonts w:hint="eastAsia" w:ascii="宋体" w:hAnsi="宋体"/>
                <w:szCs w:val="21"/>
                <w:lang w:val="en-US" w:eastAsia="zh-CN"/>
              </w:rPr>
              <w:t>3</w:t>
            </w:r>
            <w:r>
              <w:rPr>
                <w:rFonts w:hint="eastAsia" w:ascii="宋体" w:hAnsi="宋体"/>
                <w:szCs w:val="21"/>
                <w:lang w:eastAsia="zh-CN"/>
              </w:rPr>
              <w:t>0℃范围内。</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2" w:edGrp="everyone"/>
          </w:p>
        </w:tc>
        <w:tc>
          <w:tcPr>
            <w:tcW w:w="7128" w:type="dxa"/>
            <w:shd w:val="clear" w:color="auto" w:fill="auto"/>
            <w:vAlign w:val="center"/>
          </w:tcPr>
          <w:p>
            <w:pPr>
              <w:spacing w:line="276" w:lineRule="auto"/>
              <w:jc w:val="both"/>
              <w:rPr>
                <w:i/>
                <w:szCs w:val="21"/>
                <w:lang w:eastAsia="zh-CN"/>
              </w:rPr>
            </w:pPr>
            <w:r>
              <w:rPr>
                <w:rFonts w:hint="eastAsia"/>
                <w:color w:val="000000"/>
                <w:szCs w:val="21"/>
                <w:lang w:eastAsia="zh-CN"/>
              </w:rPr>
              <w:t>冷藏箱内有效容积不低于1</w:t>
            </w:r>
            <w:r>
              <w:rPr>
                <w:color w:val="000000"/>
                <w:szCs w:val="21"/>
                <w:lang w:eastAsia="zh-CN"/>
              </w:rPr>
              <w:t>85L</w:t>
            </w:r>
            <w:r>
              <w:rPr>
                <w:rFonts w:hint="eastAsia"/>
                <w:color w:val="000000"/>
                <w:szCs w:val="21"/>
                <w:lang w:eastAsia="zh-CN"/>
              </w:rPr>
              <w:t>。冷冻箱内有效容积不低于</w:t>
            </w:r>
            <w:r>
              <w:rPr>
                <w:color w:val="000000"/>
                <w:szCs w:val="21"/>
                <w:lang w:eastAsia="zh-CN"/>
              </w:rPr>
              <w:t>97L</w:t>
            </w:r>
            <w:r>
              <w:rPr>
                <w:rFonts w:hint="eastAsia"/>
                <w:color w:val="000000"/>
                <w:szCs w:val="21"/>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spacing w:line="276" w:lineRule="auto"/>
              <w:jc w:val="both"/>
              <w:rPr>
                <w:szCs w:val="21"/>
                <w:lang w:val="en-US" w:eastAsia="zh-CN"/>
              </w:rPr>
            </w:pPr>
            <w:r>
              <w:rPr>
                <w:rFonts w:hint="eastAsia"/>
                <w:color w:val="000000"/>
                <w:szCs w:val="21"/>
                <w:lang w:eastAsia="zh-CN"/>
              </w:rPr>
              <w:t>冷藏箱内温度设定为4℃，达到稳定运行状态后，箱内温度偏离不大于2℃。</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rFonts w:hint="eastAsia"/>
                <w:color w:val="000000"/>
                <w:szCs w:val="21"/>
                <w:lang w:eastAsia="zh-CN"/>
              </w:rPr>
              <w:t>在制冷机组启动两次之间温度最高值与最小值之差应不大于3℃。</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rFonts w:hint="eastAsia"/>
                <w:color w:val="000000"/>
                <w:szCs w:val="21"/>
                <w:lang w:eastAsia="zh-CN"/>
              </w:rPr>
              <w:t>温控单元应至少采用微电脑智能控制，数字式显示温度，冷藏箱示值精度至少为0.1℃。</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rFonts w:hint="eastAsia"/>
                <w:color w:val="000000"/>
                <w:szCs w:val="21"/>
                <w:lang w:eastAsia="zh-CN"/>
              </w:rPr>
              <w:t>在4℃±1℃的设定温度下，箱内各测量点的温度最大值与最小值之差不大于2℃。</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rFonts w:hint="eastAsia"/>
                <w:szCs w:val="21"/>
                <w:lang w:eastAsia="zh-CN"/>
              </w:rPr>
              <w:t>应具有绝热功能，在4℃±1℃稳定运行24小时后，冷藏箱外表面不得有凝露。</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工作期间，设备噪声不得大于6</w:t>
            </w:r>
            <w:r>
              <w:rPr>
                <w:rFonts w:hint="eastAsia"/>
                <w:szCs w:val="21"/>
                <w:lang w:val="en-US" w:eastAsia="zh-CN"/>
              </w:rPr>
              <w:t>0</w:t>
            </w:r>
            <w:r>
              <w:rPr>
                <w:rFonts w:hint="eastAsia"/>
                <w:szCs w:val="21"/>
                <w:lang w:eastAsia="zh-CN"/>
              </w:rPr>
              <w:t>dB</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Courier New" w:hAnsi="Courier New" w:cs="Courier New"/>
                <w:szCs w:val="21"/>
                <w:shd w:val="clear" w:color="auto" w:fill="FFFFFF"/>
                <w:lang w:eastAsia="zh-CN"/>
              </w:rPr>
              <w:t>箱门门与内室封闭良好，箱门的开启方式能有效避免操作者与高温面接触</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jc w:val="both"/>
              <w:rPr>
                <w:szCs w:val="21"/>
                <w:lang w:val="en-US" w:eastAsia="zh-CN"/>
              </w:rPr>
            </w:pPr>
            <w:r>
              <w:rPr>
                <w:rFonts w:hint="eastAsia" w:ascii="宋体" w:hAnsi="宋体"/>
                <w:color w:val="000000"/>
                <w:kern w:val="2"/>
                <w:szCs w:val="21"/>
                <w:lang w:val="en-US" w:eastAsia="zh-CN"/>
              </w:rPr>
              <w:t>N/A</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4"/>
    </w:tbl>
    <w:p>
      <w:pPr>
        <w:pStyle w:val="31"/>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370071"/>
      <w:bookmarkStart w:id="30" w:name="_Toc482359946"/>
      <w:bookmarkStart w:id="31" w:name="_Toc482369815"/>
      <w:bookmarkStart w:id="32" w:name="_Toc482717202"/>
      <w:bookmarkStart w:id="33" w:name="_Toc482370151"/>
      <w:bookmarkStart w:id="34" w:name="_Toc482370359"/>
      <w:bookmarkStart w:id="35" w:name="_Toc482370767"/>
      <w:bookmarkStart w:id="36" w:name="_Toc483400317"/>
      <w:bookmarkStart w:id="37" w:name="_Toc481702480"/>
      <w:bookmarkStart w:id="38" w:name="_Toc482360291"/>
      <w:bookmarkStart w:id="39" w:name="_Toc483227237"/>
      <w:bookmarkStart w:id="40" w:name="_Toc482625289"/>
      <w:r>
        <w:rPr>
          <w:rFonts w:ascii="Times New Roman" w:hAnsi="Times New Roman"/>
          <w:b/>
        </w:rPr>
        <w:t>电气、自动控制要求</w:t>
      </w:r>
      <w:bookmarkEnd w:id="27"/>
    </w:p>
    <w:p>
      <w:pPr>
        <w:pStyle w:val="41"/>
        <w:spacing w:before="0" w:line="360" w:lineRule="auto"/>
        <w:ind w:left="425"/>
        <w:jc w:val="left"/>
        <w:rPr>
          <w:i/>
          <w:color w:val="4472C4"/>
          <w:szCs w:val="21"/>
          <w:lang w:eastAsia="zh-CN"/>
        </w:rPr>
      </w:pPr>
      <w:permStart w:id="25" w:edGrp="everyone"/>
    </w:p>
    <w:permEnd w:id="25"/>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39"/>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6" w:edGrp="everyone"/>
          </w:p>
        </w:tc>
        <w:tc>
          <w:tcPr>
            <w:tcW w:w="7128" w:type="dxa"/>
            <w:shd w:val="clear" w:color="auto" w:fill="auto"/>
            <w:vAlign w:val="center"/>
          </w:tcPr>
          <w:p>
            <w:pPr>
              <w:spacing w:line="276" w:lineRule="auto"/>
              <w:jc w:val="both"/>
              <w:rPr>
                <w:iCs/>
                <w:szCs w:val="21"/>
                <w:lang w:val="en-US" w:eastAsia="zh-CN"/>
              </w:rPr>
            </w:pPr>
            <w:r>
              <w:rPr>
                <w:rFonts w:hint="eastAsia"/>
                <w:szCs w:val="21"/>
                <w:lang w:eastAsia="zh-CN"/>
              </w:rPr>
              <w:t>应</w:t>
            </w:r>
            <w:r>
              <w:rPr>
                <w:rFonts w:hint="eastAsia"/>
                <w:szCs w:val="21"/>
                <w:lang w:val="en-US" w:eastAsia="zh-CN"/>
              </w:rPr>
              <w:t>配有无电压警报触点端口，可将警报转发到外部远程警告装置。</w:t>
            </w:r>
          </w:p>
        </w:tc>
        <w:tc>
          <w:tcPr>
            <w:tcW w:w="2125" w:type="dxa"/>
            <w:gridSpan w:val="2"/>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iCs/>
                <w:szCs w:val="21"/>
                <w:lang w:eastAsia="zh-CN"/>
              </w:rPr>
              <w:t>连接电源状态下，停电恢复后能自动延迟启动。</w:t>
            </w:r>
          </w:p>
        </w:tc>
        <w:tc>
          <w:tcPr>
            <w:tcW w:w="2125" w:type="dxa"/>
            <w:gridSpan w:val="2"/>
            <w:shd w:val="clear" w:color="auto" w:fill="auto"/>
            <w:vAlign w:val="center"/>
          </w:tcPr>
          <w:p>
            <w:pPr>
              <w:jc w:val="both"/>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numPr>
                <w:ilvl w:val="0"/>
                <w:numId w:val="7"/>
              </w:numPr>
              <w:ind w:left="470" w:hanging="120" w:firstLineChars="0"/>
              <w:rPr>
                <w:rFonts w:ascii="Times New Roman" w:hAnsi="Times New Roman"/>
                <w:szCs w:val="21"/>
              </w:rPr>
            </w:pPr>
            <w:permStart w:id="27" w:edGrp="everyone"/>
          </w:p>
        </w:tc>
        <w:tc>
          <w:tcPr>
            <w:tcW w:w="7167" w:type="dxa"/>
            <w:gridSpan w:val="2"/>
            <w:shd w:val="clear" w:color="auto" w:fill="auto"/>
            <w:vAlign w:val="center"/>
          </w:tcPr>
          <w:p>
            <w:pPr>
              <w:spacing w:line="276" w:lineRule="auto"/>
              <w:jc w:val="both"/>
              <w:rPr>
                <w:iCs/>
                <w:szCs w:val="21"/>
                <w:lang w:eastAsia="zh-CN"/>
              </w:rPr>
            </w:pPr>
            <w:r>
              <w:rPr>
                <w:rFonts w:hint="eastAsia"/>
                <w:szCs w:val="21"/>
                <w:lang w:eastAsia="zh-CN"/>
              </w:rPr>
              <w:t>温度记录应配置打印装置，可设置温度记录打印时间间隔，可实现实时打印，定义时间段打印。温度显示至小数点后1位。</w:t>
            </w:r>
          </w:p>
        </w:tc>
        <w:tc>
          <w:tcPr>
            <w:tcW w:w="2086" w:type="dxa"/>
            <w:shd w:val="clear" w:color="auto" w:fill="auto"/>
            <w:vAlign w:val="center"/>
          </w:tcPr>
          <w:p>
            <w:pPr>
              <w:jc w:val="both"/>
              <w:rPr>
                <w:color w:val="FF0000"/>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numPr>
                <w:ilvl w:val="0"/>
                <w:numId w:val="7"/>
              </w:numPr>
              <w:ind w:left="470" w:hanging="120" w:firstLineChars="0"/>
              <w:rPr>
                <w:rFonts w:ascii="Times New Roman" w:hAnsi="Times New Roman"/>
                <w:szCs w:val="21"/>
              </w:rPr>
            </w:pPr>
          </w:p>
        </w:tc>
        <w:tc>
          <w:tcPr>
            <w:tcW w:w="7167" w:type="dxa"/>
            <w:gridSpan w:val="2"/>
            <w:shd w:val="clear" w:color="auto" w:fill="auto"/>
            <w:vAlign w:val="center"/>
          </w:tcPr>
          <w:p>
            <w:pPr>
              <w:spacing w:line="276" w:lineRule="auto"/>
              <w:jc w:val="both"/>
              <w:rPr>
                <w:iCs/>
                <w:szCs w:val="21"/>
                <w:lang w:eastAsia="zh-CN"/>
              </w:rPr>
            </w:pPr>
            <w:r>
              <w:rPr>
                <w:rFonts w:hint="eastAsia"/>
                <w:szCs w:val="21"/>
                <w:lang w:eastAsia="zh-CN"/>
              </w:rPr>
              <w:t>自动保存的数据至少包括连续的温度监测数据及曲线，且记录保存格式应为不可修改的格式，</w:t>
            </w:r>
            <w:r>
              <w:rPr>
                <w:szCs w:val="21"/>
                <w:lang w:eastAsia="zh-CN"/>
              </w:rPr>
              <w:t xml:space="preserve"> </w:t>
            </w:r>
            <w:r>
              <w:rPr>
                <w:rFonts w:hint="eastAsia"/>
                <w:szCs w:val="21"/>
                <w:lang w:eastAsia="zh-CN"/>
              </w:rPr>
              <w:t>并可查询</w:t>
            </w:r>
          </w:p>
        </w:tc>
        <w:tc>
          <w:tcPr>
            <w:tcW w:w="2086" w:type="dxa"/>
            <w:shd w:val="clear" w:color="auto" w:fill="auto"/>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numPr>
                <w:ilvl w:val="0"/>
                <w:numId w:val="7"/>
              </w:numPr>
              <w:ind w:left="470" w:hanging="120" w:firstLineChars="0"/>
              <w:rPr>
                <w:rFonts w:ascii="Times New Roman" w:hAnsi="Times New Roman"/>
                <w:szCs w:val="21"/>
              </w:rPr>
            </w:pPr>
          </w:p>
        </w:tc>
        <w:tc>
          <w:tcPr>
            <w:tcW w:w="7167" w:type="dxa"/>
            <w:gridSpan w:val="2"/>
            <w:shd w:val="clear" w:color="auto" w:fill="auto"/>
            <w:vAlign w:val="center"/>
          </w:tcPr>
          <w:p>
            <w:pPr>
              <w:spacing w:line="276" w:lineRule="auto"/>
              <w:jc w:val="both"/>
              <w:rPr>
                <w:iCs/>
                <w:szCs w:val="21"/>
                <w:lang w:eastAsia="zh-CN"/>
              </w:rPr>
            </w:pPr>
            <w:r>
              <w:rPr>
                <w:rFonts w:hint="eastAsia"/>
                <w:szCs w:val="21"/>
                <w:lang w:eastAsia="zh-CN"/>
              </w:rPr>
              <w:t>数据保存应满足至少</w:t>
            </w:r>
            <w:r>
              <w:rPr>
                <w:rFonts w:ascii="宋体" w:hAnsi="宋体"/>
                <w:color w:val="000000"/>
                <w:kern w:val="2"/>
                <w:szCs w:val="21"/>
                <w:lang w:eastAsia="zh-CN"/>
              </w:rPr>
              <w:t>3</w:t>
            </w:r>
            <w:r>
              <w:rPr>
                <w:rFonts w:hint="eastAsia" w:ascii="宋体" w:hAnsi="宋体"/>
                <w:color w:val="000000"/>
                <w:kern w:val="2"/>
                <w:szCs w:val="21"/>
                <w:lang w:eastAsia="zh-CN"/>
              </w:rPr>
              <w:t>年</w:t>
            </w:r>
            <w:r>
              <w:rPr>
                <w:rFonts w:hint="eastAsia"/>
                <w:szCs w:val="21"/>
                <w:lang w:eastAsia="zh-CN"/>
              </w:rPr>
              <w:t>的电子数据的本地存储，</w:t>
            </w:r>
            <w:r>
              <w:rPr>
                <w:rFonts w:hint="eastAsia" w:asciiTheme="minorEastAsia" w:hAnsiTheme="minorEastAsia" w:eastAsiaTheme="minorEastAsia"/>
                <w:szCs w:val="21"/>
                <w:lang w:eastAsia="zh-CN"/>
              </w:rPr>
              <w:t>配置USB数据接口，存储的数据可</w:t>
            </w:r>
            <w:r>
              <w:rPr>
                <w:rFonts w:hint="eastAsia" w:asciiTheme="minorEastAsia" w:hAnsiTheme="minorEastAsia" w:eastAsiaTheme="minorEastAsia"/>
                <w:color w:val="000000"/>
                <w:kern w:val="2"/>
                <w:szCs w:val="21"/>
                <w:lang w:eastAsia="zh-CN"/>
              </w:rPr>
              <w:t>导出</w:t>
            </w:r>
            <w:r>
              <w:rPr>
                <w:rFonts w:hint="eastAsia" w:asciiTheme="minorEastAsia" w:hAnsiTheme="minorEastAsia" w:eastAsiaTheme="minorEastAsia"/>
                <w:szCs w:val="21"/>
                <w:lang w:eastAsia="zh-CN"/>
              </w:rPr>
              <w:t>，</w:t>
            </w:r>
            <w:r>
              <w:rPr>
                <w:rFonts w:hint="eastAsia" w:asciiTheme="minorEastAsia" w:hAnsiTheme="minorEastAsia" w:eastAsiaTheme="minorEastAsia"/>
                <w:color w:val="000000"/>
                <w:kern w:val="2"/>
                <w:szCs w:val="21"/>
                <w:lang w:eastAsia="zh-CN"/>
              </w:rPr>
              <w:t>存储为不可修改格式</w:t>
            </w:r>
            <w:r>
              <w:rPr>
                <w:rFonts w:hint="eastAsia" w:asciiTheme="minorEastAsia" w:hAnsiTheme="minorEastAsia" w:eastAsiaTheme="minorEastAsia"/>
                <w:szCs w:val="21"/>
                <w:lang w:eastAsia="zh-CN"/>
              </w:rPr>
              <w:t>。</w:t>
            </w:r>
          </w:p>
        </w:tc>
        <w:tc>
          <w:tcPr>
            <w:tcW w:w="2086" w:type="dxa"/>
            <w:shd w:val="clear" w:color="auto" w:fill="auto"/>
            <w:vAlign w:val="center"/>
          </w:tcPr>
          <w:p>
            <w:pPr>
              <w:jc w:val="both"/>
              <w:rPr>
                <w:szCs w:val="21"/>
                <w:lang w:eastAsia="zh-CN"/>
              </w:rPr>
            </w:pPr>
            <w:r>
              <w:rPr>
                <w:rFonts w:hint="eastAsia"/>
                <w:szCs w:val="21"/>
                <w:lang w:eastAsia="zh-CN"/>
              </w:rPr>
              <w:t>期望</w:t>
            </w:r>
          </w:p>
        </w:tc>
      </w:tr>
      <w:permEnd w:id="27"/>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p>
      <w:pPr>
        <w:pStyle w:val="41"/>
        <w:spacing w:before="0" w:line="360" w:lineRule="auto"/>
        <w:ind w:left="357"/>
        <w:jc w:val="left"/>
        <w:rPr>
          <w:i/>
          <w:color w:val="4472C4"/>
          <w:szCs w:val="21"/>
          <w:lang w:eastAsia="zh-CN"/>
        </w:rPr>
      </w:pPr>
      <w:permStart w:id="28" w:edGrp="everyone"/>
    </w:p>
    <w:permEnd w:id="28"/>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29" w:edGrp="everyone"/>
          </w:p>
        </w:tc>
        <w:tc>
          <w:tcPr>
            <w:tcW w:w="9253" w:type="dxa"/>
            <w:gridSpan w:val="2"/>
            <w:shd w:val="clear" w:color="auto" w:fill="auto"/>
            <w:vAlign w:val="center"/>
          </w:tcPr>
          <w:p>
            <w:pPr>
              <w:jc w:val="both"/>
              <w:rPr>
                <w:szCs w:val="21"/>
                <w:lang w:eastAsia="zh-CN"/>
              </w:rPr>
            </w:pPr>
            <w:r>
              <w:rPr>
                <w:rFonts w:hint="eastAsia"/>
                <w:color w:val="000000"/>
                <w:szCs w:val="21"/>
                <w:lang w:eastAsia="zh-CN"/>
              </w:rPr>
              <w:t>安全门锁设计，防止随意开启</w:t>
            </w:r>
            <w:r>
              <w:rPr>
                <w:rFonts w:hint="eastAsia" w:asciiTheme="minorEastAsia" w:hAnsiTheme="minorEastAsia" w:eastAsiaTheme="minorEastAsia"/>
                <w:szCs w:val="21"/>
                <w:lang w:eastAsia="zh-CN"/>
              </w:rPr>
              <w:t>。</w:t>
            </w:r>
            <w:r>
              <w:rPr>
                <w:rFonts w:hint="eastAsia"/>
                <w:color w:val="000000"/>
                <w:szCs w:val="21"/>
                <w:lang w:eastAsia="zh-CN"/>
              </w:rPr>
              <w:t xml:space="preserve">.                                                                                                  </w:t>
            </w: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shd w:val="pct10" w:color="auto" w:fill="FFFFFF"/>
              </w:rPr>
            </w:pPr>
            <w:permStart w:id="30"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30"/>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p>
      <w:pPr>
        <w:pStyle w:val="41"/>
        <w:spacing w:before="0" w:line="360" w:lineRule="auto"/>
        <w:ind w:left="357"/>
        <w:jc w:val="left"/>
        <w:rPr>
          <w:i/>
          <w:szCs w:val="21"/>
          <w:lang w:eastAsia="zh-CN"/>
        </w:rPr>
      </w:pPr>
      <w:permStart w:id="31" w:edGrp="everyone"/>
    </w:p>
    <w:permEnd w:id="31"/>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shd w:val="clear" w:color="auto" w:fill="auto"/>
            <w:vAlign w:val="center"/>
          </w:tcPr>
          <w:p>
            <w:pPr>
              <w:jc w:val="both"/>
              <w:rPr>
                <w:szCs w:val="21"/>
                <w:lang w:eastAsia="zh-CN"/>
              </w:rPr>
            </w:pPr>
            <w:r>
              <w:rPr>
                <w:szCs w:val="21"/>
                <w:lang w:eastAsia="zh-CN"/>
              </w:rPr>
              <w:t xml:space="preserve"> </w:t>
            </w:r>
            <w:r>
              <w:rPr>
                <w:rFonts w:hint="eastAsia"/>
                <w:szCs w:val="21"/>
                <w:lang w:eastAsia="zh-CN"/>
              </w:rPr>
              <w:t>整机运行及维护手册应为中文，纸质文件至少一式三份，</w:t>
            </w:r>
            <w:r>
              <w:rPr>
                <w:rFonts w:hint="eastAsia" w:hAnsi="宋体"/>
                <w:szCs w:val="21"/>
                <w:u w:color="333333"/>
                <w:lang w:eastAsia="zh-CN"/>
              </w:rPr>
              <w:t>电子版</w:t>
            </w:r>
            <w:r>
              <w:rPr>
                <w:rFonts w:hint="eastAsia"/>
                <w:szCs w:val="21"/>
                <w:lang w:eastAsia="zh-CN"/>
              </w:rPr>
              <w:t>至少一份</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cs="宋体"/>
                <w:szCs w:val="21"/>
                <w:lang w:eastAsia="zh-CN"/>
              </w:rPr>
              <w:t>投标文件、合同、订单及</w:t>
            </w:r>
            <w:r>
              <w:rPr>
                <w:rFonts w:hint="eastAsia" w:ascii="宋体" w:hAnsi="宋体" w:cs="宋体"/>
                <w:szCs w:val="21"/>
                <w:u w:color="333333"/>
                <w:lang w:val="zh-TW" w:eastAsia="zh-TW"/>
              </w:rPr>
              <w:t>设备交付计划表</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jc w:val="both"/>
              <w:rPr>
                <w:szCs w:val="21"/>
                <w:lang w:eastAsia="zh-CN"/>
              </w:rPr>
            </w:pPr>
            <w:r>
              <w:rPr>
                <w:rFonts w:hint="eastAsia"/>
                <w:szCs w:val="21"/>
                <w:lang w:eastAsia="zh-CN"/>
              </w:rPr>
              <w:t>生产商发运清单及所有单元配件及其组合的检验报告和证书标识等</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hAnsi="宋体"/>
                <w:szCs w:val="21"/>
                <w:u w:color="333333"/>
                <w:lang w:val="zh-TW" w:eastAsia="zh-TW"/>
              </w:rPr>
              <w:t>设计选型文件：</w:t>
            </w:r>
            <w:r>
              <w:rPr>
                <w:rFonts w:hint="eastAsia" w:hAnsi="宋体"/>
                <w:szCs w:val="21"/>
                <w:u w:color="333333"/>
                <w:lang w:val="zh-TW" w:eastAsia="zh-CN"/>
              </w:rPr>
              <w:t>功能</w:t>
            </w:r>
            <w:r>
              <w:rPr>
                <w:rFonts w:hint="eastAsia" w:hAnsi="宋体"/>
                <w:szCs w:val="21"/>
                <w:u w:color="333333"/>
                <w:lang w:val="zh-TW" w:eastAsia="zh-TW"/>
              </w:rPr>
              <w:t>说明</w:t>
            </w:r>
            <w:r>
              <w:rPr>
                <w:rFonts w:hint="eastAsia" w:hAnsi="宋体"/>
                <w:szCs w:val="21"/>
                <w:u w:color="333333"/>
                <w:lang w:val="zh-TW" w:eastAsia="zh-CN"/>
              </w:rPr>
              <w:t>、</w:t>
            </w:r>
            <w:r>
              <w:rPr>
                <w:rFonts w:hint="eastAsia" w:hAnsi="宋体"/>
                <w:szCs w:val="21"/>
                <w:u w:color="333333"/>
                <w:lang w:val="zh-TW" w:eastAsia="zh-TW"/>
              </w:rPr>
              <w:t>软硬件设计说明</w:t>
            </w:r>
            <w:r>
              <w:rPr>
                <w:rFonts w:hint="eastAsia" w:hAnsi="宋体"/>
                <w:szCs w:val="21"/>
                <w:u w:color="333333"/>
                <w:lang w:val="zh-TW" w:eastAsia="zh-CN"/>
              </w:rPr>
              <w:t>、</w:t>
            </w:r>
            <w:r>
              <w:rPr>
                <w:rFonts w:hint="eastAsia" w:hAnsi="宋体"/>
                <w:szCs w:val="21"/>
                <w:u w:color="333333"/>
                <w:lang w:val="zh-TW" w:eastAsia="zh-TW"/>
              </w:rPr>
              <w:t>配置清单与说明</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图纸：实物图；各种验证、维修等活动所需的电子版及打印版设备布局图、设备尺寸图、设备局部图（与功能相关的细节图）、安装图、</w:t>
            </w:r>
            <w:r>
              <w:rPr>
                <w:szCs w:val="21"/>
                <w:lang w:eastAsia="zh-CN"/>
              </w:rPr>
              <w:t>P&amp;ID</w:t>
            </w:r>
            <w:r>
              <w:rPr>
                <w:rFonts w:hint="eastAsia"/>
                <w:szCs w:val="21"/>
                <w:lang w:eastAsia="zh-CN"/>
              </w:rPr>
              <w:t>图、控制原理图、</w:t>
            </w:r>
            <w:r>
              <w:rPr>
                <w:rFonts w:hint="eastAsia" w:ascii="宋体" w:hAnsi="宋体"/>
                <w:lang w:eastAsia="zh-CN"/>
              </w:rPr>
              <w:t>电气原理图、控制仪表图、控制系统电气图等</w:t>
            </w:r>
            <w:r>
              <w:rPr>
                <w:rFonts w:hint="eastAsia"/>
                <w:szCs w:val="21"/>
                <w:lang w:eastAsia="zh-CN"/>
              </w:rPr>
              <w:t>图纸清单。提供设备及其零部件使用寿命清单。</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组件清单、易损件清单、备件、消耗品清单：包括名称、编号、对应厂家名称、生产地、规格、使用寿命及必要说明</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hAnsi="宋体"/>
                <w:szCs w:val="21"/>
                <w:u w:color="333333"/>
                <w:lang w:val="zh-TW" w:eastAsia="zh-TW"/>
              </w:rPr>
              <w:t>设备操作手册（</w:t>
            </w:r>
            <w:r>
              <w:rPr>
                <w:szCs w:val="21"/>
                <w:u w:color="333333"/>
                <w:lang w:eastAsia="zh-CN"/>
              </w:rPr>
              <w:t>SOP</w:t>
            </w:r>
            <w:r>
              <w:rPr>
                <w:rFonts w:hint="eastAsia" w:hAnsi="宋体"/>
                <w:szCs w:val="21"/>
                <w:u w:color="333333"/>
                <w:lang w:val="zh-TW" w:eastAsia="zh-TW"/>
              </w:rPr>
              <w:t>）：语言为中文，应说明设备维护内容、校准周期，并能提供校准服务</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val="en-US" w:eastAsia="zh-CN"/>
              </w:rPr>
            </w:pPr>
            <w:r>
              <w:rPr>
                <w:rFonts w:hint="eastAsia" w:hAnsi="宋体"/>
                <w:szCs w:val="21"/>
                <w:u w:color="333333"/>
                <w:lang w:val="en-US" w:eastAsia="zh-CN"/>
              </w:rPr>
              <w:t>货到后由供应商提供</w:t>
            </w:r>
            <w:r>
              <w:rPr>
                <w:rFonts w:hint="eastAsia" w:hAnsi="宋体"/>
                <w:szCs w:val="21"/>
                <w:u w:color="333333"/>
                <w:lang w:eastAsia="zh-TW"/>
              </w:rPr>
              <w:t>有资质的第三方检测机构出具的</w:t>
            </w:r>
            <w:r>
              <w:rPr>
                <w:rFonts w:hint="eastAsia" w:hAnsi="宋体"/>
                <w:szCs w:val="21"/>
                <w:u w:color="333333"/>
                <w:lang w:val="zh-TW" w:eastAsia="zh-TW"/>
              </w:rPr>
              <w:t>首次校验报告及计量证书</w:t>
            </w:r>
            <w:r>
              <w:rPr>
                <w:rFonts w:hint="eastAsia" w:hAnsi="宋体"/>
                <w:szCs w:val="21"/>
                <w:u w:color="333333"/>
                <w:lang w:val="zh-TW" w:eastAsia="zh-CN"/>
              </w:rPr>
              <w:t>，</w:t>
            </w:r>
            <w:r>
              <w:rPr>
                <w:rFonts w:hint="eastAsia" w:hAnsi="宋体"/>
                <w:szCs w:val="21"/>
                <w:u w:color="333333"/>
                <w:lang w:eastAsia="zh-TW"/>
              </w:rPr>
              <w:t>设备到厂验收时有效期不得少于</w:t>
            </w:r>
            <w:r>
              <w:rPr>
                <w:rFonts w:hAnsi="宋体"/>
                <w:szCs w:val="21"/>
                <w:u w:color="333333"/>
                <w:lang w:eastAsia="zh-TW"/>
              </w:rPr>
              <w:t>6</w:t>
            </w:r>
            <w:r>
              <w:rPr>
                <w:rFonts w:hint="eastAsia" w:hAnsi="宋体"/>
                <w:szCs w:val="21"/>
                <w:u w:color="333333"/>
                <w:lang w:eastAsia="zh-TW"/>
              </w:rPr>
              <w:t>个月</w:t>
            </w:r>
            <w:r>
              <w:rPr>
                <w:rFonts w:hint="eastAsia" w:hAnsi="宋体"/>
                <w:szCs w:val="21"/>
                <w:u w:color="333333"/>
                <w:lang w:val="en-US"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eastAsia="zh-CN"/>
              </w:rPr>
            </w:pPr>
            <w:r>
              <w:rPr>
                <w:rFonts w:hint="eastAsia" w:hAnsi="宋体"/>
                <w:szCs w:val="21"/>
                <w:u w:color="333333"/>
                <w:lang w:val="zh-TW" w:eastAsia="zh-TW"/>
              </w:rPr>
              <w:t>安全报告</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eastAsia="zh-TW"/>
              </w:rPr>
            </w:pPr>
            <w:r>
              <w:rPr>
                <w:rFonts w:hint="eastAsia" w:hAnsi="宋体"/>
                <w:szCs w:val="21"/>
                <w:u w:color="333333"/>
                <w:lang w:val="zh-TW" w:eastAsia="zh-TW"/>
              </w:rPr>
              <w:t>材质证书（写明材料有效期）</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eastAsia="zh-TW"/>
              </w:rPr>
            </w:pPr>
            <w:r>
              <w:rPr>
                <w:rFonts w:hint="eastAsia" w:hAnsi="宋体"/>
                <w:szCs w:val="21"/>
                <w:u w:color="333333"/>
                <w:lang w:eastAsia="zh-TW"/>
              </w:rPr>
              <w:t>现场验收测试</w:t>
            </w:r>
            <w:r>
              <w:rPr>
                <w:rFonts w:hint="eastAsia" w:hAnsi="宋体"/>
                <w:szCs w:val="21"/>
                <w:u w:color="333333"/>
                <w:lang w:eastAsia="zh-CN"/>
              </w:rPr>
              <w:t>（SAT）报告</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eastAsia="zh-TW"/>
              </w:rPr>
            </w:pPr>
            <w:r>
              <w:rPr>
                <w:rFonts w:hint="eastAsia" w:ascii="宋体" w:hAnsi="宋体"/>
                <w:szCs w:val="21"/>
                <w:lang w:eastAsia="zh-CN"/>
              </w:rPr>
              <w:t>设备厂家文件：</w:t>
            </w:r>
            <w:r>
              <w:rPr>
                <w:rFonts w:hint="eastAsia" w:ascii="宋体" w:hAnsi="宋体" w:cs="宋体"/>
                <w:szCs w:val="21"/>
                <w:lang w:eastAsia="zh-CN"/>
              </w:rPr>
              <w:t>出厂测试合格证、说明书、</w:t>
            </w:r>
            <w:r>
              <w:rPr>
                <w:rFonts w:hint="eastAsia" w:ascii="宋体" w:hAnsi="宋体"/>
                <w:szCs w:val="21"/>
                <w:lang w:eastAsia="zh-CN"/>
              </w:rPr>
              <w:t>相关检测报告、各种标示。</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eastAsia="zh-TW"/>
              </w:rPr>
            </w:pPr>
            <w:r>
              <w:rPr>
                <w:rFonts w:hint="eastAsia" w:hAnsi="宋体"/>
                <w:szCs w:val="21"/>
                <w:u w:color="333333"/>
                <w:lang w:val="zh-TW" w:eastAsia="zh-TW"/>
              </w:rPr>
              <w:t>调试文件：调试计划（调试说明、调试清单、现场验收测试、保修信息、培训计划等），总测试计划，检查计划，检测清单，各测试结果，调试总结报告等。</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u w:color="333333"/>
                <w:lang w:eastAsia="zh-TW"/>
              </w:rPr>
            </w:pPr>
            <w:r>
              <w:rPr>
                <w:rFonts w:hint="eastAsia" w:hAnsi="宋体"/>
                <w:szCs w:val="21"/>
                <w:u w:color="333333"/>
                <w:lang w:val="zh-TW" w:eastAsia="zh-TW"/>
              </w:rPr>
              <w:t>验证文件：</w:t>
            </w:r>
            <w:r>
              <w:rPr>
                <w:rFonts w:hint="eastAsia" w:hAnsi="宋体"/>
                <w:szCs w:val="21"/>
                <w:u w:color="333333"/>
                <w:lang w:eastAsia="zh-TW"/>
              </w:rPr>
              <w:t>应在合同签订后设备发运前交付审核</w:t>
            </w:r>
          </w:p>
          <w:p>
            <w:pPr>
              <w:rPr>
                <w:szCs w:val="21"/>
                <w:lang w:eastAsia="zh-CN"/>
              </w:rPr>
            </w:pPr>
            <w:r>
              <w:rPr>
                <w:rFonts w:hint="eastAsia"/>
                <w:szCs w:val="21"/>
                <w:lang w:eastAsia="zh-CN"/>
              </w:rPr>
              <w:t>（1）满足</w:t>
            </w:r>
            <w:r>
              <w:rPr>
                <w:szCs w:val="21"/>
                <w:lang w:eastAsia="zh-CN"/>
              </w:rPr>
              <w:t>GMP</w:t>
            </w:r>
            <w:r>
              <w:rPr>
                <w:rFonts w:hint="eastAsia"/>
                <w:szCs w:val="21"/>
                <w:lang w:eastAsia="zh-CN"/>
              </w:rPr>
              <w:t>相关法规的评估文件</w:t>
            </w:r>
          </w:p>
          <w:p>
            <w:pPr>
              <w:rPr>
                <w:szCs w:val="21"/>
                <w:lang w:eastAsia="zh-CN"/>
              </w:rPr>
            </w:pPr>
            <w:r>
              <w:rPr>
                <w:rFonts w:hint="eastAsia"/>
                <w:szCs w:val="21"/>
                <w:lang w:eastAsia="zh-CN"/>
              </w:rPr>
              <w:t>（2）设计确认及文件（</w:t>
            </w:r>
            <w:r>
              <w:rPr>
                <w:szCs w:val="21"/>
                <w:lang w:eastAsia="zh-CN"/>
              </w:rPr>
              <w:t>DQ</w:t>
            </w:r>
            <w:r>
              <w:rPr>
                <w:rFonts w:hint="eastAsia"/>
                <w:szCs w:val="21"/>
                <w:lang w:eastAsia="zh-CN"/>
              </w:rPr>
              <w:t>），</w:t>
            </w:r>
          </w:p>
          <w:p>
            <w:pPr>
              <w:rPr>
                <w:szCs w:val="21"/>
                <w:lang w:eastAsia="zh-CN"/>
              </w:rPr>
            </w:pPr>
            <w:r>
              <w:rPr>
                <w:rFonts w:hint="eastAsia"/>
                <w:szCs w:val="21"/>
                <w:lang w:eastAsia="zh-CN"/>
              </w:rPr>
              <w:t>（3）安装确认及文件（</w:t>
            </w:r>
            <w:r>
              <w:rPr>
                <w:szCs w:val="21"/>
                <w:lang w:eastAsia="zh-CN"/>
              </w:rPr>
              <w:t>IQ</w:t>
            </w:r>
            <w:r>
              <w:rPr>
                <w:rFonts w:hint="eastAsia"/>
                <w:szCs w:val="21"/>
                <w:lang w:eastAsia="zh-CN"/>
              </w:rPr>
              <w:t>）；</w:t>
            </w:r>
          </w:p>
          <w:p>
            <w:pPr>
              <w:rPr>
                <w:szCs w:val="21"/>
                <w:lang w:eastAsia="zh-CN"/>
              </w:rPr>
            </w:pPr>
            <w:r>
              <w:rPr>
                <w:rFonts w:hint="eastAsia"/>
                <w:szCs w:val="21"/>
                <w:lang w:eastAsia="zh-CN"/>
              </w:rPr>
              <w:t>（4）运行确认及文件（</w:t>
            </w:r>
            <w:r>
              <w:rPr>
                <w:szCs w:val="21"/>
                <w:lang w:eastAsia="zh-CN"/>
              </w:rPr>
              <w:t>OQ</w:t>
            </w:r>
            <w:r>
              <w:rPr>
                <w:rFonts w:hint="eastAsia"/>
                <w:szCs w:val="21"/>
                <w:lang w:eastAsia="zh-CN"/>
              </w:rPr>
              <w:t>）；</w:t>
            </w:r>
          </w:p>
          <w:p>
            <w:pPr>
              <w:jc w:val="both"/>
              <w:rPr>
                <w:rFonts w:hAnsi="宋体"/>
                <w:szCs w:val="21"/>
                <w:u w:color="333333"/>
                <w:lang w:val="zh-TW" w:eastAsia="zh-TW"/>
              </w:rPr>
            </w:pPr>
            <w:r>
              <w:rPr>
                <w:rFonts w:hint="eastAsia"/>
                <w:szCs w:val="21"/>
                <w:lang w:eastAsia="zh-CN"/>
              </w:rPr>
              <w:t>（</w:t>
            </w:r>
            <w:r>
              <w:rPr>
                <w:szCs w:val="21"/>
                <w:lang w:eastAsia="zh-CN"/>
              </w:rPr>
              <w:t>8</w:t>
            </w:r>
            <w:r>
              <w:rPr>
                <w:rFonts w:hint="eastAsia"/>
                <w:szCs w:val="21"/>
                <w:lang w:eastAsia="zh-CN"/>
              </w:rPr>
              <w:t>）设备生产商负责制定评估文件、</w:t>
            </w:r>
            <w:r>
              <w:rPr>
                <w:szCs w:val="21"/>
                <w:lang w:eastAsia="zh-CN"/>
              </w:rPr>
              <w:t>DQ/IQ/OQ</w:t>
            </w:r>
            <w:r>
              <w:rPr>
                <w:rFonts w:hint="eastAsia"/>
                <w:szCs w:val="21"/>
                <w:lang w:eastAsia="zh-CN"/>
              </w:rPr>
              <w:t>验证文件，并负责验证工作的实施，该验证文件作为设备必备文件。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hAnsi="宋体"/>
                <w:szCs w:val="21"/>
                <w:u w:color="333333"/>
                <w:lang w:val="zh-TW" w:eastAsia="zh-CN"/>
              </w:rPr>
            </w:pPr>
            <w:r>
              <w:rPr>
                <w:rFonts w:hint="eastAsia" w:hAnsi="宋体"/>
                <w:szCs w:val="21"/>
                <w:u w:color="333333"/>
                <w:lang w:val="zh-TW" w:eastAsia="zh-CN"/>
              </w:rPr>
              <w:t>现场验收报告</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u w:color="333333"/>
                <w:lang w:eastAsia="zh-CN"/>
              </w:rPr>
            </w:pPr>
            <w:r>
              <w:rPr>
                <w:rFonts w:hint="eastAsia" w:hAnsi="宋体"/>
                <w:szCs w:val="21"/>
                <w:u w:color="333333"/>
                <w:lang w:val="zh-TW" w:eastAsia="zh-TW"/>
              </w:rPr>
              <w:t>文件具体要求：</w:t>
            </w:r>
          </w:p>
          <w:p>
            <w:pPr>
              <w:rPr>
                <w:szCs w:val="21"/>
                <w:u w:color="333333"/>
                <w:lang w:eastAsia="zh-CN"/>
              </w:rPr>
            </w:pPr>
            <w:r>
              <w:rPr>
                <w:rFonts w:hint="eastAsia" w:hAnsi="宋体"/>
                <w:szCs w:val="21"/>
                <w:u w:color="333333"/>
                <w:lang w:val="zh-TW" w:eastAsia="zh-TW"/>
              </w:rPr>
              <w:t>（</w:t>
            </w:r>
            <w:r>
              <w:rPr>
                <w:szCs w:val="21"/>
                <w:u w:color="333333"/>
                <w:lang w:eastAsia="zh-CN"/>
              </w:rPr>
              <w:t>1</w:t>
            </w:r>
            <w:r>
              <w:rPr>
                <w:rFonts w:hint="eastAsia" w:hAnsi="宋体"/>
                <w:szCs w:val="21"/>
                <w:u w:color="333333"/>
                <w:lang w:val="zh-TW" w:eastAsia="zh-TW"/>
              </w:rPr>
              <w:t>）系统相关方案中，应明确本系统的配置、规格，并且通过分析阐述每一个系统环节的必要性；</w:t>
            </w:r>
          </w:p>
          <w:p>
            <w:pPr>
              <w:rPr>
                <w:rFonts w:hAnsi="宋体"/>
                <w:szCs w:val="21"/>
                <w:u w:color="333333"/>
                <w:lang w:val="zh-TW" w:eastAsia="zh-TW"/>
              </w:rPr>
            </w:pPr>
            <w:r>
              <w:rPr>
                <w:rFonts w:hint="eastAsia" w:hAnsi="宋体"/>
                <w:szCs w:val="21"/>
                <w:u w:color="333333"/>
                <w:lang w:val="zh-TW" w:eastAsia="zh-TW"/>
              </w:rPr>
              <w:t>（</w:t>
            </w:r>
            <w:r>
              <w:rPr>
                <w:szCs w:val="21"/>
                <w:u w:color="333333"/>
                <w:lang w:eastAsia="zh-CN"/>
              </w:rPr>
              <w:t>2</w:t>
            </w:r>
            <w:r>
              <w:rPr>
                <w:rFonts w:hint="eastAsia" w:hAnsi="宋体"/>
                <w:szCs w:val="21"/>
                <w:u w:color="333333"/>
                <w:lang w:val="zh-TW" w:eastAsia="zh-TW"/>
              </w:rPr>
              <w:t>）标书中明确系统所有组件的品牌、材质、型号，并且注明每一个组件的保修期；</w:t>
            </w:r>
          </w:p>
          <w:p>
            <w:pPr>
              <w:rPr>
                <w:rFonts w:hAnsi="宋体"/>
                <w:szCs w:val="21"/>
                <w:u w:color="333333"/>
                <w:lang w:val="zh-TW" w:eastAsia="zh-CN"/>
              </w:rPr>
            </w:pPr>
            <w:r>
              <w:rPr>
                <w:rFonts w:hint="eastAsia" w:hAnsi="宋体"/>
                <w:szCs w:val="21"/>
                <w:u w:color="333333"/>
                <w:lang w:eastAsia="zh-TW"/>
              </w:rPr>
              <w:t>（</w:t>
            </w:r>
            <w:r>
              <w:rPr>
                <w:rFonts w:hAnsi="宋体"/>
                <w:szCs w:val="21"/>
                <w:u w:color="333333"/>
                <w:lang w:eastAsia="zh-TW"/>
              </w:rPr>
              <w:t>3</w:t>
            </w:r>
            <w:r>
              <w:rPr>
                <w:rFonts w:hint="eastAsia" w:hAnsi="宋体"/>
                <w:szCs w:val="21"/>
                <w:u w:color="333333"/>
                <w:lang w:eastAsia="zh-TW"/>
              </w:rPr>
              <w:t>）除另有约定外，上述文件中方案或计划类文件应在合同签订后设备发运前交付审核</w:t>
            </w:r>
            <w:r>
              <w:rPr>
                <w:rFonts w:hint="eastAsia" w:hAnsi="宋体"/>
                <w:szCs w:val="21"/>
                <w:u w:color="333333"/>
                <w:lang w:eastAsia="zh-CN"/>
              </w:rPr>
              <w:t>，并在设备开箱验收时将最终批准的电子版全套资料交工程技术部存档。</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3"/>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p>
      <w:pPr>
        <w:pStyle w:val="41"/>
        <w:spacing w:before="0" w:line="360" w:lineRule="auto"/>
        <w:ind w:left="357"/>
        <w:jc w:val="left"/>
        <w:rPr>
          <w:i/>
          <w:color w:val="4472C4"/>
          <w:szCs w:val="21"/>
          <w:lang w:eastAsia="zh-CN"/>
        </w:rPr>
      </w:pPr>
      <w:permStart w:id="34" w:edGrp="everyone"/>
    </w:p>
    <w:permEnd w:id="34"/>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shd w:val="clear" w:color="auto" w:fill="auto"/>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spacing w:line="276" w:lineRule="auto"/>
              <w:jc w:val="both"/>
              <w:rPr>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szCs w:val="21"/>
                <w:lang w:eastAsia="zh-CN"/>
              </w:rPr>
            </w:pPr>
            <w:r>
              <w:rPr>
                <w:lang w:eastAsia="zh-CN"/>
              </w:rPr>
              <w:t>设备运输在运输途中需做好防护措施，不得有任何损伤。</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i/>
                <w:szCs w:val="21"/>
                <w:lang w:eastAsia="zh-CN"/>
              </w:rPr>
            </w:pPr>
            <w:r>
              <w:rPr>
                <w:rFonts w:hint="eastAsia" w:ascii="宋体" w:hAnsi="宋体"/>
                <w:szCs w:val="21"/>
                <w:lang w:eastAsia="zh-CN"/>
              </w:rPr>
              <w:t>如适用，验证包括</w:t>
            </w:r>
            <w:r>
              <w:rPr>
                <w:rFonts w:ascii="宋体" w:hAnsi="宋体"/>
                <w:szCs w:val="21"/>
                <w:lang w:eastAsia="zh-CN"/>
              </w:rPr>
              <w:t>DQ</w:t>
            </w:r>
            <w:r>
              <w:rPr>
                <w:rFonts w:hint="eastAsia" w:ascii="宋体" w:hAnsi="宋体"/>
                <w:szCs w:val="21"/>
                <w:lang w:eastAsia="zh-CN"/>
              </w:rPr>
              <w:t>、</w:t>
            </w:r>
            <w:r>
              <w:rPr>
                <w:rFonts w:ascii="宋体" w:hAnsi="宋体"/>
                <w:szCs w:val="21"/>
                <w:lang w:eastAsia="zh-CN"/>
              </w:rPr>
              <w:t>IQ</w:t>
            </w:r>
            <w:r>
              <w:rPr>
                <w:rFonts w:hint="eastAsia" w:ascii="宋体" w:hAnsi="宋体"/>
                <w:szCs w:val="21"/>
                <w:lang w:eastAsia="zh-CN"/>
              </w:rPr>
              <w:t>、</w:t>
            </w:r>
            <w:r>
              <w:rPr>
                <w:rFonts w:ascii="宋体" w:hAnsi="宋体"/>
                <w:szCs w:val="21"/>
                <w:lang w:eastAsia="zh-CN"/>
              </w:rPr>
              <w:t>OQ</w:t>
            </w:r>
            <w:r>
              <w:rPr>
                <w:rFonts w:hint="eastAsia" w:ascii="宋体" w:hAnsi="宋体"/>
                <w:szCs w:val="21"/>
                <w:lang w:eastAsia="zh-CN"/>
              </w:rPr>
              <w:t>、</w:t>
            </w:r>
            <w:r>
              <w:rPr>
                <w:rFonts w:ascii="宋体" w:hAnsi="宋体"/>
                <w:szCs w:val="21"/>
                <w:lang w:eastAsia="zh-CN"/>
              </w:rPr>
              <w:t>VSR</w:t>
            </w:r>
            <w:r>
              <w:rPr>
                <w:rFonts w:hint="eastAsia" w:ascii="宋体" w:hAnsi="宋体"/>
                <w:szCs w:val="21"/>
                <w:lang w:eastAsia="zh-CN"/>
              </w:rPr>
              <w:t>文件与服务，供应商必须派出具备该类系统验证经验，且熟悉验证相关文件编写及验证工作实施的验证工程师开展验证工作。供应商协助完成</w:t>
            </w:r>
            <w:r>
              <w:rPr>
                <w:rFonts w:ascii="宋体" w:hAnsi="宋体"/>
                <w:szCs w:val="21"/>
                <w:lang w:eastAsia="zh-CN"/>
              </w:rPr>
              <w:t>PQ</w:t>
            </w:r>
            <w:r>
              <w:rPr>
                <w:rFonts w:hint="eastAsia" w:ascii="宋体" w:hAnsi="宋体"/>
                <w:szCs w:val="21"/>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szCs w:val="21"/>
                <w:lang w:eastAsia="zh-CN"/>
              </w:rPr>
            </w:pPr>
            <w:r>
              <w:rPr>
                <w:rFonts w:hint="eastAsia" w:ascii="宋体" w:hAnsi="宋体" w:cs="宋体"/>
                <w:szCs w:val="21"/>
                <w:lang w:eastAsia="zh-CN"/>
              </w:rPr>
              <w:t>投标方按</w:t>
            </w:r>
            <w:r>
              <w:rPr>
                <w:rFonts w:ascii="宋体" w:hAnsi="宋体" w:cs="宋体"/>
                <w:szCs w:val="21"/>
                <w:lang w:eastAsia="zh-CN"/>
              </w:rPr>
              <w:t>GMP</w:t>
            </w:r>
            <w:r>
              <w:rPr>
                <w:rFonts w:hint="eastAsia" w:ascii="宋体" w:hAnsi="宋体" w:cs="宋体"/>
                <w:szCs w:val="21"/>
                <w:lang w:eastAsia="zh-CN"/>
              </w:rPr>
              <w:t>规范完成所有验证工作，</w:t>
            </w:r>
            <w:r>
              <w:rPr>
                <w:rFonts w:hint="eastAsia" w:hAnsi="宋体"/>
                <w:szCs w:val="21"/>
                <w:u w:color="333333"/>
                <w:lang w:val="zh-TW" w:eastAsia="zh-TW"/>
              </w:rPr>
              <w:t>各验证工作开始前验证方案需经过本公司相关部门审核，并经质量保证部批准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lang w:eastAsia="zh-CN"/>
              </w:rPr>
            </w:pPr>
            <w:r>
              <w:rPr>
                <w:rFonts w:hint="eastAsia" w:hAnsi="宋体"/>
                <w:szCs w:val="21"/>
                <w:u w:color="333333"/>
                <w:lang w:val="zh-TW" w:eastAsia="zh-TW"/>
              </w:rPr>
              <w:t>验证工作应按时保质完成，供应商需提供验证工作计划表</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Ansi="宋体"/>
                <w:szCs w:val="21"/>
                <w:u w:color="333333"/>
                <w:lang w:val="zh-TW" w:eastAsia="zh-TW"/>
              </w:rPr>
            </w:pPr>
            <w:r>
              <w:rPr>
                <w:rFonts w:hint="eastAsia" w:hAnsi="宋体"/>
                <w:szCs w:val="21"/>
                <w:u w:color="333333"/>
                <w:lang w:val="zh-TW" w:eastAsia="zh-TW"/>
              </w:rPr>
              <w:t>验证项目应包含法规要求的测试项目，以及本公司提出的测试项目。</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Ansi="宋体"/>
                <w:szCs w:val="21"/>
                <w:u w:color="333333"/>
                <w:lang w:val="zh-TW" w:eastAsia="zh-TW"/>
              </w:rPr>
            </w:pPr>
            <w:r>
              <w:rPr>
                <w:rFonts w:hint="eastAsia" w:hAnsi="宋体"/>
                <w:szCs w:val="21"/>
                <w:u w:color="333333"/>
                <w:lang w:val="zh-TW" w:eastAsia="zh-TW"/>
              </w:rPr>
              <w:t>验证工作完成后，验证记录经本公司相关部门审核，并经质量保证部批准。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Ansi="宋体"/>
                <w:szCs w:val="21"/>
                <w:u w:color="333333"/>
                <w:lang w:val="zh-TW" w:eastAsia="zh-TW"/>
              </w:rPr>
            </w:pPr>
            <w:r>
              <w:rPr>
                <w:rFonts w:hint="eastAsia" w:hAnsi="宋体"/>
                <w:szCs w:val="21"/>
                <w:u w:color="333333"/>
                <w:lang w:val="zh-TW" w:eastAsia="zh-TW"/>
              </w:rPr>
              <w:t>验收前，验证工作已成功完成，验证最终报告已经本公司相关部门审核，并经质量保证部批准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仪器</w:t>
            </w:r>
            <w:r>
              <w:rPr>
                <w:rFonts w:hint="eastAsia" w:asciiTheme="majorEastAsia" w:hAnsiTheme="majorEastAsia" w:eastAsiaTheme="majorEastAsia"/>
                <w:szCs w:val="21"/>
                <w:u w:color="333333"/>
                <w:lang w:val="zh-TW" w:eastAsia="zh-TW"/>
              </w:rPr>
              <w:t>保质期从确认验收的阶段就开始计算</w:t>
            </w:r>
            <w:r>
              <w:rPr>
                <w:rFonts w:hint="eastAsia" w:asciiTheme="majorEastAsia" w:hAnsiTheme="majorEastAsia" w:eastAsiaTheme="majorEastAsia"/>
                <w:szCs w:val="21"/>
                <w:u w:color="333333"/>
                <w:lang w:eastAsia="zh-TW"/>
              </w:rPr>
              <w:t>，整机</w:t>
            </w:r>
            <w:r>
              <w:rPr>
                <w:rFonts w:hint="eastAsia" w:asciiTheme="majorEastAsia" w:hAnsiTheme="majorEastAsia" w:eastAsiaTheme="majorEastAsia"/>
                <w:szCs w:val="21"/>
                <w:u w:color="333333"/>
                <w:lang w:val="zh-TW" w:eastAsia="zh-TW"/>
              </w:rPr>
              <w:t>保期为一年，</w:t>
            </w:r>
            <w:r>
              <w:rPr>
                <w:rFonts w:hint="eastAsia" w:cs="微软雅黑" w:asciiTheme="majorEastAsia" w:hAnsiTheme="majorEastAsia" w:eastAsiaTheme="majorEastAsia"/>
                <w:color w:val="333333"/>
                <w:szCs w:val="21"/>
                <w:lang w:val="en-US" w:eastAsia="zh-CN"/>
              </w:rPr>
              <w:t>关键零部件(包括</w:t>
            </w:r>
            <w:r>
              <w:fldChar w:fldCharType="begin"/>
            </w:r>
            <w:r>
              <w:instrText xml:space="preserve"> HYPERLINK "http://www.so.com/s?q=%E5%8E%8B%E7%BC%A9%E6%9C%BA&amp;ie=utf-8&amp;src=internal_wenda_recommend_textn" \t "https://wenda.so.com/q/_blank" </w:instrText>
            </w:r>
            <w:r>
              <w:fldChar w:fldCharType="separate"/>
            </w:r>
            <w:r>
              <w:rPr>
                <w:rFonts w:hint="eastAsia" w:cs="微软雅黑" w:asciiTheme="majorEastAsia" w:hAnsiTheme="majorEastAsia" w:eastAsiaTheme="majorEastAsia"/>
                <w:color w:val="333333"/>
                <w:szCs w:val="21"/>
                <w:lang w:val="en-US" w:eastAsia="zh-CN"/>
              </w:rPr>
              <w:t>压缩机</w:t>
            </w:r>
            <w:r>
              <w:rPr>
                <w:rFonts w:hint="eastAsia" w:cs="微软雅黑" w:asciiTheme="majorEastAsia" w:hAnsiTheme="majorEastAsia" w:eastAsiaTheme="majorEastAsia"/>
                <w:color w:val="333333"/>
                <w:szCs w:val="21"/>
                <w:lang w:val="en-US" w:eastAsia="zh-CN"/>
              </w:rPr>
              <w:fldChar w:fldCharType="end"/>
            </w:r>
            <w:r>
              <w:rPr>
                <w:rFonts w:hint="eastAsia" w:cs="微软雅黑" w:asciiTheme="majorEastAsia" w:hAnsiTheme="majorEastAsia" w:eastAsiaTheme="majorEastAsia"/>
                <w:color w:val="333333"/>
                <w:szCs w:val="21"/>
                <w:lang w:val="en-US" w:eastAsia="zh-CN"/>
              </w:rPr>
              <w:t>、</w:t>
            </w:r>
            <w:r>
              <w:fldChar w:fldCharType="begin"/>
            </w:r>
            <w:r>
              <w:instrText xml:space="preserve"> HYPERLINK "http://www.so.com/s?q=%E8%92%B8%E5%8F%91%E5%99%A8&amp;ie=utf-8&amp;src=internal_wenda_recommend_textn" \t "https://wenda.so.com/q/_blank" </w:instrText>
            </w:r>
            <w:r>
              <w:fldChar w:fldCharType="separate"/>
            </w:r>
            <w:r>
              <w:rPr>
                <w:rFonts w:hint="eastAsia" w:cs="微软雅黑" w:asciiTheme="majorEastAsia" w:hAnsiTheme="majorEastAsia" w:eastAsiaTheme="majorEastAsia"/>
                <w:color w:val="333333"/>
                <w:szCs w:val="21"/>
                <w:lang w:val="en-US" w:eastAsia="zh-CN"/>
              </w:rPr>
              <w:t>蒸发器</w:t>
            </w:r>
            <w:r>
              <w:rPr>
                <w:rFonts w:hint="eastAsia" w:cs="微软雅黑" w:asciiTheme="majorEastAsia" w:hAnsiTheme="majorEastAsia" w:eastAsiaTheme="majorEastAsia"/>
                <w:color w:val="333333"/>
                <w:szCs w:val="21"/>
                <w:lang w:val="en-US" w:eastAsia="zh-CN"/>
              </w:rPr>
              <w:fldChar w:fldCharType="end"/>
            </w:r>
            <w:r>
              <w:rPr>
                <w:rFonts w:hint="eastAsia" w:cs="微软雅黑" w:asciiTheme="majorEastAsia" w:hAnsiTheme="majorEastAsia" w:eastAsiaTheme="majorEastAsia"/>
                <w:color w:val="333333"/>
                <w:szCs w:val="21"/>
                <w:lang w:val="en-US" w:eastAsia="zh-CN"/>
              </w:rPr>
              <w:t>、</w:t>
            </w:r>
            <w:r>
              <w:fldChar w:fldCharType="begin"/>
            </w:r>
            <w:r>
              <w:instrText xml:space="preserve"> HYPERLINK "http://www.so.com/s?q=%E5%86%B7%E5%87%9D%E5%99%A8&amp;ie=utf-8&amp;src=internal_wenda_recommend_textn" \t "https://wenda.so.com/q/_blank" </w:instrText>
            </w:r>
            <w:r>
              <w:fldChar w:fldCharType="separate"/>
            </w:r>
            <w:r>
              <w:rPr>
                <w:rFonts w:hint="eastAsia" w:cs="微软雅黑" w:asciiTheme="majorEastAsia" w:hAnsiTheme="majorEastAsia" w:eastAsiaTheme="majorEastAsia"/>
                <w:color w:val="333333"/>
                <w:szCs w:val="21"/>
                <w:lang w:val="en-US" w:eastAsia="zh-CN"/>
              </w:rPr>
              <w:t>冷凝器</w:t>
            </w:r>
            <w:r>
              <w:rPr>
                <w:rFonts w:hint="eastAsia" w:cs="微软雅黑" w:asciiTheme="majorEastAsia" w:hAnsiTheme="majorEastAsia" w:eastAsiaTheme="majorEastAsia"/>
                <w:color w:val="333333"/>
                <w:szCs w:val="21"/>
                <w:lang w:val="en-US" w:eastAsia="zh-CN"/>
              </w:rPr>
              <w:fldChar w:fldCharType="end"/>
            </w:r>
            <w:r>
              <w:rPr>
                <w:rFonts w:hint="eastAsia" w:cs="微软雅黑" w:asciiTheme="majorEastAsia" w:hAnsiTheme="majorEastAsia" w:eastAsiaTheme="majorEastAsia"/>
                <w:color w:val="333333"/>
                <w:szCs w:val="21"/>
                <w:lang w:val="en-US" w:eastAsia="zh-CN"/>
              </w:rPr>
              <w:t>、风扇电机等）按国家规定质保三年。</w:t>
            </w:r>
            <w:r>
              <w:rPr>
                <w:rFonts w:hint="eastAsia" w:asciiTheme="majorEastAsia" w:hAnsiTheme="majorEastAsia" w:eastAsiaTheme="majorEastAsia"/>
                <w:szCs w:val="21"/>
                <w:u w:color="333333"/>
                <w:lang w:val="zh-TW" w:eastAsia="zh-TW"/>
              </w:rPr>
              <w:t>一年内免费保修，一年后应提供良好的售后服务</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szCs w:val="21"/>
                <w:lang w:eastAsia="zh-CN"/>
              </w:rPr>
            </w:pPr>
            <w:r>
              <w:rPr>
                <w:rFonts w:hint="eastAsia"/>
                <w:szCs w:val="21"/>
                <w:u w:color="333333"/>
                <w:lang w:eastAsia="zh-CN"/>
              </w:rPr>
              <w:t>质保期内维修或更换关键部件，该关键部件的质保自维修确认后顺延一年</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u w:color="333333"/>
                <w:lang w:eastAsia="zh-CN"/>
              </w:rPr>
            </w:pPr>
            <w:r>
              <w:rPr>
                <w:rFonts w:hint="eastAsia" w:ascii="宋体" w:hAnsi="宋体" w:cs="宋体"/>
                <w:szCs w:val="21"/>
                <w:u w:color="333333"/>
                <w:lang w:val="zh-TW" w:eastAsia="zh-TW"/>
              </w:rPr>
              <w:t>售后服务必须响应及时，要求设备出现须厂家维修的故障后，应在</w:t>
            </w:r>
            <w:r>
              <w:rPr>
                <w:rFonts w:ascii="宋体" w:hAnsi="宋体" w:cs="宋体"/>
                <w:szCs w:val="21"/>
                <w:u w:color="333333"/>
                <w:lang w:eastAsia="zh-CN"/>
              </w:rPr>
              <w:t>4</w:t>
            </w:r>
            <w:r>
              <w:rPr>
                <w:rFonts w:hint="eastAsia" w:ascii="宋体" w:hAnsi="宋体" w:cs="宋体"/>
                <w:szCs w:val="21"/>
                <w:u w:color="333333"/>
                <w:lang w:val="zh-TW" w:eastAsia="zh-TW"/>
              </w:rPr>
              <w:t>小时内明确答复，当电话沟通无法解决时，须</w:t>
            </w:r>
            <w:r>
              <w:rPr>
                <w:rFonts w:ascii="宋体" w:hAnsi="宋体" w:cs="宋体"/>
                <w:szCs w:val="21"/>
                <w:u w:color="333333"/>
                <w:lang w:eastAsia="zh-CN"/>
              </w:rPr>
              <w:t>24</w:t>
            </w:r>
            <w:r>
              <w:rPr>
                <w:rFonts w:hint="eastAsia" w:ascii="宋体" w:hAnsi="宋体" w:cs="宋体"/>
                <w:szCs w:val="21"/>
                <w:u w:color="333333"/>
                <w:lang w:val="zh-TW" w:eastAsia="zh-TW"/>
              </w:rPr>
              <w:t>小时内派人至现场解决。</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u w:color="333333"/>
                <w:lang w:val="zh-TW" w:eastAsia="zh-TW"/>
              </w:rPr>
            </w:pPr>
            <w:r>
              <w:rPr>
                <w:rFonts w:hint="eastAsia" w:hAnsi="宋体"/>
                <w:szCs w:val="21"/>
                <w:u w:color="333333"/>
                <w:lang w:val="zh-TW" w:eastAsia="zh-TW"/>
              </w:rPr>
              <w:t>一年免费保修期后，</w:t>
            </w:r>
            <w:r>
              <w:rPr>
                <w:rFonts w:hint="eastAsia" w:hAnsi="宋体"/>
                <w:szCs w:val="21"/>
                <w:u w:color="333333"/>
                <w:lang w:eastAsia="zh-TW"/>
              </w:rPr>
              <w:t>供应商</w:t>
            </w:r>
            <w:r>
              <w:rPr>
                <w:rFonts w:hint="eastAsia" w:hAnsi="宋体"/>
                <w:szCs w:val="21"/>
                <w:u w:color="333333"/>
                <w:lang w:val="zh-TW" w:eastAsia="zh-TW"/>
              </w:rPr>
              <w:t>应终生提供及时的维修、维护，</w:t>
            </w:r>
            <w:r>
              <w:rPr>
                <w:rFonts w:hint="eastAsia" w:hAnsi="宋体"/>
                <w:szCs w:val="21"/>
                <w:u w:color="333333"/>
                <w:lang w:eastAsia="zh-TW"/>
              </w:rPr>
              <w:t>供应商</w:t>
            </w:r>
            <w:r>
              <w:rPr>
                <w:rFonts w:hint="eastAsia" w:hAnsi="宋体"/>
                <w:szCs w:val="21"/>
                <w:u w:color="333333"/>
                <w:lang w:val="zh-TW" w:eastAsia="zh-TW"/>
              </w:rPr>
              <w:t>应定期回访，解决设备运行当中可能出现的疑问，排除潜在故障，使设备保持良好工作状态。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440" w:lineRule="exact"/>
              <w:rPr>
                <w:szCs w:val="21"/>
                <w:u w:color="333333"/>
                <w:lang w:eastAsia="zh-CN"/>
              </w:rPr>
            </w:pPr>
            <w:r>
              <w:rPr>
                <w:rFonts w:hint="eastAsia" w:hAnsi="宋体"/>
                <w:szCs w:val="21"/>
                <w:u w:color="333333"/>
                <w:lang w:eastAsia="zh-TW"/>
              </w:rPr>
              <w:t>供应商</w:t>
            </w:r>
            <w:r>
              <w:rPr>
                <w:rFonts w:hint="eastAsia" w:hAnsi="宋体"/>
                <w:szCs w:val="21"/>
                <w:u w:color="333333"/>
                <w:lang w:val="zh-TW" w:eastAsia="zh-TW"/>
              </w:rPr>
              <w:t>应提供合格的备件，用于设备相应部件的维修、更换。</w:t>
            </w:r>
          </w:p>
          <w:p>
            <w:pPr>
              <w:spacing w:line="276" w:lineRule="auto"/>
              <w:jc w:val="both"/>
              <w:rPr>
                <w:rFonts w:hAnsi="宋体"/>
                <w:szCs w:val="21"/>
                <w:u w:color="333333"/>
                <w:lang w:eastAsia="zh-TW"/>
              </w:rPr>
            </w:pPr>
          </w:p>
        </w:tc>
        <w:tc>
          <w:tcPr>
            <w:tcW w:w="2125" w:type="dxa"/>
            <w:shd w:val="clear" w:color="auto" w:fill="auto"/>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szCs w:val="21"/>
                <w:lang w:eastAsia="zh-CN"/>
              </w:rPr>
            </w:pPr>
            <w:r>
              <w:rPr>
                <w:rFonts w:hint="eastAsia" w:hAnsi="宋体"/>
                <w:szCs w:val="21"/>
                <w:u w:color="333333"/>
                <w:lang w:val="zh-TW" w:eastAsia="zh-TW"/>
              </w:rPr>
              <w:t>货物到达买方使用现场后，由买卖双方共同验收，卖方工程师免费为买方提供调试。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shd w:val="clear" w:color="auto" w:fill="auto"/>
            <w:vAlign w:val="center"/>
          </w:tcPr>
          <w:p>
            <w:pPr>
              <w:spacing w:line="276" w:lineRule="auto"/>
              <w:jc w:val="both"/>
              <w:rPr>
                <w:szCs w:val="21"/>
                <w:lang w:eastAsia="zh-CN"/>
              </w:rPr>
            </w:pPr>
            <w:r>
              <w:rPr>
                <w:rFonts w:hint="eastAsia" w:hAnsi="宋体"/>
                <w:szCs w:val="21"/>
                <w:u w:color="333333"/>
                <w:lang w:val="zh-TW" w:eastAsia="zh-TW"/>
              </w:rPr>
              <w:t>供应商进厂施工需遵守安全和施工规定。确认试车验收合格后，买卖双方签订验收报告</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4"/>
    </w:tbl>
    <w:p/>
    <w:p>
      <w:pPr>
        <w:pStyle w:val="31"/>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1"/>
        <w:spacing w:before="0" w:line="360" w:lineRule="auto"/>
        <w:ind w:left="357"/>
        <w:jc w:val="left"/>
        <w:rPr>
          <w:szCs w:val="21"/>
          <w:lang w:eastAsia="zh-CN"/>
        </w:rPr>
      </w:pPr>
      <w:permStart w:id="45" w:edGrp="everyone"/>
      <w:r>
        <w:rPr>
          <w:rFonts w:hint="eastAsia"/>
          <w:szCs w:val="21"/>
          <w:lang w:eastAsia="zh-CN"/>
        </w:rPr>
        <w:t>不适用</w:t>
      </w:r>
      <w:permEnd w:id="45"/>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2"/>
  </w:compat>
  <w:docVars>
    <w:docVar w:name="commondata" w:val="eyJoZGlkIjoiZjE0MTRmOTAxY2Y0OTk3MGZkNDkwMTY5ODUxMmFlMWYifQ=="/>
  </w:docVars>
  <w:rsids>
    <w:rsidRoot w:val="00391016"/>
    <w:rsid w:val="00001AE0"/>
    <w:rsid w:val="000021A6"/>
    <w:rsid w:val="000027DB"/>
    <w:rsid w:val="00002F06"/>
    <w:rsid w:val="000038A4"/>
    <w:rsid w:val="0000520B"/>
    <w:rsid w:val="000059AD"/>
    <w:rsid w:val="00005CB9"/>
    <w:rsid w:val="00005E76"/>
    <w:rsid w:val="00006273"/>
    <w:rsid w:val="00006FD5"/>
    <w:rsid w:val="0001160E"/>
    <w:rsid w:val="000117C7"/>
    <w:rsid w:val="000169DD"/>
    <w:rsid w:val="00020FEA"/>
    <w:rsid w:val="00022818"/>
    <w:rsid w:val="000231C6"/>
    <w:rsid w:val="000233DE"/>
    <w:rsid w:val="00023B07"/>
    <w:rsid w:val="00023CAD"/>
    <w:rsid w:val="0002457E"/>
    <w:rsid w:val="000275E7"/>
    <w:rsid w:val="000303D0"/>
    <w:rsid w:val="00031243"/>
    <w:rsid w:val="00031900"/>
    <w:rsid w:val="000355F3"/>
    <w:rsid w:val="00035E78"/>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5EE2"/>
    <w:rsid w:val="00056478"/>
    <w:rsid w:val="00056AE2"/>
    <w:rsid w:val="00056E9E"/>
    <w:rsid w:val="00057046"/>
    <w:rsid w:val="000576C2"/>
    <w:rsid w:val="00062356"/>
    <w:rsid w:val="00063572"/>
    <w:rsid w:val="00063B90"/>
    <w:rsid w:val="00064A43"/>
    <w:rsid w:val="000662D2"/>
    <w:rsid w:val="00071DD4"/>
    <w:rsid w:val="00072340"/>
    <w:rsid w:val="00072945"/>
    <w:rsid w:val="00073B81"/>
    <w:rsid w:val="00074A36"/>
    <w:rsid w:val="00075921"/>
    <w:rsid w:val="0007673E"/>
    <w:rsid w:val="00077AE1"/>
    <w:rsid w:val="000818AC"/>
    <w:rsid w:val="00082C13"/>
    <w:rsid w:val="00083D58"/>
    <w:rsid w:val="000844A8"/>
    <w:rsid w:val="00084F90"/>
    <w:rsid w:val="00086CA0"/>
    <w:rsid w:val="00087002"/>
    <w:rsid w:val="00092C03"/>
    <w:rsid w:val="0009357A"/>
    <w:rsid w:val="00093B6A"/>
    <w:rsid w:val="00096510"/>
    <w:rsid w:val="00097A7D"/>
    <w:rsid w:val="00097CA2"/>
    <w:rsid w:val="000A1D9E"/>
    <w:rsid w:val="000A2664"/>
    <w:rsid w:val="000A2C3C"/>
    <w:rsid w:val="000A2C69"/>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5336"/>
    <w:rsid w:val="000C7137"/>
    <w:rsid w:val="000D112B"/>
    <w:rsid w:val="000D1A79"/>
    <w:rsid w:val="000D3B24"/>
    <w:rsid w:val="000D43C9"/>
    <w:rsid w:val="000D517D"/>
    <w:rsid w:val="000D5BCC"/>
    <w:rsid w:val="000D6D1E"/>
    <w:rsid w:val="000D6FF9"/>
    <w:rsid w:val="000D7C49"/>
    <w:rsid w:val="000E0DDB"/>
    <w:rsid w:val="000E17B5"/>
    <w:rsid w:val="000E41B5"/>
    <w:rsid w:val="000E4442"/>
    <w:rsid w:val="000E51FF"/>
    <w:rsid w:val="000E5684"/>
    <w:rsid w:val="000E5B57"/>
    <w:rsid w:val="000F0D08"/>
    <w:rsid w:val="000F1C3F"/>
    <w:rsid w:val="000F2CD3"/>
    <w:rsid w:val="000F36B9"/>
    <w:rsid w:val="000F3A00"/>
    <w:rsid w:val="000F4E03"/>
    <w:rsid w:val="000F606A"/>
    <w:rsid w:val="000F706D"/>
    <w:rsid w:val="001006D8"/>
    <w:rsid w:val="00100F65"/>
    <w:rsid w:val="0010110F"/>
    <w:rsid w:val="00102DC9"/>
    <w:rsid w:val="001031DF"/>
    <w:rsid w:val="00103F05"/>
    <w:rsid w:val="00104160"/>
    <w:rsid w:val="0010503D"/>
    <w:rsid w:val="00106571"/>
    <w:rsid w:val="00106B5D"/>
    <w:rsid w:val="00110CF0"/>
    <w:rsid w:val="001120B7"/>
    <w:rsid w:val="0011231F"/>
    <w:rsid w:val="00112670"/>
    <w:rsid w:val="0011289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1D38"/>
    <w:rsid w:val="00132F4C"/>
    <w:rsid w:val="0013356C"/>
    <w:rsid w:val="00134C68"/>
    <w:rsid w:val="00135FD6"/>
    <w:rsid w:val="001374CF"/>
    <w:rsid w:val="001406A1"/>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16DE"/>
    <w:rsid w:val="00182A27"/>
    <w:rsid w:val="00184DDD"/>
    <w:rsid w:val="00184FFD"/>
    <w:rsid w:val="00185449"/>
    <w:rsid w:val="00186314"/>
    <w:rsid w:val="001879E4"/>
    <w:rsid w:val="00187B04"/>
    <w:rsid w:val="00190000"/>
    <w:rsid w:val="001929C2"/>
    <w:rsid w:val="00192B8F"/>
    <w:rsid w:val="00193D66"/>
    <w:rsid w:val="00194BB7"/>
    <w:rsid w:val="00195C27"/>
    <w:rsid w:val="0019670F"/>
    <w:rsid w:val="001A1DE7"/>
    <w:rsid w:val="001A3BB0"/>
    <w:rsid w:val="001A4947"/>
    <w:rsid w:val="001A5F00"/>
    <w:rsid w:val="001A64C0"/>
    <w:rsid w:val="001A685F"/>
    <w:rsid w:val="001A7EB6"/>
    <w:rsid w:val="001A7FE4"/>
    <w:rsid w:val="001B0278"/>
    <w:rsid w:val="001B2886"/>
    <w:rsid w:val="001B28C8"/>
    <w:rsid w:val="001B4654"/>
    <w:rsid w:val="001C017B"/>
    <w:rsid w:val="001C239E"/>
    <w:rsid w:val="001C2D7E"/>
    <w:rsid w:val="001D1FA0"/>
    <w:rsid w:val="001D2358"/>
    <w:rsid w:val="001D2E5A"/>
    <w:rsid w:val="001D32D4"/>
    <w:rsid w:val="001D3C96"/>
    <w:rsid w:val="001D4383"/>
    <w:rsid w:val="001D4742"/>
    <w:rsid w:val="001D474B"/>
    <w:rsid w:val="001D48B0"/>
    <w:rsid w:val="001D5549"/>
    <w:rsid w:val="001E0376"/>
    <w:rsid w:val="001E13E0"/>
    <w:rsid w:val="001E19B2"/>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0E19"/>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4FE"/>
    <w:rsid w:val="002A588E"/>
    <w:rsid w:val="002A7980"/>
    <w:rsid w:val="002B0861"/>
    <w:rsid w:val="002B0A7C"/>
    <w:rsid w:val="002B14F3"/>
    <w:rsid w:val="002B480A"/>
    <w:rsid w:val="002B67A2"/>
    <w:rsid w:val="002B6854"/>
    <w:rsid w:val="002C1817"/>
    <w:rsid w:val="002C1DAB"/>
    <w:rsid w:val="002C2005"/>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2F6484"/>
    <w:rsid w:val="00302176"/>
    <w:rsid w:val="00302AF8"/>
    <w:rsid w:val="00304F96"/>
    <w:rsid w:val="00306131"/>
    <w:rsid w:val="00311B2C"/>
    <w:rsid w:val="00311EE4"/>
    <w:rsid w:val="0031318B"/>
    <w:rsid w:val="003137B7"/>
    <w:rsid w:val="003148D1"/>
    <w:rsid w:val="00314CFF"/>
    <w:rsid w:val="00315038"/>
    <w:rsid w:val="00315C3E"/>
    <w:rsid w:val="00316037"/>
    <w:rsid w:val="00316EEF"/>
    <w:rsid w:val="003172B7"/>
    <w:rsid w:val="00321298"/>
    <w:rsid w:val="00321D97"/>
    <w:rsid w:val="00323423"/>
    <w:rsid w:val="003240E5"/>
    <w:rsid w:val="00324B23"/>
    <w:rsid w:val="003257E0"/>
    <w:rsid w:val="00325FFA"/>
    <w:rsid w:val="00330D16"/>
    <w:rsid w:val="00330FFF"/>
    <w:rsid w:val="00331E38"/>
    <w:rsid w:val="00333C91"/>
    <w:rsid w:val="0033695C"/>
    <w:rsid w:val="00341B2F"/>
    <w:rsid w:val="00342915"/>
    <w:rsid w:val="0034450B"/>
    <w:rsid w:val="00344AA0"/>
    <w:rsid w:val="00344B04"/>
    <w:rsid w:val="00345847"/>
    <w:rsid w:val="00347576"/>
    <w:rsid w:val="00347772"/>
    <w:rsid w:val="00347A51"/>
    <w:rsid w:val="00347B19"/>
    <w:rsid w:val="00352A3A"/>
    <w:rsid w:val="003531FA"/>
    <w:rsid w:val="0035416F"/>
    <w:rsid w:val="003549FE"/>
    <w:rsid w:val="00355AAC"/>
    <w:rsid w:val="00355D7D"/>
    <w:rsid w:val="00360CCF"/>
    <w:rsid w:val="00364569"/>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1C75"/>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0D67"/>
    <w:rsid w:val="003C558E"/>
    <w:rsid w:val="003C6ECF"/>
    <w:rsid w:val="003C73BC"/>
    <w:rsid w:val="003D2243"/>
    <w:rsid w:val="003D344A"/>
    <w:rsid w:val="003D3C09"/>
    <w:rsid w:val="003D464A"/>
    <w:rsid w:val="003D4EFF"/>
    <w:rsid w:val="003D5F4A"/>
    <w:rsid w:val="003D662C"/>
    <w:rsid w:val="003D77E5"/>
    <w:rsid w:val="003E366C"/>
    <w:rsid w:val="003E49F8"/>
    <w:rsid w:val="003E5109"/>
    <w:rsid w:val="003E60EE"/>
    <w:rsid w:val="003E6B48"/>
    <w:rsid w:val="003E748F"/>
    <w:rsid w:val="003F3F47"/>
    <w:rsid w:val="003F6E0C"/>
    <w:rsid w:val="004003A8"/>
    <w:rsid w:val="0040145E"/>
    <w:rsid w:val="0040240E"/>
    <w:rsid w:val="00402756"/>
    <w:rsid w:val="00405B3A"/>
    <w:rsid w:val="004074DC"/>
    <w:rsid w:val="004111CC"/>
    <w:rsid w:val="004122A3"/>
    <w:rsid w:val="00414F27"/>
    <w:rsid w:val="00416E8B"/>
    <w:rsid w:val="00420273"/>
    <w:rsid w:val="00420AA0"/>
    <w:rsid w:val="0042116C"/>
    <w:rsid w:val="00422D19"/>
    <w:rsid w:val="00422DFE"/>
    <w:rsid w:val="00424D83"/>
    <w:rsid w:val="00424E29"/>
    <w:rsid w:val="004260B6"/>
    <w:rsid w:val="00427D22"/>
    <w:rsid w:val="00427E2D"/>
    <w:rsid w:val="00432568"/>
    <w:rsid w:val="00436C7C"/>
    <w:rsid w:val="00437440"/>
    <w:rsid w:val="00437906"/>
    <w:rsid w:val="00440378"/>
    <w:rsid w:val="00440390"/>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2D21"/>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C5CFF"/>
    <w:rsid w:val="004C7B26"/>
    <w:rsid w:val="004D050F"/>
    <w:rsid w:val="004D0E3A"/>
    <w:rsid w:val="004D1A73"/>
    <w:rsid w:val="004D48C2"/>
    <w:rsid w:val="004D67B1"/>
    <w:rsid w:val="004D7128"/>
    <w:rsid w:val="004D751D"/>
    <w:rsid w:val="004E05C2"/>
    <w:rsid w:val="004E080C"/>
    <w:rsid w:val="004E0B02"/>
    <w:rsid w:val="004E0C0D"/>
    <w:rsid w:val="004E255F"/>
    <w:rsid w:val="004E384B"/>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2FF2"/>
    <w:rsid w:val="00514EA4"/>
    <w:rsid w:val="00516BB4"/>
    <w:rsid w:val="00517A5D"/>
    <w:rsid w:val="00517E1E"/>
    <w:rsid w:val="005217E8"/>
    <w:rsid w:val="005220FE"/>
    <w:rsid w:val="005247DE"/>
    <w:rsid w:val="00525BB9"/>
    <w:rsid w:val="00530B8F"/>
    <w:rsid w:val="00531434"/>
    <w:rsid w:val="00531754"/>
    <w:rsid w:val="00533015"/>
    <w:rsid w:val="00534840"/>
    <w:rsid w:val="00534D08"/>
    <w:rsid w:val="00535236"/>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1E16"/>
    <w:rsid w:val="0057277E"/>
    <w:rsid w:val="00572F0E"/>
    <w:rsid w:val="00574D60"/>
    <w:rsid w:val="00575318"/>
    <w:rsid w:val="00577142"/>
    <w:rsid w:val="005773E5"/>
    <w:rsid w:val="00581AD5"/>
    <w:rsid w:val="00581C4E"/>
    <w:rsid w:val="00582DB0"/>
    <w:rsid w:val="00584B4C"/>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065A"/>
    <w:rsid w:val="005C2B89"/>
    <w:rsid w:val="005C2FA7"/>
    <w:rsid w:val="005C386F"/>
    <w:rsid w:val="005C42AC"/>
    <w:rsid w:val="005C4D05"/>
    <w:rsid w:val="005C506B"/>
    <w:rsid w:val="005C71BF"/>
    <w:rsid w:val="005C723D"/>
    <w:rsid w:val="005C7601"/>
    <w:rsid w:val="005D1094"/>
    <w:rsid w:val="005D1220"/>
    <w:rsid w:val="005D3394"/>
    <w:rsid w:val="005D3989"/>
    <w:rsid w:val="005D42FF"/>
    <w:rsid w:val="005E2725"/>
    <w:rsid w:val="005E65FA"/>
    <w:rsid w:val="005F19CE"/>
    <w:rsid w:val="005F28F4"/>
    <w:rsid w:val="005F43B9"/>
    <w:rsid w:val="005F43BB"/>
    <w:rsid w:val="005F503E"/>
    <w:rsid w:val="005F6CB3"/>
    <w:rsid w:val="005F7612"/>
    <w:rsid w:val="005F7663"/>
    <w:rsid w:val="005F78D9"/>
    <w:rsid w:val="005F7D63"/>
    <w:rsid w:val="00607170"/>
    <w:rsid w:val="00607408"/>
    <w:rsid w:val="00610AEE"/>
    <w:rsid w:val="0061336A"/>
    <w:rsid w:val="00616BAC"/>
    <w:rsid w:val="00620598"/>
    <w:rsid w:val="00620FEC"/>
    <w:rsid w:val="006214DC"/>
    <w:rsid w:val="006215E2"/>
    <w:rsid w:val="0062168F"/>
    <w:rsid w:val="006221A2"/>
    <w:rsid w:val="00622AFC"/>
    <w:rsid w:val="00627113"/>
    <w:rsid w:val="00627B8B"/>
    <w:rsid w:val="0063079C"/>
    <w:rsid w:val="0063106D"/>
    <w:rsid w:val="006312E8"/>
    <w:rsid w:val="006312FF"/>
    <w:rsid w:val="00632136"/>
    <w:rsid w:val="00632C67"/>
    <w:rsid w:val="006331B6"/>
    <w:rsid w:val="00633310"/>
    <w:rsid w:val="00633315"/>
    <w:rsid w:val="00635F03"/>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298"/>
    <w:rsid w:val="00673EB3"/>
    <w:rsid w:val="00680BE8"/>
    <w:rsid w:val="0068445D"/>
    <w:rsid w:val="00686409"/>
    <w:rsid w:val="00686D19"/>
    <w:rsid w:val="0068777F"/>
    <w:rsid w:val="00693018"/>
    <w:rsid w:val="0069437F"/>
    <w:rsid w:val="006957B1"/>
    <w:rsid w:val="006A0059"/>
    <w:rsid w:val="006A7425"/>
    <w:rsid w:val="006B058A"/>
    <w:rsid w:val="006B1299"/>
    <w:rsid w:val="006B26D9"/>
    <w:rsid w:val="006B310C"/>
    <w:rsid w:val="006B664C"/>
    <w:rsid w:val="006C1125"/>
    <w:rsid w:val="006C1C83"/>
    <w:rsid w:val="006C3E78"/>
    <w:rsid w:val="006C4BED"/>
    <w:rsid w:val="006C54E6"/>
    <w:rsid w:val="006C5762"/>
    <w:rsid w:val="006C690D"/>
    <w:rsid w:val="006D149F"/>
    <w:rsid w:val="006D3396"/>
    <w:rsid w:val="006D4B2A"/>
    <w:rsid w:val="006D5AFF"/>
    <w:rsid w:val="006E0148"/>
    <w:rsid w:val="006E050C"/>
    <w:rsid w:val="006E152B"/>
    <w:rsid w:val="006E36D1"/>
    <w:rsid w:val="006E4002"/>
    <w:rsid w:val="006E4DB6"/>
    <w:rsid w:val="006E622E"/>
    <w:rsid w:val="006E7938"/>
    <w:rsid w:val="006E79FB"/>
    <w:rsid w:val="006F229A"/>
    <w:rsid w:val="006F3BB9"/>
    <w:rsid w:val="006F4AA6"/>
    <w:rsid w:val="007007FA"/>
    <w:rsid w:val="00702D92"/>
    <w:rsid w:val="007036CA"/>
    <w:rsid w:val="007041CB"/>
    <w:rsid w:val="00705090"/>
    <w:rsid w:val="00705102"/>
    <w:rsid w:val="00705DDB"/>
    <w:rsid w:val="0070675E"/>
    <w:rsid w:val="00706A0E"/>
    <w:rsid w:val="00710573"/>
    <w:rsid w:val="00710808"/>
    <w:rsid w:val="007116CB"/>
    <w:rsid w:val="0071211E"/>
    <w:rsid w:val="00712B1B"/>
    <w:rsid w:val="00715226"/>
    <w:rsid w:val="0071622D"/>
    <w:rsid w:val="007168CC"/>
    <w:rsid w:val="007176BB"/>
    <w:rsid w:val="00717811"/>
    <w:rsid w:val="00720A17"/>
    <w:rsid w:val="00720D4B"/>
    <w:rsid w:val="00723A0F"/>
    <w:rsid w:val="00726CB6"/>
    <w:rsid w:val="00727255"/>
    <w:rsid w:val="0072779B"/>
    <w:rsid w:val="00727CCF"/>
    <w:rsid w:val="00731D60"/>
    <w:rsid w:val="0073446D"/>
    <w:rsid w:val="007349FF"/>
    <w:rsid w:val="00734B45"/>
    <w:rsid w:val="00736FFB"/>
    <w:rsid w:val="00740080"/>
    <w:rsid w:val="00741A30"/>
    <w:rsid w:val="00745F73"/>
    <w:rsid w:val="0074792C"/>
    <w:rsid w:val="007504DC"/>
    <w:rsid w:val="0075142F"/>
    <w:rsid w:val="00751965"/>
    <w:rsid w:val="007524EF"/>
    <w:rsid w:val="00752689"/>
    <w:rsid w:val="0075672B"/>
    <w:rsid w:val="00756D1D"/>
    <w:rsid w:val="00760886"/>
    <w:rsid w:val="007615CA"/>
    <w:rsid w:val="00761ADD"/>
    <w:rsid w:val="00762B3A"/>
    <w:rsid w:val="007650EA"/>
    <w:rsid w:val="00765D6E"/>
    <w:rsid w:val="00765D7E"/>
    <w:rsid w:val="007674B6"/>
    <w:rsid w:val="00770E90"/>
    <w:rsid w:val="00772C42"/>
    <w:rsid w:val="0077302F"/>
    <w:rsid w:val="00773661"/>
    <w:rsid w:val="0077405E"/>
    <w:rsid w:val="00774A61"/>
    <w:rsid w:val="00774E08"/>
    <w:rsid w:val="00774E72"/>
    <w:rsid w:val="0077746F"/>
    <w:rsid w:val="007775FE"/>
    <w:rsid w:val="00780A5F"/>
    <w:rsid w:val="00784913"/>
    <w:rsid w:val="00785B90"/>
    <w:rsid w:val="0078639C"/>
    <w:rsid w:val="007913D3"/>
    <w:rsid w:val="00792FF7"/>
    <w:rsid w:val="0079790C"/>
    <w:rsid w:val="007A09A9"/>
    <w:rsid w:val="007A102A"/>
    <w:rsid w:val="007A15E6"/>
    <w:rsid w:val="007A194B"/>
    <w:rsid w:val="007A4BCD"/>
    <w:rsid w:val="007A5714"/>
    <w:rsid w:val="007A5EFA"/>
    <w:rsid w:val="007A60E7"/>
    <w:rsid w:val="007A6821"/>
    <w:rsid w:val="007A75EF"/>
    <w:rsid w:val="007B03B6"/>
    <w:rsid w:val="007B1257"/>
    <w:rsid w:val="007B1AEC"/>
    <w:rsid w:val="007B33CC"/>
    <w:rsid w:val="007B4133"/>
    <w:rsid w:val="007B49F4"/>
    <w:rsid w:val="007B7AB4"/>
    <w:rsid w:val="007C2405"/>
    <w:rsid w:val="007C2A54"/>
    <w:rsid w:val="007C2B69"/>
    <w:rsid w:val="007C2DC1"/>
    <w:rsid w:val="007C3B05"/>
    <w:rsid w:val="007C3D1D"/>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2DC9"/>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36682"/>
    <w:rsid w:val="00837970"/>
    <w:rsid w:val="00840298"/>
    <w:rsid w:val="00841BE4"/>
    <w:rsid w:val="00845A53"/>
    <w:rsid w:val="00847E8C"/>
    <w:rsid w:val="008505E1"/>
    <w:rsid w:val="00850B19"/>
    <w:rsid w:val="00852488"/>
    <w:rsid w:val="0085405E"/>
    <w:rsid w:val="008571DD"/>
    <w:rsid w:val="0085772E"/>
    <w:rsid w:val="00860344"/>
    <w:rsid w:val="00860E2C"/>
    <w:rsid w:val="00864BC6"/>
    <w:rsid w:val="00865399"/>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6CA"/>
    <w:rsid w:val="008B6CD2"/>
    <w:rsid w:val="008B72DD"/>
    <w:rsid w:val="008B7657"/>
    <w:rsid w:val="008C050B"/>
    <w:rsid w:val="008C1132"/>
    <w:rsid w:val="008C302A"/>
    <w:rsid w:val="008C3E42"/>
    <w:rsid w:val="008C4B72"/>
    <w:rsid w:val="008C5279"/>
    <w:rsid w:val="008C527D"/>
    <w:rsid w:val="008C5C9F"/>
    <w:rsid w:val="008C6773"/>
    <w:rsid w:val="008C72BB"/>
    <w:rsid w:val="008C7EBB"/>
    <w:rsid w:val="008D0DE6"/>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00F9"/>
    <w:rsid w:val="009031DE"/>
    <w:rsid w:val="00904BA9"/>
    <w:rsid w:val="00904E7E"/>
    <w:rsid w:val="0091086B"/>
    <w:rsid w:val="00911129"/>
    <w:rsid w:val="00912EA3"/>
    <w:rsid w:val="00914B6E"/>
    <w:rsid w:val="009156A2"/>
    <w:rsid w:val="0091579A"/>
    <w:rsid w:val="0091615D"/>
    <w:rsid w:val="00923E5E"/>
    <w:rsid w:val="00923F7E"/>
    <w:rsid w:val="00924C96"/>
    <w:rsid w:val="00925030"/>
    <w:rsid w:val="00925B32"/>
    <w:rsid w:val="00927E72"/>
    <w:rsid w:val="00930A64"/>
    <w:rsid w:val="00930BE5"/>
    <w:rsid w:val="00931403"/>
    <w:rsid w:val="00934991"/>
    <w:rsid w:val="009351A7"/>
    <w:rsid w:val="00941787"/>
    <w:rsid w:val="009426B9"/>
    <w:rsid w:val="00943936"/>
    <w:rsid w:val="00944E85"/>
    <w:rsid w:val="0094634C"/>
    <w:rsid w:val="009463AB"/>
    <w:rsid w:val="009466C3"/>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0AA3"/>
    <w:rsid w:val="0099128D"/>
    <w:rsid w:val="009917F1"/>
    <w:rsid w:val="00991E37"/>
    <w:rsid w:val="00991E74"/>
    <w:rsid w:val="009926A6"/>
    <w:rsid w:val="0099415E"/>
    <w:rsid w:val="009948BF"/>
    <w:rsid w:val="00997844"/>
    <w:rsid w:val="009978C2"/>
    <w:rsid w:val="009A2566"/>
    <w:rsid w:val="009A345F"/>
    <w:rsid w:val="009A4AE5"/>
    <w:rsid w:val="009A5218"/>
    <w:rsid w:val="009A6806"/>
    <w:rsid w:val="009B1717"/>
    <w:rsid w:val="009B22D2"/>
    <w:rsid w:val="009B2839"/>
    <w:rsid w:val="009B4038"/>
    <w:rsid w:val="009B4C17"/>
    <w:rsid w:val="009B5BF6"/>
    <w:rsid w:val="009B7565"/>
    <w:rsid w:val="009C1138"/>
    <w:rsid w:val="009C1C79"/>
    <w:rsid w:val="009C339C"/>
    <w:rsid w:val="009C33B8"/>
    <w:rsid w:val="009D07A0"/>
    <w:rsid w:val="009D107D"/>
    <w:rsid w:val="009D1871"/>
    <w:rsid w:val="009D2985"/>
    <w:rsid w:val="009D3033"/>
    <w:rsid w:val="009D5770"/>
    <w:rsid w:val="009D66FE"/>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561B"/>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5973"/>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A5"/>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CB2"/>
    <w:rsid w:val="00B20EBF"/>
    <w:rsid w:val="00B24F44"/>
    <w:rsid w:val="00B2505D"/>
    <w:rsid w:val="00B25428"/>
    <w:rsid w:val="00B255BB"/>
    <w:rsid w:val="00B25E24"/>
    <w:rsid w:val="00B2609A"/>
    <w:rsid w:val="00B301B1"/>
    <w:rsid w:val="00B353E7"/>
    <w:rsid w:val="00B35759"/>
    <w:rsid w:val="00B3619A"/>
    <w:rsid w:val="00B365B7"/>
    <w:rsid w:val="00B40BCA"/>
    <w:rsid w:val="00B42B27"/>
    <w:rsid w:val="00B4308D"/>
    <w:rsid w:val="00B440DA"/>
    <w:rsid w:val="00B4415A"/>
    <w:rsid w:val="00B503CD"/>
    <w:rsid w:val="00B548AB"/>
    <w:rsid w:val="00B54BBE"/>
    <w:rsid w:val="00B553F8"/>
    <w:rsid w:val="00B560B6"/>
    <w:rsid w:val="00B5630E"/>
    <w:rsid w:val="00B573B4"/>
    <w:rsid w:val="00B62FB6"/>
    <w:rsid w:val="00B635BF"/>
    <w:rsid w:val="00B7050A"/>
    <w:rsid w:val="00B70904"/>
    <w:rsid w:val="00B70A42"/>
    <w:rsid w:val="00B74791"/>
    <w:rsid w:val="00B76AF9"/>
    <w:rsid w:val="00B8115B"/>
    <w:rsid w:val="00B81AE2"/>
    <w:rsid w:val="00B82D30"/>
    <w:rsid w:val="00B83B45"/>
    <w:rsid w:val="00B87F62"/>
    <w:rsid w:val="00B914A4"/>
    <w:rsid w:val="00B92497"/>
    <w:rsid w:val="00B92C97"/>
    <w:rsid w:val="00B92D41"/>
    <w:rsid w:val="00B93679"/>
    <w:rsid w:val="00B9422D"/>
    <w:rsid w:val="00B95A1D"/>
    <w:rsid w:val="00B9634B"/>
    <w:rsid w:val="00BA5072"/>
    <w:rsid w:val="00BA5B65"/>
    <w:rsid w:val="00BA7BFE"/>
    <w:rsid w:val="00BB0ECA"/>
    <w:rsid w:val="00BB21A0"/>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15F"/>
    <w:rsid w:val="00BF3AFB"/>
    <w:rsid w:val="00BF3DD2"/>
    <w:rsid w:val="00BF4344"/>
    <w:rsid w:val="00BF6970"/>
    <w:rsid w:val="00BF69C6"/>
    <w:rsid w:val="00C005D8"/>
    <w:rsid w:val="00C02F31"/>
    <w:rsid w:val="00C04751"/>
    <w:rsid w:val="00C04DA5"/>
    <w:rsid w:val="00C0503F"/>
    <w:rsid w:val="00C050FC"/>
    <w:rsid w:val="00C05D40"/>
    <w:rsid w:val="00C11905"/>
    <w:rsid w:val="00C14462"/>
    <w:rsid w:val="00C16542"/>
    <w:rsid w:val="00C20199"/>
    <w:rsid w:val="00C2204B"/>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B50"/>
    <w:rsid w:val="00C56F88"/>
    <w:rsid w:val="00C57B7E"/>
    <w:rsid w:val="00C57EFF"/>
    <w:rsid w:val="00C60217"/>
    <w:rsid w:val="00C6384B"/>
    <w:rsid w:val="00C66D15"/>
    <w:rsid w:val="00C671D0"/>
    <w:rsid w:val="00C70449"/>
    <w:rsid w:val="00C7071B"/>
    <w:rsid w:val="00C73904"/>
    <w:rsid w:val="00C73BAE"/>
    <w:rsid w:val="00C73F7B"/>
    <w:rsid w:val="00C74055"/>
    <w:rsid w:val="00C7421D"/>
    <w:rsid w:val="00C76481"/>
    <w:rsid w:val="00C76812"/>
    <w:rsid w:val="00C76B9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159F"/>
    <w:rsid w:val="00CC1BC6"/>
    <w:rsid w:val="00CC34DB"/>
    <w:rsid w:val="00CC51AC"/>
    <w:rsid w:val="00CC609D"/>
    <w:rsid w:val="00CC7044"/>
    <w:rsid w:val="00CD0DC8"/>
    <w:rsid w:val="00CD11FF"/>
    <w:rsid w:val="00CD15E7"/>
    <w:rsid w:val="00CD2B20"/>
    <w:rsid w:val="00CE07A9"/>
    <w:rsid w:val="00CE1012"/>
    <w:rsid w:val="00CE419E"/>
    <w:rsid w:val="00CE5011"/>
    <w:rsid w:val="00CE574A"/>
    <w:rsid w:val="00CE5A8D"/>
    <w:rsid w:val="00CE5DC5"/>
    <w:rsid w:val="00CE629E"/>
    <w:rsid w:val="00CE66CE"/>
    <w:rsid w:val="00CE6922"/>
    <w:rsid w:val="00CE77AA"/>
    <w:rsid w:val="00CE7B59"/>
    <w:rsid w:val="00CF352C"/>
    <w:rsid w:val="00CF4570"/>
    <w:rsid w:val="00CF58EE"/>
    <w:rsid w:val="00D00811"/>
    <w:rsid w:val="00D02A43"/>
    <w:rsid w:val="00D04518"/>
    <w:rsid w:val="00D05489"/>
    <w:rsid w:val="00D05CA1"/>
    <w:rsid w:val="00D061CB"/>
    <w:rsid w:val="00D0796C"/>
    <w:rsid w:val="00D07B7D"/>
    <w:rsid w:val="00D119A3"/>
    <w:rsid w:val="00D11A35"/>
    <w:rsid w:val="00D13130"/>
    <w:rsid w:val="00D146D4"/>
    <w:rsid w:val="00D14B3C"/>
    <w:rsid w:val="00D14BA5"/>
    <w:rsid w:val="00D155D6"/>
    <w:rsid w:val="00D16580"/>
    <w:rsid w:val="00D16A09"/>
    <w:rsid w:val="00D20E20"/>
    <w:rsid w:val="00D21C3A"/>
    <w:rsid w:val="00D228DA"/>
    <w:rsid w:val="00D22E01"/>
    <w:rsid w:val="00D238A5"/>
    <w:rsid w:val="00D24621"/>
    <w:rsid w:val="00D2600F"/>
    <w:rsid w:val="00D26F81"/>
    <w:rsid w:val="00D30EEA"/>
    <w:rsid w:val="00D31534"/>
    <w:rsid w:val="00D32C1F"/>
    <w:rsid w:val="00D33FC2"/>
    <w:rsid w:val="00D37394"/>
    <w:rsid w:val="00D37EAF"/>
    <w:rsid w:val="00D46699"/>
    <w:rsid w:val="00D47345"/>
    <w:rsid w:val="00D5073F"/>
    <w:rsid w:val="00D51573"/>
    <w:rsid w:val="00D5399A"/>
    <w:rsid w:val="00D5444F"/>
    <w:rsid w:val="00D54E0D"/>
    <w:rsid w:val="00D54F7D"/>
    <w:rsid w:val="00D57528"/>
    <w:rsid w:val="00D602CA"/>
    <w:rsid w:val="00D60DD8"/>
    <w:rsid w:val="00D6188D"/>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07B"/>
    <w:rsid w:val="00DD2421"/>
    <w:rsid w:val="00DD3222"/>
    <w:rsid w:val="00DD3D81"/>
    <w:rsid w:val="00DD571C"/>
    <w:rsid w:val="00DD64E1"/>
    <w:rsid w:val="00DE039A"/>
    <w:rsid w:val="00DE0403"/>
    <w:rsid w:val="00DE4811"/>
    <w:rsid w:val="00DE5458"/>
    <w:rsid w:val="00DE5EE6"/>
    <w:rsid w:val="00DE77EA"/>
    <w:rsid w:val="00DF0ABA"/>
    <w:rsid w:val="00DF1EEE"/>
    <w:rsid w:val="00DF411E"/>
    <w:rsid w:val="00DF6C58"/>
    <w:rsid w:val="00E001C1"/>
    <w:rsid w:val="00E039F3"/>
    <w:rsid w:val="00E03C30"/>
    <w:rsid w:val="00E078BD"/>
    <w:rsid w:val="00E078F8"/>
    <w:rsid w:val="00E1142B"/>
    <w:rsid w:val="00E11F10"/>
    <w:rsid w:val="00E15118"/>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469C4"/>
    <w:rsid w:val="00E4734B"/>
    <w:rsid w:val="00E47BD8"/>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3259"/>
    <w:rsid w:val="00E84407"/>
    <w:rsid w:val="00E85E54"/>
    <w:rsid w:val="00E86146"/>
    <w:rsid w:val="00E86A76"/>
    <w:rsid w:val="00E87A90"/>
    <w:rsid w:val="00E904D1"/>
    <w:rsid w:val="00E92425"/>
    <w:rsid w:val="00E92AD3"/>
    <w:rsid w:val="00E959EA"/>
    <w:rsid w:val="00E96237"/>
    <w:rsid w:val="00E965D7"/>
    <w:rsid w:val="00E96D30"/>
    <w:rsid w:val="00EA1327"/>
    <w:rsid w:val="00EA3967"/>
    <w:rsid w:val="00EA623C"/>
    <w:rsid w:val="00EA6395"/>
    <w:rsid w:val="00EB044B"/>
    <w:rsid w:val="00EB067C"/>
    <w:rsid w:val="00EB3C66"/>
    <w:rsid w:val="00EB4B03"/>
    <w:rsid w:val="00EB5DEE"/>
    <w:rsid w:val="00EB64CB"/>
    <w:rsid w:val="00EB6D46"/>
    <w:rsid w:val="00EC07F3"/>
    <w:rsid w:val="00EC1C4B"/>
    <w:rsid w:val="00EC3194"/>
    <w:rsid w:val="00EC518D"/>
    <w:rsid w:val="00EC71D3"/>
    <w:rsid w:val="00ED02FE"/>
    <w:rsid w:val="00ED1EC9"/>
    <w:rsid w:val="00ED3737"/>
    <w:rsid w:val="00ED3856"/>
    <w:rsid w:val="00ED3E2E"/>
    <w:rsid w:val="00ED4CC8"/>
    <w:rsid w:val="00ED6A08"/>
    <w:rsid w:val="00ED790D"/>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244A"/>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2EB5"/>
    <w:rsid w:val="00F648C5"/>
    <w:rsid w:val="00F66036"/>
    <w:rsid w:val="00F6689D"/>
    <w:rsid w:val="00F67E23"/>
    <w:rsid w:val="00F71271"/>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243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3398"/>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3991225"/>
    <w:rsid w:val="063B24E3"/>
    <w:rsid w:val="067D300C"/>
    <w:rsid w:val="0A153B9A"/>
    <w:rsid w:val="0CF84EB3"/>
    <w:rsid w:val="382D28B0"/>
    <w:rsid w:val="4EBD7024"/>
    <w:rsid w:val="519B4DD7"/>
    <w:rsid w:val="55ED7B58"/>
    <w:rsid w:val="61FB2B2E"/>
    <w:rsid w:val="68010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Char"/>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Char"/>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3917</Words>
  <Characters>4111</Characters>
  <Lines>42</Lines>
  <Paragraphs>11</Paragraphs>
  <TotalTime>10</TotalTime>
  <ScaleCrop>false</ScaleCrop>
  <LinksUpToDate>false</LinksUpToDate>
  <CharactersWithSpaces>4320</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2019-06-20T14:46:00Z</dcterms:created>
  <dc:creator>Lilly</dc:creator>
  <cp:lastModifiedBy>汪洋</cp:lastModifiedBy>
  <cp:lastPrinted>2020-07-29T07:33:00Z</cp:lastPrinted>
  <dcterms:modified xsi:type="dcterms:W3CDTF">2022-09-15T00:42:58Z</dcterms:modified>
  <dc:title>生效期：</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926F6F5FF8644E049186ACEAC76CEC81</vt:lpwstr>
  </property>
</Properties>
</file>