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400307"/>
      <w:bookmarkStart w:id="1" w:name="_Toc482717189"/>
      <w:bookmarkStart w:id="2" w:name="_Toc483227223"/>
      <w:bookmarkStart w:id="3" w:name="_Toc484532399"/>
      <w:bookmarkStart w:id="4" w:name="_Toc483666358"/>
    </w:p>
    <w:p>
      <w:pPr>
        <w:spacing w:after="158" w:afterLines="50"/>
        <w:jc w:val="center"/>
        <w:rPr>
          <w:b/>
          <w:szCs w:val="21"/>
          <w:lang w:eastAsia="zh-CN"/>
        </w:rPr>
      </w:pPr>
      <w:permStart w:id="0" w:edGrp="everyone"/>
      <w:r>
        <w:rPr>
          <w:rFonts w:hint="eastAsia" w:ascii="宋体" w:hAnsi="宋体"/>
          <w:b/>
          <w:sz w:val="28"/>
          <w:szCs w:val="28"/>
          <w:lang w:eastAsia="zh-CN"/>
        </w:rPr>
        <w:t>细菌类疫苗室毒素组白喉原液车间台式密度计</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rPr>
          <w:rFonts w:hint="eastAsia"/>
        </w:rPr>
        <w:t>8</w:t>
      </w:r>
      <w:r>
        <w:rPr>
          <w:rFonts w:hint="eastAsia"/>
        </w:rP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rPr>
          <w:rFonts w:hint="eastAsia"/>
        </w:rPr>
        <w:t>8</w:t>
      </w:r>
      <w:r>
        <w:rPr>
          <w:rFonts w:hint="eastAsia"/>
        </w:rP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rPr>
          <w:rFonts w:hint="eastAsia"/>
        </w:rPr>
        <w:t>10</w:t>
      </w:r>
      <w:r>
        <w:rPr>
          <w:rFonts w:hint="eastAsia"/>
        </w:rP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w:t>
      </w:r>
      <w:r>
        <w:rPr>
          <w:rFonts w:hint="eastAsia"/>
        </w:rPr>
        <w:t>2</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522716115"/>
      <w:bookmarkStart w:id="6" w:name="_Toc522107735"/>
      <w:r>
        <w:rPr>
          <w:rFonts w:ascii="Times New Roman" w:hAnsi="Times New Roman"/>
          <w:b/>
        </w:rPr>
        <w:t>目的</w:t>
      </w:r>
      <w:bookmarkEnd w:id="5"/>
      <w:bookmarkEnd w:id="6"/>
    </w:p>
    <w:p>
      <w:pPr>
        <w:pStyle w:val="41"/>
        <w:spacing w:before="0" w:line="360" w:lineRule="auto"/>
        <w:ind w:left="357"/>
        <w:jc w:val="left"/>
        <w:rPr>
          <w:szCs w:val="21"/>
          <w:lang w:eastAsia="zh-CN"/>
        </w:rPr>
      </w:pPr>
      <w:bookmarkStart w:id="7" w:name="_Toc481702475"/>
      <w:bookmarkStart w:id="8" w:name="_Toc482370141"/>
      <w:bookmarkStart w:id="9" w:name="_Toc482369805"/>
      <w:bookmarkStart w:id="10" w:name="_Toc482360281"/>
      <w:bookmarkStart w:id="11" w:name="_Toc482370757"/>
      <w:bookmarkStart w:id="12" w:name="_Toc482370061"/>
      <w:bookmarkStart w:id="13" w:name="_Toc482625279"/>
      <w:bookmarkStart w:id="14" w:name="_Toc482370349"/>
      <w:bookmarkStart w:id="15" w:name="_Toc482359936"/>
      <w:r>
        <w:rPr>
          <w:szCs w:val="21"/>
          <w:lang w:eastAsia="zh-CN"/>
        </w:rPr>
        <w:t>本文件的目的是描述武汉生物制品研究所有限责任公司</w:t>
      </w:r>
      <w:permStart w:id="3" w:edGrp="everyone"/>
      <w:r>
        <w:rPr>
          <w:rFonts w:hint="eastAsia"/>
          <w:szCs w:val="21"/>
          <w:lang w:eastAsia="zh-CN"/>
        </w:rPr>
        <w:t>细菌类疫苗室毒素组白喉原液疫苗车间台式密度计</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细菌类疫苗室毒素组白喉原液疫苗车间台式密度计</w:t>
      </w:r>
      <w:permEnd w:id="4"/>
      <w:r>
        <w:rPr>
          <w:szCs w:val="21"/>
          <w:lang w:eastAsia="zh-CN"/>
        </w:rPr>
        <w:t>。</w:t>
      </w:r>
      <w:bookmarkEnd w:id="7"/>
      <w:bookmarkEnd w:id="8"/>
      <w:bookmarkEnd w:id="9"/>
      <w:bookmarkEnd w:id="10"/>
      <w:bookmarkEnd w:id="11"/>
      <w:bookmarkEnd w:id="12"/>
      <w:bookmarkEnd w:id="13"/>
      <w:bookmarkEnd w:id="14"/>
      <w:bookmarkEnd w:id="15"/>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《药品生产质量管理规范》（2010年修订）及附录</w:t>
      </w:r>
    </w:p>
    <w:p>
      <w:pPr>
        <w:pStyle w:val="41"/>
        <w:numPr>
          <w:ilvl w:val="0"/>
          <w:numId w:val="5"/>
        </w:numPr>
        <w:overflowPunct w:val="0"/>
        <w:autoSpaceDE w:val="0"/>
        <w:autoSpaceDN w:val="0"/>
        <w:spacing w:before="0" w:line="360" w:lineRule="auto"/>
        <w:ind w:left="777"/>
        <w:jc w:val="left"/>
        <w:rPr>
          <w:color w:val="000000"/>
          <w:szCs w:val="21"/>
          <w:lang w:eastAsia="zh-CN"/>
        </w:rPr>
      </w:pPr>
      <w:r>
        <w:rPr>
          <w:rFonts w:hint="eastAsia"/>
          <w:color w:val="000000"/>
          <w:szCs w:val="21"/>
          <w:lang w:eastAsia="zh-CN"/>
        </w:rPr>
        <w:t>中国药品生产验证指南（2003）</w:t>
      </w:r>
    </w:p>
    <w:p>
      <w:pPr>
        <w:pStyle w:val="41"/>
        <w:numPr>
          <w:ilvl w:val="0"/>
          <w:numId w:val="5"/>
        </w:numPr>
        <w:overflowPunct w:val="0"/>
        <w:autoSpaceDE w:val="0"/>
        <w:autoSpaceDN w:val="0"/>
        <w:spacing w:before="0" w:line="360" w:lineRule="auto"/>
        <w:ind w:left="777"/>
        <w:jc w:val="left"/>
        <w:rPr>
          <w:color w:val="000000"/>
          <w:szCs w:val="21"/>
          <w:lang w:eastAsia="zh-CN"/>
        </w:rPr>
      </w:pPr>
      <w:r>
        <w:rPr>
          <w:rFonts w:hint="eastAsia"/>
          <w:color w:val="000000"/>
          <w:szCs w:val="21"/>
          <w:lang w:eastAsia="zh-CN"/>
        </w:rPr>
        <w:t>自动化生产规范（GAMP）</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color w:val="000000"/>
          <w:szCs w:val="21"/>
          <w:lang w:eastAsia="zh-CN"/>
        </w:rPr>
      </w:pPr>
      <w:permStart w:id="6" w:edGrp="everyone"/>
      <w:r>
        <w:rPr>
          <w:rFonts w:hint="eastAsia"/>
          <w:color w:val="000000"/>
          <w:szCs w:val="21"/>
          <w:lang w:eastAsia="zh-CN"/>
        </w:rPr>
        <w:t>电气安全应符合GB4793.1和GB4793.4的要求</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《实验室设备生物安全性能评价技术规范》RB/T199-2015</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《实验室生物安全通用要求》GB19489-2008</w:t>
      </w:r>
    </w:p>
    <w:permEnd w:id="6"/>
    <w:p>
      <w:pPr>
        <w:pStyle w:val="41"/>
        <w:spacing w:before="0" w:line="360" w:lineRule="auto"/>
        <w:ind w:left="357"/>
        <w:jc w:val="left"/>
        <w:rPr>
          <w:i/>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20" w:name="_Toc522107739"/>
      <w:bookmarkStart w:id="21" w:name="_Toc522716119"/>
      <w:permStart w:id="7" w:edGrp="everyone"/>
      <w:permEnd w:id="7"/>
      <w:r>
        <w:rPr>
          <w:rFonts w:ascii="Times New Roman" w:hAnsi="Times New Roman"/>
          <w:b/>
        </w:rPr>
        <w:t>系统描述</w:t>
      </w:r>
      <w:bookmarkEnd w:id="20"/>
      <w:bookmarkEnd w:id="21"/>
    </w:p>
    <w:p>
      <w:pPr>
        <w:pStyle w:val="41"/>
        <w:spacing w:before="0" w:line="360" w:lineRule="auto"/>
        <w:ind w:left="425"/>
        <w:jc w:val="left"/>
        <w:rPr>
          <w:rFonts w:ascii="宋体" w:hAnsi="宋体"/>
          <w:lang w:eastAsia="zh-CN"/>
        </w:rPr>
      </w:pPr>
      <w:permStart w:id="8" w:edGrp="everyone"/>
      <w:r>
        <w:rPr>
          <w:rFonts w:hint="eastAsia" w:ascii="宋体" w:hAnsi="宋体"/>
          <w:sz w:val="24"/>
          <w:szCs w:val="24"/>
          <w:lang w:eastAsia="zh-CN"/>
        </w:rPr>
        <w:t>根据</w:t>
      </w:r>
      <w:r>
        <w:rPr>
          <w:rFonts w:hint="eastAsia" w:ascii="宋体" w:hAnsi="宋体"/>
          <w:bCs/>
          <w:sz w:val="24"/>
          <w:szCs w:val="24"/>
          <w:lang w:eastAsia="zh-CN"/>
        </w:rPr>
        <w:t>细菌类疫苗室毒素组白喉原液疫苗车间</w:t>
      </w:r>
      <w:r>
        <w:rPr>
          <w:rFonts w:hint="eastAsia" w:ascii="宋体" w:hAnsi="宋体"/>
          <w:sz w:val="24"/>
          <w:szCs w:val="24"/>
          <w:lang w:eastAsia="zh-CN"/>
        </w:rPr>
        <w:t>的生产需要，新购买1台台式密度仪，主要用于</w:t>
      </w:r>
      <w:r>
        <w:rPr>
          <w:rFonts w:hint="eastAsia" w:ascii="宋体" w:hAnsi="宋体"/>
          <w:color w:val="000000"/>
          <w:sz w:val="24"/>
          <w:lang w:eastAsia="zh-CN"/>
        </w:rPr>
        <w:t>白喉原液生产过程中的</w:t>
      </w:r>
      <w:r>
        <w:rPr>
          <w:rFonts w:hint="eastAsia" w:ascii="宋体" w:hAnsi="宋体"/>
          <w:sz w:val="24"/>
          <w:szCs w:val="24"/>
          <w:lang w:eastAsia="zh-CN"/>
        </w:rPr>
        <w:t>密度检测</w:t>
      </w:r>
      <w:r>
        <w:rPr>
          <w:rFonts w:hint="eastAsia" w:ascii="宋体" w:hAnsi="宋体"/>
          <w:lang w:eastAsia="zh-CN"/>
        </w:rPr>
        <w:t>。</w:t>
      </w:r>
    </w:p>
    <w:tbl>
      <w:tblPr>
        <w:tblStyle w:val="19"/>
        <w:tblW w:w="1063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583"/>
        <w:gridCol w:w="873"/>
        <w:gridCol w:w="1975"/>
        <w:gridCol w:w="4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shd w:val="pct25" w:color="auto" w:fill="FFFFFF"/>
            <w:vAlign w:val="center"/>
          </w:tcPr>
          <w:p>
            <w:pPr>
              <w:pStyle w:val="7"/>
              <w:spacing w:line="360" w:lineRule="auto"/>
              <w:jc w:val="center"/>
              <w:rPr>
                <w:rFonts w:ascii="宋体" w:hAnsi="宋体"/>
                <w:b/>
                <w:bCs/>
                <w:sz w:val="21"/>
                <w:szCs w:val="21"/>
              </w:rPr>
            </w:pPr>
            <w:r>
              <w:rPr>
                <w:rFonts w:hint="eastAsia" w:ascii="宋体" w:hAnsi="宋体" w:cs="宋体"/>
                <w:b/>
                <w:bCs/>
                <w:sz w:val="21"/>
                <w:szCs w:val="21"/>
              </w:rPr>
              <w:t>序号</w:t>
            </w:r>
          </w:p>
        </w:tc>
        <w:tc>
          <w:tcPr>
            <w:tcW w:w="2583" w:type="dxa"/>
            <w:shd w:val="pct25" w:color="auto" w:fill="FFFFFF"/>
            <w:vAlign w:val="center"/>
          </w:tcPr>
          <w:p>
            <w:pPr>
              <w:pStyle w:val="7"/>
              <w:spacing w:line="360" w:lineRule="auto"/>
              <w:jc w:val="center"/>
              <w:rPr>
                <w:rFonts w:ascii="宋体" w:hAnsi="宋体"/>
                <w:b/>
                <w:bCs/>
                <w:sz w:val="21"/>
                <w:szCs w:val="21"/>
              </w:rPr>
            </w:pPr>
            <w:r>
              <w:rPr>
                <w:rFonts w:hint="eastAsia" w:ascii="宋体" w:hAnsi="宋体" w:cs="宋体"/>
                <w:b/>
                <w:bCs/>
                <w:sz w:val="21"/>
                <w:szCs w:val="21"/>
              </w:rPr>
              <w:t>设备或设施名称</w:t>
            </w:r>
          </w:p>
        </w:tc>
        <w:tc>
          <w:tcPr>
            <w:tcW w:w="873" w:type="dxa"/>
            <w:shd w:val="pct25" w:color="auto" w:fill="FFFFFF"/>
            <w:vAlign w:val="center"/>
          </w:tcPr>
          <w:p>
            <w:pPr>
              <w:pStyle w:val="7"/>
              <w:spacing w:line="360" w:lineRule="auto"/>
              <w:jc w:val="center"/>
              <w:rPr>
                <w:rFonts w:ascii="宋体" w:hAnsi="宋体"/>
                <w:b/>
                <w:bCs/>
                <w:sz w:val="21"/>
                <w:szCs w:val="21"/>
              </w:rPr>
            </w:pPr>
            <w:r>
              <w:rPr>
                <w:rFonts w:hint="eastAsia" w:ascii="宋体" w:hAnsi="宋体" w:cs="宋体"/>
                <w:b/>
                <w:bCs/>
                <w:sz w:val="21"/>
                <w:szCs w:val="21"/>
              </w:rPr>
              <w:t>数量</w:t>
            </w:r>
          </w:p>
        </w:tc>
        <w:tc>
          <w:tcPr>
            <w:tcW w:w="1975" w:type="dxa"/>
            <w:shd w:val="pct25" w:color="auto" w:fill="FFFFFF"/>
            <w:vAlign w:val="center"/>
          </w:tcPr>
          <w:p>
            <w:pPr>
              <w:pStyle w:val="7"/>
              <w:spacing w:line="360" w:lineRule="auto"/>
              <w:jc w:val="center"/>
              <w:rPr>
                <w:rFonts w:ascii="宋体" w:hAnsi="宋体"/>
                <w:b/>
                <w:bCs/>
                <w:sz w:val="21"/>
                <w:szCs w:val="21"/>
              </w:rPr>
            </w:pPr>
            <w:r>
              <w:rPr>
                <w:rFonts w:hint="eastAsia" w:ascii="宋体" w:hAnsi="宋体" w:cs="宋体"/>
                <w:b/>
                <w:bCs/>
                <w:sz w:val="21"/>
                <w:szCs w:val="21"/>
              </w:rPr>
              <w:t>型号</w:t>
            </w:r>
            <w:r>
              <w:rPr>
                <w:rFonts w:ascii="宋体" w:hAnsi="宋体" w:cs="宋体"/>
                <w:b/>
                <w:bCs/>
                <w:sz w:val="21"/>
                <w:szCs w:val="21"/>
              </w:rPr>
              <w:t>/</w:t>
            </w:r>
            <w:r>
              <w:rPr>
                <w:rFonts w:hint="eastAsia" w:ascii="宋体" w:hAnsi="宋体" w:cs="宋体"/>
                <w:b/>
                <w:bCs/>
                <w:sz w:val="21"/>
                <w:szCs w:val="21"/>
              </w:rPr>
              <w:t>规格</w:t>
            </w:r>
          </w:p>
        </w:tc>
        <w:tc>
          <w:tcPr>
            <w:tcW w:w="4456" w:type="dxa"/>
            <w:shd w:val="pct25" w:color="auto" w:fill="FFFFFF"/>
            <w:vAlign w:val="center"/>
          </w:tcPr>
          <w:p>
            <w:pPr>
              <w:pStyle w:val="7"/>
              <w:spacing w:line="360" w:lineRule="auto"/>
              <w:jc w:val="center"/>
              <w:rPr>
                <w:rFonts w:ascii="宋体" w:hAnsi="宋体"/>
                <w:b/>
                <w:bCs/>
                <w:sz w:val="21"/>
                <w:szCs w:val="21"/>
              </w:rPr>
            </w:pPr>
            <w:r>
              <w:rPr>
                <w:rFonts w:hint="eastAsia" w:ascii="宋体" w:hAnsi="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pPr>
              <w:pStyle w:val="7"/>
              <w:spacing w:line="360" w:lineRule="auto"/>
              <w:jc w:val="center"/>
              <w:rPr>
                <w:rFonts w:ascii="宋体" w:hAnsi="宋体" w:cs="宋体"/>
                <w:sz w:val="21"/>
                <w:szCs w:val="21"/>
              </w:rPr>
            </w:pPr>
            <w:r>
              <w:rPr>
                <w:rFonts w:hint="eastAsia" w:ascii="宋体" w:hAnsi="宋体" w:cs="宋体"/>
                <w:sz w:val="21"/>
                <w:szCs w:val="21"/>
              </w:rPr>
              <w:t>1</w:t>
            </w:r>
          </w:p>
        </w:tc>
        <w:tc>
          <w:tcPr>
            <w:tcW w:w="2583" w:type="dxa"/>
            <w:vAlign w:val="center"/>
          </w:tcPr>
          <w:p>
            <w:pPr>
              <w:jc w:val="center"/>
              <w:rPr>
                <w:rFonts w:ascii="宋体" w:hAnsi="宋体"/>
                <w:color w:val="000000"/>
                <w:szCs w:val="21"/>
                <w:lang w:eastAsia="zh-CN"/>
              </w:rPr>
            </w:pPr>
            <w:r>
              <w:rPr>
                <w:rFonts w:ascii="宋体" w:hAnsi="宋体"/>
                <w:color w:val="000000"/>
                <w:szCs w:val="21"/>
                <w:lang w:eastAsia="zh-CN"/>
              </w:rPr>
              <w:t>台式密度仪</w:t>
            </w:r>
          </w:p>
        </w:tc>
        <w:tc>
          <w:tcPr>
            <w:tcW w:w="873" w:type="dxa"/>
            <w:vAlign w:val="center"/>
          </w:tcPr>
          <w:p>
            <w:pPr>
              <w:jc w:val="center"/>
              <w:rPr>
                <w:rFonts w:ascii="宋体" w:hAnsi="宋体"/>
                <w:color w:val="000000"/>
                <w:szCs w:val="21"/>
                <w:lang w:eastAsia="zh-CN"/>
              </w:rPr>
            </w:pPr>
            <w:r>
              <w:rPr>
                <w:rFonts w:hint="eastAsia" w:ascii="宋体" w:hAnsi="宋体"/>
                <w:color w:val="000000"/>
                <w:szCs w:val="21"/>
                <w:lang w:eastAsia="zh-CN"/>
              </w:rPr>
              <w:t>1</w:t>
            </w:r>
          </w:p>
        </w:tc>
        <w:tc>
          <w:tcPr>
            <w:tcW w:w="1975" w:type="dxa"/>
          </w:tcPr>
          <w:p>
            <w:pPr>
              <w:jc w:val="center"/>
              <w:rPr>
                <w:rFonts w:ascii="宋体" w:hAnsi="宋体"/>
                <w:color w:val="000000"/>
                <w:szCs w:val="21"/>
                <w:lang w:eastAsia="zh-CN"/>
              </w:rPr>
            </w:pPr>
            <w:r>
              <w:rPr>
                <w:rFonts w:hint="eastAsia" w:ascii="宋体" w:hAnsi="宋体"/>
                <w:color w:val="000000"/>
                <w:szCs w:val="21"/>
                <w:lang w:val="en-US" w:eastAsia="zh-CN"/>
              </w:rPr>
              <w:t>/</w:t>
            </w:r>
          </w:p>
        </w:tc>
        <w:tc>
          <w:tcPr>
            <w:tcW w:w="4456" w:type="dxa"/>
            <w:vAlign w:val="center"/>
          </w:tcPr>
          <w:p>
            <w:pPr>
              <w:jc w:val="center"/>
              <w:rPr>
                <w:rFonts w:ascii="宋体" w:hAnsi="宋体"/>
                <w:color w:val="000000"/>
                <w:szCs w:val="21"/>
                <w:lang w:eastAsia="zh-CN"/>
              </w:rPr>
            </w:pPr>
            <w:r>
              <w:rPr>
                <w:rFonts w:hint="eastAsia" w:ascii="宋体" w:hAnsi="宋体"/>
                <w:color w:val="000000"/>
                <w:sz w:val="24"/>
                <w:lang w:eastAsia="zh-CN"/>
              </w:rPr>
              <w:t>白喉原液生产过程中的</w:t>
            </w:r>
            <w:r>
              <w:rPr>
                <w:rFonts w:hint="eastAsia" w:ascii="宋体" w:hAnsi="宋体"/>
                <w:sz w:val="24"/>
                <w:szCs w:val="24"/>
                <w:lang w:eastAsia="zh-CN"/>
              </w:rPr>
              <w:t>密度检测。</w:t>
            </w:r>
          </w:p>
        </w:tc>
      </w:tr>
      <w:permEnd w:id="8"/>
    </w:tbl>
    <w:p>
      <w:pPr>
        <w:pStyle w:val="41"/>
        <w:spacing w:before="0" w:line="360" w:lineRule="auto"/>
        <w:jc w:val="left"/>
        <w:rPr>
          <w:i/>
          <w:color w:val="4472C4"/>
          <w:szCs w:val="21"/>
          <w:lang w:eastAsia="zh-CN"/>
        </w:rPr>
      </w:pPr>
    </w:p>
    <w:p>
      <w:pPr>
        <w:pStyle w:val="31"/>
        <w:numPr>
          <w:ilvl w:val="0"/>
          <w:numId w:val="3"/>
        </w:numPr>
        <w:spacing w:after="158" w:afterLines="50"/>
        <w:ind w:left="426" w:hanging="426" w:hangingChars="202"/>
        <w:outlineLvl w:val="0"/>
        <w:rPr>
          <w:rFonts w:ascii="Times New Roman" w:hAnsi="Times New Roman"/>
          <w:szCs w:val="21"/>
        </w:rPr>
      </w:pPr>
      <w:bookmarkStart w:id="22" w:name="_Toc522716120"/>
      <w:r>
        <w:rPr>
          <w:rFonts w:ascii="Times New Roman" w:hAnsi="Times New Roman"/>
          <w:b/>
          <w:szCs w:val="21"/>
        </w:rPr>
        <w:t>安装要求</w:t>
      </w:r>
      <w:bookmarkEnd w:id="22"/>
      <w:bookmarkStart w:id="47" w:name="_GoBack"/>
      <w:bookmarkEnd w:id="47"/>
      <w:permStart w:id="9" w:edGrp="everyone"/>
      <w:permEnd w:id="9"/>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2"/>
            <w:bookmarkStart w:id="24"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i/>
                <w:color w:val="0070C0"/>
                <w:szCs w:val="21"/>
                <w:lang w:eastAsia="zh-CN"/>
              </w:rPr>
            </w:pPr>
            <w:r>
              <w:rPr>
                <w:rFonts w:hint="eastAsia"/>
                <w:szCs w:val="21"/>
                <w:lang w:val="en-US" w:eastAsia="zh-CN"/>
              </w:rPr>
              <w:t>细菌类疫苗室毒素组白喉原液疫苗车间。</w:t>
            </w:r>
          </w:p>
        </w:tc>
        <w:tc>
          <w:tcPr>
            <w:tcW w:w="2125" w:type="dxa"/>
            <w:shd w:val="clear" w:color="auto" w:fill="auto"/>
            <w:vAlign w:val="center"/>
          </w:tcPr>
          <w:p>
            <w:pPr>
              <w:jc w:val="both"/>
              <w:rPr>
                <w:i/>
                <w:szCs w:val="21"/>
                <w:lang w:eastAsia="zh-CN"/>
              </w:rPr>
            </w:pPr>
            <w:r>
              <w:rPr>
                <w:rFonts w:hint="eastAsia"/>
                <w:color w:val="000000"/>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≤500mm×400mm×300mm</w:t>
            </w:r>
            <w:r>
              <w:rPr>
                <w:szCs w:val="21"/>
                <w:lang w:val="en-US" w:eastAsia="zh-CN"/>
              </w:rPr>
              <w:t>。</w:t>
            </w:r>
          </w:p>
          <w:p>
            <w:pPr>
              <w:spacing w:line="276" w:lineRule="auto"/>
              <w:jc w:val="both"/>
              <w:rPr>
                <w:rFonts w:hint="eastAsia"/>
                <w:i/>
                <w:color w:val="FF0000"/>
                <w:szCs w:val="21"/>
                <w:lang w:eastAsia="zh-CN"/>
              </w:rPr>
            </w:pPr>
            <w:r>
              <w:rPr>
                <w:szCs w:val="21"/>
                <w:lang w:val="en-US" w:eastAsia="zh-CN"/>
              </w:rPr>
              <w:t>供应商必须给出设备选型尺寸，供我公司使用部门选择。</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spacing w:line="276" w:lineRule="auto"/>
              <w:jc w:val="both"/>
              <w:rPr>
                <w:color w:val="0070C0"/>
                <w:szCs w:val="21"/>
                <w:lang w:val="en-US" w:eastAsia="zh-CN"/>
              </w:rPr>
            </w:pPr>
            <w:r>
              <w:rPr>
                <w:szCs w:val="21"/>
                <w:lang w:val="en-US" w:eastAsia="zh-CN"/>
              </w:rPr>
              <w:t>设备的形式尺寸应符合制造商说明书及技术文件规定的要求。</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70C0"/>
                <w:szCs w:val="21"/>
                <w:lang w:eastAsia="zh-CN"/>
              </w:rPr>
            </w:pPr>
            <w:r>
              <w:rPr>
                <w:szCs w:val="21"/>
                <w:lang w:val="en-US" w:eastAsia="zh-CN"/>
              </w:rPr>
              <w:t>供应商必须给出设备选型方案及相应附件选型方案，并交给我公司使用部门及工程类部门审核。</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firstLine="0" w:firstLineChars="0"/>
              <w:rPr>
                <w:rFonts w:ascii="Times New Roman" w:hAnsi="Times New Roman"/>
                <w:szCs w:val="21"/>
              </w:rPr>
            </w:pPr>
            <w:permStart w:id="13" w:edGrp="everyone"/>
          </w:p>
        </w:tc>
        <w:tc>
          <w:tcPr>
            <w:tcW w:w="9253" w:type="dxa"/>
            <w:gridSpan w:val="2"/>
            <w:shd w:val="clear" w:color="auto" w:fill="auto"/>
            <w:vAlign w:val="center"/>
          </w:tcPr>
          <w:p>
            <w:pPr>
              <w:spacing w:line="276" w:lineRule="auto"/>
              <w:jc w:val="both"/>
              <w:rPr>
                <w:i/>
                <w:color w:val="0070C0"/>
                <w:szCs w:val="21"/>
                <w:lang w:eastAsia="zh-CN"/>
              </w:rPr>
            </w:pPr>
            <w:r>
              <w:rPr>
                <w:rFonts w:hint="eastAsia"/>
                <w:lang w:val="en-US"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firstLine="0" w:firstLineChars="0"/>
              <w:rPr>
                <w:rFonts w:ascii="Times New Roman" w:hAnsi="Times New Roman"/>
                <w:szCs w:val="21"/>
              </w:rPr>
            </w:pPr>
            <w:permStart w:id="14" w:edGrp="everyone"/>
          </w:p>
        </w:tc>
        <w:tc>
          <w:tcPr>
            <w:tcW w:w="9253" w:type="dxa"/>
            <w:gridSpan w:val="2"/>
            <w:shd w:val="clear" w:color="auto" w:fill="auto"/>
            <w:vAlign w:val="center"/>
          </w:tcPr>
          <w:p>
            <w:pPr>
              <w:spacing w:line="276" w:lineRule="auto"/>
              <w:jc w:val="both"/>
              <w:rPr>
                <w:i/>
                <w:szCs w:val="21"/>
                <w:lang w:eastAsia="zh-CN"/>
              </w:rPr>
            </w:pPr>
            <w:r>
              <w:rPr>
                <w:rFonts w:ascii="宋体" w:hAnsi="宋体"/>
                <w:color w:val="000000"/>
                <w:szCs w:val="21"/>
                <w:lang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szCs w:val="21"/>
                <w:lang w:eastAsia="zh-CN"/>
              </w:rPr>
            </w:pPr>
            <w:r>
              <w:rPr>
                <w:rFonts w:hint="eastAsia"/>
                <w:lang w:eastAsia="zh-CN"/>
              </w:rPr>
              <w:t>适用于生产车间的</w:t>
            </w:r>
            <w:r>
              <w:rPr>
                <w:rFonts w:hint="eastAsia"/>
                <w:color w:val="000000"/>
                <w:lang w:eastAsia="zh-CN"/>
              </w:rPr>
              <w:t>工作环境温度：</w:t>
            </w:r>
            <w:r>
              <w:rPr>
                <w:rFonts w:hint="eastAsia"/>
                <w:szCs w:val="21"/>
                <w:lang w:eastAsia="zh-CN"/>
              </w:rPr>
              <w:t>能适应≤15℃环境。</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szCs w:val="21"/>
                <w:lang w:eastAsia="zh-CN"/>
              </w:rPr>
            </w:pPr>
            <w:r>
              <w:rPr>
                <w:rFonts w:hint="eastAsia"/>
                <w:color w:val="000000"/>
                <w:lang w:eastAsia="zh-CN"/>
              </w:rPr>
              <w:t>适用于我公司的工作环境湿度：</w:t>
            </w:r>
            <w:r>
              <w:rPr>
                <w:rFonts w:hint="eastAsia"/>
                <w:lang w:eastAsia="zh-CN"/>
              </w:rPr>
              <w:t>至少包括</w:t>
            </w:r>
            <w:r>
              <w:rPr>
                <w:lang w:eastAsia="zh-CN"/>
              </w:rPr>
              <w:t>45%</w:t>
            </w:r>
            <w:r>
              <w:rPr>
                <w:rFonts w:hint="eastAsia"/>
                <w:lang w:eastAsia="zh-CN"/>
              </w:rPr>
              <w:t>～</w:t>
            </w:r>
            <w:r>
              <w:rPr>
                <w:lang w:eastAsia="zh-CN"/>
              </w:rPr>
              <w:t>65%</w:t>
            </w:r>
            <w:r>
              <w:rPr>
                <w:rFonts w:hint="eastAsia"/>
                <w:lang w:eastAsia="zh-CN"/>
              </w:rPr>
              <w:t>。</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color w:val="000000"/>
                <w:lang w:eastAsia="zh-CN"/>
              </w:rPr>
            </w:pPr>
            <w:r>
              <w:rPr>
                <w:color w:val="000000"/>
                <w:lang w:eastAsia="zh-CN"/>
              </w:rPr>
              <w:t>工作环境洁净级别</w:t>
            </w:r>
            <w:r>
              <w:rPr>
                <w:rFonts w:hint="eastAsia"/>
                <w:szCs w:val="21"/>
                <w:lang w:eastAsia="zh-CN"/>
              </w:rPr>
              <w:t>D 级。</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spacing w:line="276" w:lineRule="auto"/>
              <w:jc w:val="both"/>
              <w:rPr>
                <w:color w:val="000000"/>
                <w:lang w:eastAsia="zh-CN"/>
              </w:rPr>
            </w:pPr>
            <w:r>
              <w:rPr>
                <w:rFonts w:hint="eastAsia"/>
                <w:szCs w:val="21"/>
                <w:lang w:eastAsia="zh-CN"/>
              </w:rPr>
              <w:t>匹配我公司</w:t>
            </w:r>
            <w:r>
              <w:rPr>
                <w:color w:val="000000"/>
                <w:lang w:eastAsia="zh-CN"/>
              </w:rPr>
              <w:t xml:space="preserve">交流电电源： 220±10%V，50±1Hz </w:t>
            </w:r>
            <w:r>
              <w:rPr>
                <w:rFonts w:hint="eastAsia"/>
                <w:color w:val="000000"/>
                <w:lang w:eastAsia="zh-CN"/>
              </w:rPr>
              <w:t>。</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9" w:edGrp="everyone"/>
          </w:p>
        </w:tc>
        <w:tc>
          <w:tcPr>
            <w:tcW w:w="7128" w:type="dxa"/>
            <w:shd w:val="clear" w:color="auto" w:fill="auto"/>
            <w:vAlign w:val="center"/>
          </w:tcPr>
          <w:p>
            <w:pPr>
              <w:spacing w:line="276" w:lineRule="auto"/>
              <w:jc w:val="both"/>
              <w:rPr>
                <w:i/>
                <w:color w:val="000000"/>
                <w:lang w:eastAsia="zh-CN"/>
              </w:rPr>
            </w:pPr>
            <w:r>
              <w:rPr>
                <w:rFonts w:hint="eastAsia" w:ascii="宋体" w:hAnsi="宋体" w:cs="宋体"/>
                <w:bCs/>
                <w:szCs w:val="21"/>
                <w:lang w:eastAsia="zh-CN"/>
              </w:rPr>
              <w:t>总体设计：</w:t>
            </w:r>
            <w:r>
              <w:rPr>
                <w:rFonts w:hint="eastAsia" w:ascii="宋体" w:hAnsi="宋体" w:cs="Arial"/>
                <w:szCs w:val="21"/>
                <w:lang w:eastAsia="zh-CN"/>
              </w:rPr>
              <w:t>设计结构应充分考虑其科学性和适用性，便于清洁消毒，符合卫生设计要求。</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宋体" w:hAnsi="宋体" w:cs="宋体"/>
                <w:bCs/>
                <w:szCs w:val="21"/>
                <w:lang w:eastAsia="zh-CN"/>
              </w:rPr>
            </w:pPr>
            <w:r>
              <w:rPr>
                <w:rFonts w:hint="eastAsia" w:ascii="宋体" w:hAnsi="宋体" w:cs="宋体"/>
                <w:bCs/>
                <w:szCs w:val="21"/>
                <w:lang w:eastAsia="zh-CN"/>
              </w:rPr>
              <w:t>设备在洁净区使用应满足整机能耐受臭氧、甲醛熏蒸、过氧化氢消毒并能耐受75%酒精、1%84消毒剂表面擦拭消毒，易于清洁，无死角</w:t>
            </w:r>
          </w:p>
        </w:tc>
        <w:tc>
          <w:tcPr>
            <w:tcW w:w="2125" w:type="dxa"/>
            <w:shd w:val="clear" w:color="auto" w:fill="auto"/>
            <w:vAlign w:val="center"/>
          </w:tcPr>
          <w:p>
            <w:pPr>
              <w:jc w:val="both"/>
              <w:rPr>
                <w:rFonts w:hint="eastAsia"/>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Arial"/>
                <w:color w:val="000000"/>
                <w:szCs w:val="21"/>
                <w:lang w:eastAsia="zh-CN"/>
              </w:rPr>
              <w:t>坚固且耐化学腐蚀的全金属外壳。</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val="en-US" w:eastAsia="zh-CN"/>
              </w:rPr>
              <w:t>标识</w:t>
            </w:r>
            <w:r>
              <w:rPr>
                <w:szCs w:val="21"/>
                <w:lang w:eastAsia="zh-CN"/>
              </w:rPr>
              <w:t>：至少应有以下永久贴牢和清楚易认的标识：</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7"/>
              <w:spacing w:line="276" w:lineRule="auto"/>
              <w:rPr>
                <w:color w:val="0070C0"/>
                <w:sz w:val="21"/>
                <w:szCs w:val="21"/>
                <w:lang w:eastAsia="zh-CN"/>
              </w:rPr>
            </w:pPr>
            <w:r>
              <w:rPr>
                <w:sz w:val="21"/>
                <w:szCs w:val="21"/>
              </w:rPr>
              <w:t>（</w:t>
            </w:r>
            <w:r>
              <w:rPr>
                <w:sz w:val="21"/>
                <w:szCs w:val="21"/>
                <w:lang w:eastAsia="zh-CN"/>
              </w:rPr>
              <w:t>6</w:t>
            </w:r>
            <w:r>
              <w:rPr>
                <w:sz w:val="21"/>
                <w:szCs w:val="21"/>
              </w:rPr>
              <w:t>）安全标识。</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bookmarkEnd w:id="23"/>
      <w:bookmarkEnd w:id="24"/>
      <w:permEnd w:id="19"/>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p>
      <w:pPr>
        <w:pStyle w:val="41"/>
        <w:spacing w:before="0" w:line="360" w:lineRule="auto"/>
        <w:ind w:left="357"/>
        <w:jc w:val="left"/>
        <w:rPr>
          <w:bCs/>
          <w:i/>
          <w:color w:val="4472C4"/>
          <w:kern w:val="44"/>
          <w:szCs w:val="21"/>
          <w:lang w:eastAsia="zh-CN"/>
        </w:rPr>
      </w:pPr>
      <w:permStart w:id="20" w:edGrp="everyone"/>
    </w:p>
    <w:p>
      <w:pPr>
        <w:pStyle w:val="41"/>
        <w:spacing w:before="0" w:line="360" w:lineRule="auto"/>
        <w:ind w:left="357"/>
        <w:jc w:val="left"/>
        <w:rPr>
          <w:bCs/>
          <w:i/>
          <w:color w:val="4472C4"/>
          <w:kern w:val="44"/>
          <w:szCs w:val="21"/>
          <w:lang w:eastAsia="zh-CN"/>
        </w:rPr>
      </w:pPr>
    </w:p>
    <w:permEnd w:id="20"/>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firstLine="0" w:firstLineChars="0"/>
              <w:rPr>
                <w:rFonts w:ascii="Times New Roman" w:hAnsi="Times New Roman"/>
                <w:szCs w:val="21"/>
              </w:rPr>
            </w:pPr>
            <w:permStart w:id="21" w:edGrp="everyone"/>
          </w:p>
        </w:tc>
        <w:tc>
          <w:tcPr>
            <w:tcW w:w="9253" w:type="dxa"/>
            <w:gridSpan w:val="2"/>
            <w:shd w:val="clear" w:color="auto" w:fill="auto"/>
            <w:vAlign w:val="center"/>
          </w:tcPr>
          <w:p>
            <w:pPr>
              <w:spacing w:line="276" w:lineRule="auto"/>
              <w:jc w:val="both"/>
              <w:rPr>
                <w:szCs w:val="21"/>
                <w:lang w:eastAsia="zh-CN"/>
              </w:rPr>
            </w:pPr>
            <w:r>
              <w:rPr>
                <w:rFonts w:hint="eastAsia"/>
                <w:sz w:val="18"/>
                <w:szCs w:val="18"/>
                <w:lang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firstLine="0" w:firstLineChars="0"/>
              <w:rPr>
                <w:rFonts w:ascii="Times New Roman" w:hAnsi="Times New Roman"/>
                <w:szCs w:val="21"/>
              </w:rPr>
            </w:pPr>
            <w:permStart w:id="22" w:edGrp="everyone"/>
          </w:p>
        </w:tc>
        <w:tc>
          <w:tcPr>
            <w:tcW w:w="9253" w:type="dxa"/>
            <w:gridSpan w:val="2"/>
            <w:shd w:val="clear" w:color="auto" w:fill="auto"/>
            <w:vAlign w:val="center"/>
          </w:tcPr>
          <w:p>
            <w:pPr>
              <w:spacing w:line="276" w:lineRule="auto"/>
              <w:jc w:val="both"/>
              <w:rPr>
                <w:szCs w:val="21"/>
                <w:lang w:eastAsia="zh-CN"/>
              </w:rPr>
            </w:pPr>
            <w:r>
              <w:rPr>
                <w:rFonts w:hint="eastAsia"/>
                <w:color w:val="000000"/>
                <w:szCs w:val="21"/>
                <w:lang w:val="en-US" w:eastAsia="zh-CN"/>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3" w:edGrp="everyone"/>
          </w:p>
        </w:tc>
        <w:tc>
          <w:tcPr>
            <w:tcW w:w="7128" w:type="dxa"/>
            <w:shd w:val="clear" w:color="auto" w:fill="auto"/>
            <w:vAlign w:val="center"/>
          </w:tcPr>
          <w:p>
            <w:pPr>
              <w:tabs>
                <w:tab w:val="left" w:pos="1365"/>
              </w:tabs>
              <w:rPr>
                <w:rFonts w:ascii="宋体" w:hAnsi="宋体" w:cs="宋体"/>
                <w:szCs w:val="21"/>
                <w:lang w:eastAsia="zh-CN"/>
              </w:rPr>
            </w:pPr>
            <w:r>
              <w:rPr>
                <w:rFonts w:hint="eastAsia" w:ascii="宋体" w:hAnsi="宋体" w:cs="宋体"/>
                <w:szCs w:val="21"/>
                <w:lang w:eastAsia="zh-CN"/>
              </w:rPr>
              <w:t>密度测量范围：0-3g/cm</w:t>
            </w:r>
            <w:r>
              <w:rPr>
                <w:rFonts w:hint="eastAsia" w:ascii="宋体" w:hAnsi="宋体" w:cs="宋体"/>
                <w:szCs w:val="21"/>
                <w:vertAlign w:val="superscript"/>
                <w:lang w:eastAsia="zh-CN"/>
              </w:rPr>
              <w:t>3</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tabs>
                <w:tab w:val="left" w:pos="1365"/>
              </w:tabs>
              <w:rPr>
                <w:rFonts w:ascii="宋体" w:hAnsi="宋体" w:cs="宋体"/>
                <w:szCs w:val="21"/>
                <w:lang w:eastAsia="zh-CN"/>
              </w:rPr>
            </w:pPr>
            <w:r>
              <w:rPr>
                <w:rFonts w:hint="eastAsia" w:ascii="宋体" w:hAnsi="宋体" w:cs="宋体"/>
                <w:szCs w:val="21"/>
                <w:lang w:eastAsia="zh-CN"/>
              </w:rPr>
              <w:t>密度测量分辨率:0.0001g/cm</w:t>
            </w:r>
            <w:r>
              <w:rPr>
                <w:rFonts w:hint="eastAsia" w:ascii="宋体" w:hAnsi="宋体" w:cs="宋体"/>
                <w:szCs w:val="21"/>
                <w:vertAlign w:val="superscript"/>
                <w:lang w:eastAsia="zh-CN"/>
              </w:rPr>
              <w:t>3</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4" w:edGrp="everyone"/>
          </w:p>
        </w:tc>
        <w:tc>
          <w:tcPr>
            <w:tcW w:w="7128" w:type="dxa"/>
            <w:shd w:val="clear" w:color="auto" w:fill="auto"/>
            <w:vAlign w:val="center"/>
          </w:tcPr>
          <w:p>
            <w:pPr>
              <w:tabs>
                <w:tab w:val="left" w:pos="1365"/>
              </w:tabs>
              <w:rPr>
                <w:rFonts w:ascii="宋体" w:hAnsi="宋体" w:cs="宋体"/>
                <w:szCs w:val="21"/>
                <w:lang w:eastAsia="zh-CN"/>
              </w:rPr>
            </w:pPr>
            <w:r>
              <w:rPr>
                <w:rFonts w:hint="eastAsia" w:ascii="宋体" w:hAnsi="宋体" w:cs="宋体"/>
                <w:szCs w:val="21"/>
                <w:lang w:eastAsia="zh-CN"/>
              </w:rPr>
              <w:t>密度测量精度：</w:t>
            </w:r>
            <w:r>
              <w:rPr>
                <w:rFonts w:ascii="宋体" w:hAnsi="宋体" w:cs="宋体"/>
                <w:szCs w:val="21"/>
                <w:lang w:eastAsia="zh-CN"/>
              </w:rPr>
              <w:t>2</w:t>
            </w:r>
            <w:r>
              <w:rPr>
                <w:rFonts w:hint="eastAsia" w:ascii="宋体" w:hAnsi="宋体" w:cs="宋体"/>
                <w:szCs w:val="21"/>
                <w:lang w:eastAsia="zh-CN"/>
              </w:rPr>
              <w:t xml:space="preserve"> x 10</w:t>
            </w:r>
            <w:r>
              <w:rPr>
                <w:rFonts w:hint="eastAsia" w:ascii="宋体" w:hAnsi="宋体" w:cs="宋体"/>
                <w:szCs w:val="21"/>
                <w:vertAlign w:val="superscript"/>
                <w:lang w:eastAsia="zh-CN"/>
              </w:rPr>
              <w:t>-</w:t>
            </w:r>
            <w:r>
              <w:rPr>
                <w:rFonts w:ascii="宋体" w:hAnsi="宋体" w:cs="宋体"/>
                <w:szCs w:val="21"/>
                <w:vertAlign w:val="superscript"/>
                <w:lang w:eastAsia="zh-CN"/>
              </w:rPr>
              <w:t>4</w:t>
            </w:r>
            <w:r>
              <w:rPr>
                <w:rFonts w:hint="eastAsia" w:ascii="宋体" w:hAnsi="宋体" w:cs="宋体"/>
                <w:szCs w:val="21"/>
                <w:lang w:eastAsia="zh-CN"/>
              </w:rPr>
              <w:t xml:space="preserve"> g/cm</w:t>
            </w:r>
            <w:r>
              <w:rPr>
                <w:rFonts w:hint="eastAsia" w:ascii="宋体" w:hAnsi="宋体" w:cs="宋体"/>
                <w:szCs w:val="21"/>
                <w:vertAlign w:val="superscript"/>
                <w:lang w:eastAsia="zh-CN"/>
              </w:rPr>
              <w:t>3</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tabs>
                <w:tab w:val="left" w:pos="1365"/>
              </w:tabs>
              <w:rPr>
                <w:rFonts w:ascii="宋体" w:hAnsi="宋体" w:cs="宋体"/>
                <w:szCs w:val="21"/>
                <w:lang w:eastAsia="zh-CN"/>
              </w:rPr>
            </w:pPr>
            <w:r>
              <w:rPr>
                <w:rFonts w:hint="eastAsia"/>
                <w:lang w:eastAsia="zh-CN"/>
              </w:rPr>
              <w:t>密度重复性：±0.00005</w:t>
            </w:r>
          </w:p>
        </w:tc>
        <w:tc>
          <w:tcPr>
            <w:tcW w:w="2125" w:type="dxa"/>
            <w:shd w:val="clear" w:color="auto" w:fill="auto"/>
            <w:vAlign w:val="center"/>
          </w:tcPr>
          <w:p>
            <w:pPr>
              <w:jc w:val="both"/>
              <w:rPr>
                <w:b/>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tabs>
                <w:tab w:val="left" w:pos="1365"/>
              </w:tabs>
              <w:rPr>
                <w:rFonts w:ascii="宋体" w:hAnsi="宋体" w:cs="宋体"/>
                <w:szCs w:val="21"/>
                <w:lang w:eastAsia="zh-CN"/>
              </w:rPr>
            </w:pPr>
            <w:r>
              <w:rPr>
                <w:rFonts w:hint="eastAsia" w:ascii="宋体" w:hAnsi="宋体" w:cs="宋体"/>
                <w:szCs w:val="21"/>
                <w:lang w:eastAsia="zh-CN"/>
              </w:rPr>
              <w:t>温度范准确度 ℃：±0.03</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ascii="宋体" w:hAnsi="宋体" w:cs="宋体"/>
                <w:szCs w:val="21"/>
                <w:lang w:eastAsia="zh-CN"/>
              </w:rPr>
              <w:t>全粘度范围的自动粘度补偿，需能显示粘度修正前后的密度值。</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tabs>
                <w:tab w:val="left" w:pos="426"/>
              </w:tabs>
              <w:rPr>
                <w:rFonts w:ascii="宋体" w:hAnsi="宋体" w:cs="宋体"/>
                <w:szCs w:val="21"/>
                <w:lang w:eastAsia="zh-CN"/>
              </w:rPr>
            </w:pPr>
            <w:r>
              <w:rPr>
                <w:rFonts w:hint="eastAsia" w:ascii="宋体" w:hAnsi="宋体" w:cs="宋体"/>
                <w:szCs w:val="21"/>
                <w:lang w:eastAsia="zh-CN"/>
              </w:rPr>
              <w:t>可在当前测量温度校正,无需让系统恒温至标准温度下校正。</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cs="宋体"/>
                <w:szCs w:val="21"/>
                <w:lang w:eastAsia="zh-CN"/>
              </w:rPr>
            </w:pPr>
            <w:r>
              <w:rPr>
                <w:rFonts w:hint="eastAsia" w:ascii="宋体" w:hAnsi="宋体" w:cs="宋体"/>
                <w:color w:val="000000" w:themeColor="text1"/>
                <w:szCs w:val="21"/>
                <w:lang w:eastAsia="zh-CN"/>
              </w:rPr>
              <w:t>需可视功能，实时监控样品进样过程。</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cs="HYb2gj" w:asciiTheme="majorEastAsia" w:hAnsiTheme="majorEastAsia" w:eastAsiaTheme="majorEastAsia"/>
                <w:szCs w:val="21"/>
                <w:lang w:eastAsia="zh-CN"/>
              </w:rPr>
            </w:pPr>
            <w:r>
              <w:rPr>
                <w:rFonts w:hint="eastAsia" w:ascii="宋体" w:hAnsi="宋体" w:cs="宋体"/>
                <w:szCs w:val="21"/>
                <w:lang w:eastAsia="zh-CN"/>
              </w:rPr>
              <w:t>可自动检测进样错误或样品中的气泡，提醒操作者并自动保存错误报告。</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TFT高亮度彩色中文触摸屏，可选中文语言。</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ascii="宋体" w:hAnsi="宋体" w:cs="宋体"/>
                <w:szCs w:val="21"/>
                <w:lang w:eastAsia="zh-CN"/>
              </w:rPr>
              <w:t>可实现单点,两点,标准温度或任意测量温度下的自定义校准。</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1"/>
                <w:lang w:eastAsia="zh-CN"/>
              </w:rPr>
            </w:pPr>
            <w:r>
              <w:rPr>
                <w:rFonts w:hint="eastAsia" w:cs="宋体"/>
                <w:szCs w:val="21"/>
                <w:lang w:eastAsia="zh-CN"/>
              </w:rPr>
              <w:t>内置参考温度传感器，不会产生由于环境温度变化而引起的误差。</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cs="宋体"/>
                <w:szCs w:val="21"/>
                <w:lang w:eastAsia="zh-CN"/>
              </w:rPr>
            </w:pPr>
            <w:r>
              <w:rPr>
                <w:rFonts w:hint="eastAsia"/>
                <w:szCs w:val="21"/>
                <w:lang w:val="en-US" w:eastAsia="zh-CN"/>
              </w:rPr>
              <w:t>主机连接功能：3×USB主机（打印机、U盘、条形码扫描器、集线器、键盘、鼠标）；USB设备（电脑软件）；以太网（网络与电脑软件）；RS232（自动装置）；HDMI（触摸屏）。</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5" w:edGrp="everyone"/>
          </w:p>
        </w:tc>
        <w:tc>
          <w:tcPr>
            <w:tcW w:w="7128" w:type="dxa"/>
            <w:shd w:val="clear" w:color="auto" w:fill="auto"/>
            <w:vAlign w:val="center"/>
          </w:tcPr>
          <w:p>
            <w:pPr>
              <w:spacing w:line="276" w:lineRule="auto"/>
              <w:jc w:val="both"/>
              <w:rPr>
                <w:szCs w:val="21"/>
                <w:lang w:eastAsia="zh-CN"/>
              </w:rPr>
            </w:pPr>
            <w:r>
              <w:rPr>
                <w:rFonts w:hint="eastAsia" w:ascii="宋体" w:hAnsi="宋体" w:cs="宋体"/>
                <w:szCs w:val="21"/>
                <w:lang w:eastAsia="zh-CN"/>
              </w:rPr>
              <w:t>设备表面需整体防溅水。</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1"/>
                <w:lang w:eastAsia="zh-CN"/>
              </w:rPr>
            </w:pPr>
            <w:r>
              <w:rPr>
                <w:rFonts w:hint="eastAsia"/>
                <w:color w:val="000000"/>
                <w:szCs w:val="21"/>
                <w:lang w:eastAsia="zh-CN"/>
              </w:rPr>
              <w:t>主机可以直接连接ERPs，LIMS，ELN等第三方软件系统中。</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rFonts w:hint="eastAsia"/>
                <w:color w:val="000000"/>
                <w:szCs w:val="21"/>
                <w:lang w:eastAsia="zh-CN"/>
              </w:rPr>
              <w:t>可配套LabX电脑软件，实现数据管理，并且完全符合21 CFR Part 11等法规要求。</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rFonts w:hint="eastAsia"/>
                <w:color w:val="000000"/>
                <w:szCs w:val="21"/>
                <w:lang w:eastAsia="zh-CN"/>
              </w:rPr>
              <w:t>可拓展连接其它配套设备。</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rFonts w:hint="eastAsia"/>
                <w:color w:val="000000"/>
                <w:szCs w:val="21"/>
                <w:lang w:eastAsia="zh-CN"/>
              </w:rPr>
              <w:t>设备需带打印功能。</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permEnd w:id="25"/>
    </w:tbl>
    <w:p>
      <w:pPr>
        <w:pStyle w:val="31"/>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370767"/>
      <w:bookmarkStart w:id="30" w:name="_Toc482625289"/>
      <w:bookmarkStart w:id="31" w:name="_Toc482717202"/>
      <w:bookmarkStart w:id="32" w:name="_Toc483227237"/>
      <w:bookmarkStart w:id="33" w:name="_Toc483400317"/>
      <w:bookmarkStart w:id="34" w:name="_Toc482370151"/>
      <w:bookmarkStart w:id="35" w:name="_Toc482370359"/>
      <w:bookmarkStart w:id="36" w:name="_Toc482359946"/>
      <w:bookmarkStart w:id="37" w:name="_Toc482370071"/>
      <w:bookmarkStart w:id="38" w:name="_Toc481702480"/>
      <w:bookmarkStart w:id="39" w:name="_Toc482360291"/>
      <w:bookmarkStart w:id="40" w:name="_Toc482369815"/>
      <w:r>
        <w:rPr>
          <w:rFonts w:ascii="Times New Roman" w:hAnsi="Times New Roman"/>
          <w:b/>
        </w:rPr>
        <w:t>电气、自动控制要求</w:t>
      </w:r>
      <w:bookmarkEnd w:id="27"/>
    </w:p>
    <w:p>
      <w:pPr>
        <w:pStyle w:val="41"/>
        <w:spacing w:before="0" w:line="360" w:lineRule="auto"/>
        <w:ind w:left="425"/>
        <w:jc w:val="left"/>
        <w:rPr>
          <w:i/>
          <w:color w:val="4472C4"/>
          <w:szCs w:val="21"/>
          <w:lang w:eastAsia="zh-CN"/>
        </w:rPr>
      </w:pPr>
      <w:permStart w:id="26" w:edGrp="everyone"/>
    </w:p>
    <w:permEnd w:id="26"/>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firstLine="0" w:firstLineChars="0"/>
              <w:rPr>
                <w:rFonts w:ascii="Times New Roman" w:hAnsi="Times New Roman"/>
                <w:szCs w:val="21"/>
              </w:rPr>
            </w:pPr>
            <w:permStart w:id="27" w:edGrp="everyone"/>
          </w:p>
        </w:tc>
        <w:tc>
          <w:tcPr>
            <w:tcW w:w="9253" w:type="dxa"/>
            <w:gridSpan w:val="2"/>
            <w:shd w:val="clear" w:color="auto" w:fill="auto"/>
            <w:vAlign w:val="center"/>
          </w:tcPr>
          <w:p>
            <w:pPr>
              <w:spacing w:line="276" w:lineRule="auto"/>
              <w:jc w:val="both"/>
              <w:rPr>
                <w:szCs w:val="21"/>
                <w:lang w:eastAsia="zh-CN"/>
              </w:rPr>
            </w:pPr>
            <w:r>
              <w:rPr>
                <w:rFonts w:hint="eastAsia"/>
                <w:lang w:val="en-US" w:eastAsia="zh-CN"/>
              </w:rPr>
              <w:t>N/A</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8" w:edGrp="everyone"/>
          </w:p>
        </w:tc>
        <w:tc>
          <w:tcPr>
            <w:tcW w:w="7128" w:type="dxa"/>
            <w:shd w:val="clear" w:color="auto" w:fill="auto"/>
            <w:vAlign w:val="center"/>
          </w:tcPr>
          <w:p>
            <w:pPr>
              <w:spacing w:line="276" w:lineRule="auto"/>
              <w:jc w:val="both"/>
              <w:rPr>
                <w:szCs w:val="21"/>
                <w:lang w:eastAsia="zh-CN"/>
              </w:rPr>
            </w:pPr>
            <w:r>
              <w:rPr>
                <w:color w:val="000000"/>
                <w:szCs w:val="21"/>
                <w:lang w:eastAsia="zh-CN"/>
              </w:rPr>
              <w:t>台式密度计具有</w:t>
            </w:r>
            <w:r>
              <w:rPr>
                <w:rFonts w:hint="eastAsia"/>
                <w:color w:val="000000"/>
                <w:szCs w:val="21"/>
                <w:lang w:eastAsia="zh-CN"/>
              </w:rPr>
              <w:t>用户权限管理至少（三级权限），</w:t>
            </w:r>
            <w:r>
              <w:rPr>
                <w:rFonts w:ascii="宋体" w:hAnsi="宋体"/>
                <w:color w:val="000000"/>
                <w:szCs w:val="21"/>
                <w:lang w:eastAsia="zh-CN"/>
              </w:rPr>
              <w:t>并有用户分级管理功能，每个等级拥有相应的可设置权限。</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28"/>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p>
      <w:pPr>
        <w:pStyle w:val="41"/>
        <w:spacing w:before="0" w:line="360" w:lineRule="auto"/>
        <w:ind w:left="357"/>
        <w:jc w:val="left"/>
        <w:rPr>
          <w:i/>
          <w:color w:val="4472C4"/>
          <w:szCs w:val="21"/>
          <w:lang w:eastAsia="zh-CN"/>
        </w:rPr>
      </w:pPr>
      <w:permStart w:id="29" w:edGrp="everyone"/>
    </w:p>
    <w:permEnd w:id="29"/>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firstLine="0" w:firstLineChars="0"/>
              <w:rPr>
                <w:rFonts w:ascii="Times New Roman" w:hAnsi="Times New Roman"/>
                <w:szCs w:val="21"/>
              </w:rPr>
            </w:pPr>
            <w:permStart w:id="30" w:edGrp="everyone"/>
          </w:p>
        </w:tc>
        <w:tc>
          <w:tcPr>
            <w:tcW w:w="9253" w:type="dxa"/>
            <w:gridSpan w:val="2"/>
            <w:shd w:val="clear" w:color="auto" w:fill="auto"/>
            <w:vAlign w:val="center"/>
          </w:tcPr>
          <w:p>
            <w:pPr>
              <w:spacing w:line="276" w:lineRule="auto"/>
              <w:jc w:val="both"/>
              <w:rPr>
                <w:szCs w:val="21"/>
                <w:lang w:eastAsia="zh-CN"/>
              </w:rPr>
            </w:pPr>
            <w:r>
              <w:rPr>
                <w:rFonts w:hint="eastAsia"/>
                <w:szCs w:val="21"/>
                <w:lang w:eastAsia="zh-CN"/>
              </w:rPr>
              <w:t>N/A</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1" w:edGrp="everyone"/>
            <w:r>
              <w:rPr>
                <w:rFonts w:hint="eastAsia" w:ascii="Times New Roman" w:hAnsi="Times New Roman"/>
                <w:szCs w:val="21"/>
              </w:rPr>
              <w:t>2</w:t>
            </w:r>
          </w:p>
        </w:tc>
        <w:tc>
          <w:tcPr>
            <w:tcW w:w="7125" w:type="dxa"/>
            <w:shd w:val="clear" w:color="auto" w:fill="auto"/>
            <w:vAlign w:val="center"/>
          </w:tcPr>
          <w:p>
            <w:pPr>
              <w:jc w:val="both"/>
              <w:rPr>
                <w:szCs w:val="21"/>
                <w:lang w:eastAsia="zh-CN"/>
              </w:rPr>
            </w:pPr>
            <w:r>
              <w:rPr>
                <w:rFonts w:hint="eastAsia"/>
                <w:szCs w:val="21"/>
                <w:lang w:eastAsia="zh-CN"/>
              </w:rPr>
              <w:t>设备具有良好的接地。</w:t>
            </w:r>
          </w:p>
        </w:tc>
        <w:tc>
          <w:tcPr>
            <w:tcW w:w="2128" w:type="dxa"/>
            <w:shd w:val="clear" w:color="auto" w:fill="auto"/>
            <w:vAlign w:val="center"/>
          </w:tcPr>
          <w:p>
            <w:pPr>
              <w:jc w:val="both"/>
              <w:rPr>
                <w:szCs w:val="21"/>
                <w:lang w:eastAsia="zh-CN"/>
              </w:rPr>
            </w:pPr>
            <w:r>
              <w:rPr>
                <w:rFonts w:hint="eastAsia"/>
                <w:szCs w:val="21"/>
                <w:lang w:eastAsia="zh-CN"/>
              </w:rPr>
              <w:t>关键</w:t>
            </w:r>
          </w:p>
        </w:tc>
      </w:tr>
      <w:permEnd w:id="31"/>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716124"/>
      <w:bookmarkStart w:id="43" w:name="_Toc522107743"/>
      <w:r>
        <w:rPr>
          <w:rFonts w:ascii="Times New Roman" w:hAnsi="Times New Roman"/>
          <w:b/>
        </w:rPr>
        <w:t>文件要求</w:t>
      </w:r>
      <w:bookmarkEnd w:id="42"/>
      <w:bookmarkEnd w:id="43"/>
    </w:p>
    <w:p>
      <w:pPr>
        <w:pStyle w:val="41"/>
        <w:spacing w:before="0" w:line="360" w:lineRule="auto"/>
        <w:ind w:left="357"/>
        <w:jc w:val="left"/>
        <w:rPr>
          <w:i/>
          <w:szCs w:val="21"/>
          <w:lang w:eastAsia="zh-CN"/>
        </w:rPr>
      </w:pPr>
      <w:permStart w:id="32" w:edGrp="everyone"/>
    </w:p>
    <w:permEnd w:id="32"/>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shd w:val="clear" w:color="auto" w:fill="auto"/>
            <w:vAlign w:val="center"/>
          </w:tcPr>
          <w:p>
            <w:pPr>
              <w:jc w:val="both"/>
              <w:rPr>
                <w:szCs w:val="21"/>
                <w:lang w:eastAsia="zh-CN"/>
              </w:rPr>
            </w:pPr>
            <w:r>
              <w:rPr>
                <w:rFonts w:hint="eastAsia" w:ascii="宋体" w:hAnsi="宋体" w:cs="宋体"/>
                <w:szCs w:val="21"/>
                <w:lang w:eastAsia="zh-CN"/>
              </w:rPr>
              <w:t>投标文件、合同、订单及</w:t>
            </w:r>
            <w:r>
              <w:rPr>
                <w:rFonts w:hint="eastAsia" w:ascii="宋体" w:hAnsi="宋体" w:cs="宋体"/>
                <w:szCs w:val="21"/>
                <w:u w:color="333333"/>
                <w:lang w:val="zh-TW" w:eastAsia="zh-TW"/>
              </w:rPr>
              <w:t>设备交付计划表。</w:t>
            </w:r>
            <w:r>
              <w:rPr>
                <w:rFonts w:hint="eastAsia"/>
                <w:szCs w:val="21"/>
                <w:lang w:eastAsia="zh-CN"/>
              </w:rPr>
              <w:t>提交文件时限要求：设备开箱验收。</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整机运行及维护手册应为中文，纸质文件至少一式三份，</w:t>
            </w:r>
            <w:r>
              <w:rPr>
                <w:rFonts w:hint="eastAsia" w:hAnsi="宋体"/>
                <w:szCs w:val="21"/>
                <w:u w:color="333333"/>
                <w:lang w:eastAsia="zh-CN"/>
              </w:rPr>
              <w:t>电子版</w:t>
            </w:r>
            <w:r>
              <w:rPr>
                <w:rFonts w:hint="eastAsia"/>
                <w:szCs w:val="21"/>
                <w:lang w:eastAsia="zh-CN"/>
              </w:rPr>
              <w:t>至少一份。提交文件时限要求：设备开箱验收。</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生产商发运清单及所有单元配件及其组合的检验报告和证书标识等。提交文件时限要求：设备开箱验收。</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hAnsi="宋体"/>
                <w:szCs w:val="21"/>
                <w:u w:color="333333"/>
                <w:lang w:val="zh-TW" w:eastAsia="zh-TW"/>
              </w:rPr>
              <w:t>设计选型文件：</w:t>
            </w:r>
            <w:r>
              <w:rPr>
                <w:rFonts w:hint="eastAsia" w:hAnsi="宋体"/>
                <w:szCs w:val="21"/>
                <w:u w:color="333333"/>
                <w:lang w:val="zh-TW" w:eastAsia="zh-CN"/>
              </w:rPr>
              <w:t>功能</w:t>
            </w:r>
            <w:r>
              <w:rPr>
                <w:rFonts w:hint="eastAsia" w:hAnsi="宋体"/>
                <w:szCs w:val="21"/>
                <w:u w:color="333333"/>
                <w:lang w:val="zh-TW" w:eastAsia="zh-TW"/>
              </w:rPr>
              <w:t>说明</w:t>
            </w:r>
            <w:r>
              <w:rPr>
                <w:rFonts w:hint="eastAsia" w:hAnsi="宋体"/>
                <w:szCs w:val="21"/>
                <w:u w:color="333333"/>
                <w:lang w:val="zh-TW" w:eastAsia="zh-CN"/>
              </w:rPr>
              <w:t>、</w:t>
            </w:r>
            <w:r>
              <w:rPr>
                <w:rFonts w:hint="eastAsia" w:hAnsi="宋体"/>
                <w:szCs w:val="21"/>
                <w:u w:color="333333"/>
                <w:lang w:val="zh-TW" w:eastAsia="zh-TW"/>
              </w:rPr>
              <w:t>软硬件设计说明</w:t>
            </w:r>
            <w:r>
              <w:rPr>
                <w:rFonts w:hint="eastAsia" w:hAnsi="宋体"/>
                <w:szCs w:val="21"/>
                <w:u w:color="333333"/>
                <w:lang w:val="zh-TW" w:eastAsia="zh-CN"/>
              </w:rPr>
              <w:t>、</w:t>
            </w:r>
            <w:r>
              <w:rPr>
                <w:rFonts w:hint="eastAsia" w:hAnsi="宋体"/>
                <w:szCs w:val="21"/>
                <w:u w:color="333333"/>
                <w:lang w:val="zh-TW" w:eastAsia="zh-TW"/>
              </w:rPr>
              <w:t>配置清单与说明。</w:t>
            </w:r>
            <w:r>
              <w:rPr>
                <w:rFonts w:hint="eastAsia"/>
                <w:szCs w:val="21"/>
                <w:lang w:eastAsia="zh-CN"/>
              </w:rPr>
              <w:t>提交文件时限要求：</w:t>
            </w:r>
            <w:r>
              <w:rPr>
                <w:szCs w:val="21"/>
                <w:lang w:eastAsia="zh-CN"/>
              </w:rPr>
              <w:t>招标</w:t>
            </w:r>
            <w:r>
              <w:rPr>
                <w:rFonts w:hint="eastAsia"/>
                <w:szCs w:val="21"/>
                <w:lang w:eastAsia="zh-CN"/>
              </w:rPr>
              <w:t>开始前完成审批。</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hAnsi="宋体"/>
                <w:szCs w:val="21"/>
                <w:lang w:eastAsia="zh-CN"/>
              </w:rPr>
              <w:t>配件清单、易损件清单、备件、消耗品清单：包括名称、编号、对应厂家名称、生产地、规格及必要说明。</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hAnsi="宋体"/>
                <w:szCs w:val="21"/>
                <w:lang w:eastAsia="zh-CN"/>
              </w:rPr>
              <w:t>设备厂家文件：出厂测试合格证、相关检测报告、各种标示。提交文件时限要求：不晚于</w:t>
            </w:r>
            <w:r>
              <w:rPr>
                <w:rFonts w:ascii="宋体" w:hAnsi="宋体"/>
                <w:szCs w:val="21"/>
                <w:lang w:eastAsia="zh-CN"/>
              </w:rPr>
              <w:t>IQ</w:t>
            </w:r>
            <w:r>
              <w:rPr>
                <w:rFonts w:hint="eastAsia" w:ascii="宋体" w:hAnsi="宋体"/>
                <w:szCs w:val="21"/>
                <w:lang w:eastAsia="zh-CN"/>
              </w:rPr>
              <w:t>开始前。</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宋体" w:hAnsi="宋体"/>
                <w:szCs w:val="21"/>
                <w:lang w:eastAsia="zh-CN"/>
              </w:rPr>
            </w:pPr>
            <w:r>
              <w:rPr>
                <w:rFonts w:hint="eastAsia" w:ascii="宋体" w:hAnsi="宋体"/>
                <w:szCs w:val="21"/>
                <w:lang w:eastAsia="zh-CN"/>
              </w:rPr>
              <w:t>设备操作手册（</w:t>
            </w:r>
            <w:r>
              <w:rPr>
                <w:rFonts w:ascii="宋体" w:hAnsi="宋体"/>
                <w:szCs w:val="21"/>
                <w:lang w:eastAsia="zh-CN"/>
              </w:rPr>
              <w:t>SOP</w:t>
            </w:r>
            <w:r>
              <w:rPr>
                <w:rFonts w:hint="eastAsia" w:ascii="宋体" w:hAnsi="宋体"/>
                <w:szCs w:val="21"/>
                <w:lang w:eastAsia="zh-CN"/>
              </w:rPr>
              <w:t>）：语言为中文。</w:t>
            </w:r>
            <w:r>
              <w:rPr>
                <w:rFonts w:hint="eastAsia" w:ascii="宋体" w:hAnsi="宋体"/>
                <w:lang w:eastAsia="zh-CN"/>
              </w:rPr>
              <w:t>提交文件时限要求：设备开箱验收。</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color w:val="FF0000"/>
                <w:szCs w:val="21"/>
                <w:u w:color="333333"/>
                <w:lang w:eastAsia="zh-TW"/>
              </w:rPr>
            </w:pPr>
            <w:r>
              <w:rPr>
                <w:rFonts w:hint="eastAsia"/>
                <w:lang w:eastAsia="zh-CN"/>
              </w:rPr>
              <w:t>CPA型批证书：必须提供电子秤（秤体及仪表）CPA型式批准证书。提交文件时限要求：设备开箱验收。</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宋体" w:hAnsi="宋体"/>
                <w:szCs w:val="21"/>
                <w:lang w:eastAsia="zh-CN"/>
              </w:rPr>
            </w:pPr>
            <w:r>
              <w:rPr>
                <w:rFonts w:hint="eastAsia"/>
                <w:lang w:eastAsia="zh-CN"/>
              </w:rPr>
              <w:t>第三方校验报告及计量证书。</w:t>
            </w:r>
            <w:r>
              <w:rPr>
                <w:rFonts w:hint="eastAsia" w:ascii="宋体" w:hAnsi="宋体"/>
                <w:lang w:eastAsia="zh-CN"/>
              </w:rPr>
              <w:t>提交文件时限要求：设备开箱验收。</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lang w:eastAsia="zh-CN"/>
              </w:rPr>
            </w:pPr>
            <w:r>
              <w:rPr>
                <w:rFonts w:hint="eastAsia" w:ascii="宋体" w:hAnsi="宋体"/>
                <w:lang w:eastAsia="zh-CN"/>
              </w:rPr>
              <w:t>各种必要的合格证，包括部件合格证、环路校验合格报告、材质证书等。提交文件时限要求：设备开箱验收。</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宋体" w:hAnsi="宋体"/>
                <w:lang w:eastAsia="zh-CN"/>
              </w:rPr>
            </w:pPr>
            <w:r>
              <w:rPr>
                <w:rFonts w:hint="eastAsia" w:ascii="宋体" w:hAnsi="宋体"/>
                <w:lang w:eastAsia="zh-CN"/>
              </w:rPr>
              <w:t>调试文件：调试计划、调试方案、设备测试记录，检测清单，测试报告，调试总结报告、现场验收报告等。</w:t>
            </w:r>
            <w:r>
              <w:rPr>
                <w:rFonts w:ascii="宋体" w:hAnsi="宋体"/>
                <w:lang w:eastAsia="zh-CN"/>
              </w:rPr>
              <w:tab/>
            </w:r>
            <w:r>
              <w:rPr>
                <w:rFonts w:hint="eastAsia" w:ascii="宋体" w:hAnsi="宋体"/>
                <w:lang w:eastAsia="zh-CN"/>
              </w:rPr>
              <w:t>提交文件时限要求：不晚于</w:t>
            </w:r>
            <w:r>
              <w:rPr>
                <w:rFonts w:ascii="宋体" w:hAnsi="宋体"/>
                <w:lang w:eastAsia="zh-CN"/>
              </w:rPr>
              <w:t>IQ</w:t>
            </w:r>
            <w:r>
              <w:rPr>
                <w:rFonts w:hint="eastAsia" w:ascii="宋体" w:hAnsi="宋体"/>
                <w:lang w:eastAsia="zh-CN"/>
              </w:rPr>
              <w:t>开始前。</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192" w:lineRule="auto"/>
              <w:rPr>
                <w:rFonts w:ascii="宋体" w:hAnsi="宋体"/>
                <w:sz w:val="21"/>
                <w:szCs w:val="21"/>
                <w:lang w:eastAsia="zh-CN"/>
              </w:rPr>
            </w:pPr>
            <w:r>
              <w:rPr>
                <w:rFonts w:hint="eastAsia" w:ascii="宋体" w:hAnsi="宋体"/>
                <w:sz w:val="21"/>
                <w:szCs w:val="21"/>
                <w:lang w:val="en-US" w:eastAsia="zh-CN"/>
              </w:rPr>
              <w:t>验证文件：</w:t>
            </w:r>
            <w:r>
              <w:rPr>
                <w:rFonts w:hint="eastAsia" w:ascii="宋体" w:hAnsi="宋体"/>
                <w:sz w:val="21"/>
                <w:szCs w:val="21"/>
                <w:lang w:val="en-US" w:eastAsia="zh-CN"/>
              </w:rPr>
              <w:tab/>
            </w:r>
          </w:p>
          <w:p>
            <w:pPr>
              <w:pStyle w:val="7"/>
              <w:spacing w:line="192" w:lineRule="auto"/>
              <w:rPr>
                <w:rFonts w:ascii="宋体" w:hAnsi="宋体"/>
                <w:sz w:val="21"/>
                <w:szCs w:val="20"/>
                <w:lang w:eastAsia="zh-CN"/>
              </w:rPr>
            </w:pPr>
            <w:r>
              <w:rPr>
                <w:rFonts w:hint="eastAsia" w:ascii="宋体" w:hAnsi="宋体"/>
                <w:sz w:val="21"/>
                <w:szCs w:val="20"/>
                <w:lang w:eastAsia="zh-CN"/>
              </w:rPr>
              <w:t>（1）验证计划</w:t>
            </w:r>
            <w:r>
              <w:rPr>
                <w:rFonts w:hint="eastAsia" w:ascii="宋体" w:hAnsi="宋体"/>
                <w:sz w:val="21"/>
                <w:szCs w:val="20"/>
                <w:lang w:eastAsia="zh-CN"/>
              </w:rPr>
              <w:tab/>
            </w:r>
            <w:r>
              <w:rPr>
                <w:rFonts w:hint="eastAsia" w:ascii="宋体" w:hAnsi="宋体"/>
                <w:sz w:val="21"/>
                <w:szCs w:val="20"/>
                <w:lang w:eastAsia="zh-CN"/>
              </w:rPr>
              <w:t>提交文件时限要求： 设计阶段，设计确认开始前</w:t>
            </w:r>
          </w:p>
          <w:p>
            <w:pPr>
              <w:pStyle w:val="7"/>
              <w:spacing w:line="192" w:lineRule="auto"/>
              <w:rPr>
                <w:rFonts w:ascii="宋体" w:hAnsi="宋体"/>
                <w:sz w:val="21"/>
                <w:szCs w:val="20"/>
                <w:lang w:eastAsia="zh-CN"/>
              </w:rPr>
            </w:pPr>
            <w:r>
              <w:rPr>
                <w:rFonts w:hint="eastAsia" w:ascii="宋体" w:hAnsi="宋体"/>
                <w:sz w:val="21"/>
                <w:szCs w:val="20"/>
                <w:lang w:eastAsia="zh-CN"/>
              </w:rPr>
              <w:t>（2）满</w:t>
            </w:r>
            <w:r>
              <w:rPr>
                <w:rFonts w:hint="eastAsia" w:ascii="宋体" w:hAnsi="宋体"/>
                <w:sz w:val="21"/>
                <w:szCs w:val="21"/>
                <w:lang w:eastAsia="zh-CN"/>
              </w:rPr>
              <w:t>足GMP</w:t>
            </w:r>
            <w:r>
              <w:rPr>
                <w:rFonts w:hint="eastAsia" w:ascii="宋体" w:hAnsi="宋体" w:cs="宋体"/>
                <w:sz w:val="21"/>
                <w:szCs w:val="21"/>
                <w:lang w:eastAsia="zh-CN"/>
              </w:rPr>
              <w:t>及GAMP5</w:t>
            </w:r>
            <w:r>
              <w:rPr>
                <w:rFonts w:hint="eastAsia" w:ascii="宋体" w:hAnsi="宋体"/>
                <w:sz w:val="21"/>
                <w:szCs w:val="21"/>
                <w:lang w:eastAsia="zh-CN"/>
              </w:rPr>
              <w:t>等相关法规的评估文件</w:t>
            </w:r>
            <w:r>
              <w:rPr>
                <w:rFonts w:hint="eastAsia" w:ascii="宋体" w:hAnsi="宋体"/>
                <w:sz w:val="21"/>
                <w:szCs w:val="20"/>
                <w:lang w:eastAsia="zh-CN"/>
              </w:rPr>
              <w:tab/>
            </w:r>
            <w:r>
              <w:rPr>
                <w:rFonts w:hint="eastAsia" w:ascii="宋体" w:hAnsi="宋体"/>
                <w:sz w:val="21"/>
                <w:szCs w:val="20"/>
                <w:lang w:eastAsia="zh-CN"/>
              </w:rPr>
              <w:t>提交文件时限要求：投标前提供</w:t>
            </w:r>
          </w:p>
          <w:p>
            <w:pPr>
              <w:pStyle w:val="7"/>
              <w:spacing w:line="192" w:lineRule="auto"/>
              <w:rPr>
                <w:rFonts w:ascii="宋体" w:hAnsi="宋体"/>
                <w:sz w:val="21"/>
                <w:szCs w:val="20"/>
                <w:lang w:eastAsia="zh-CN"/>
              </w:rPr>
            </w:pPr>
            <w:r>
              <w:rPr>
                <w:rFonts w:hint="eastAsia" w:ascii="宋体" w:hAnsi="宋体"/>
                <w:sz w:val="21"/>
                <w:szCs w:val="20"/>
                <w:lang w:eastAsia="zh-CN"/>
              </w:rPr>
              <w:t>（3）安装确认及文件（IQ）；</w:t>
            </w:r>
            <w:r>
              <w:rPr>
                <w:rFonts w:hint="eastAsia" w:ascii="宋体" w:hAnsi="宋体"/>
                <w:sz w:val="21"/>
                <w:szCs w:val="20"/>
                <w:lang w:eastAsia="zh-CN"/>
              </w:rPr>
              <w:tab/>
            </w:r>
            <w:r>
              <w:rPr>
                <w:rFonts w:hint="eastAsia" w:ascii="宋体" w:hAnsi="宋体"/>
                <w:sz w:val="21"/>
                <w:szCs w:val="20"/>
                <w:lang w:eastAsia="zh-CN"/>
              </w:rPr>
              <w:t>提交文件时限要求：OQ开始前完成审批并提交</w:t>
            </w:r>
          </w:p>
          <w:p>
            <w:pPr>
              <w:pStyle w:val="7"/>
              <w:spacing w:line="192" w:lineRule="auto"/>
              <w:rPr>
                <w:rFonts w:ascii="宋体" w:hAnsi="宋体"/>
                <w:sz w:val="21"/>
                <w:szCs w:val="20"/>
                <w:lang w:eastAsia="zh-CN"/>
              </w:rPr>
            </w:pPr>
            <w:r>
              <w:rPr>
                <w:rFonts w:hint="eastAsia" w:ascii="宋体" w:hAnsi="宋体"/>
                <w:sz w:val="21"/>
                <w:szCs w:val="20"/>
                <w:lang w:eastAsia="zh-CN"/>
              </w:rPr>
              <w:t>（4）运行确认及文件（OQ）；</w:t>
            </w:r>
            <w:r>
              <w:rPr>
                <w:rFonts w:hint="eastAsia" w:ascii="宋体" w:hAnsi="宋体"/>
                <w:sz w:val="21"/>
                <w:szCs w:val="20"/>
                <w:lang w:eastAsia="zh-CN"/>
              </w:rPr>
              <w:tab/>
            </w:r>
            <w:r>
              <w:rPr>
                <w:rFonts w:hint="eastAsia" w:ascii="宋体" w:hAnsi="宋体"/>
                <w:sz w:val="21"/>
                <w:szCs w:val="20"/>
                <w:lang w:eastAsia="zh-CN"/>
              </w:rPr>
              <w:t>提交文件时限要求：IQ批准后开始执行，PQ开始前完成审批并提交</w:t>
            </w:r>
          </w:p>
          <w:p>
            <w:pPr>
              <w:jc w:val="both"/>
              <w:rPr>
                <w:rFonts w:ascii="宋体" w:hAnsi="宋体"/>
                <w:lang w:eastAsia="zh-CN"/>
              </w:rPr>
            </w:pPr>
            <w:r>
              <w:rPr>
                <w:rFonts w:hint="eastAsia" w:ascii="宋体" w:hAnsi="宋体"/>
                <w:lang w:eastAsia="zh-CN"/>
              </w:rPr>
              <w:t>（5）设备生产商负责制定设备验证计划、评估文件、IQ/OQ验证文件，并负责验证工作的实施，该验证文件作为设备必备文件。</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4" w:edGrp="everyone"/>
          </w:p>
        </w:tc>
        <w:tc>
          <w:tcPr>
            <w:tcW w:w="7128" w:type="dxa"/>
            <w:shd w:val="clear" w:color="auto" w:fill="auto"/>
            <w:vAlign w:val="center"/>
          </w:tcPr>
          <w:p>
            <w:pPr>
              <w:rPr>
                <w:rFonts w:ascii="宋体" w:hAnsi="宋体"/>
                <w:szCs w:val="21"/>
                <w:u w:color="333333"/>
                <w:lang w:val="zh-TW" w:eastAsia="zh-CN"/>
              </w:rPr>
            </w:pPr>
            <w:r>
              <w:rPr>
                <w:rFonts w:hint="eastAsia" w:ascii="宋体" w:hAnsi="宋体"/>
                <w:szCs w:val="21"/>
                <w:lang w:eastAsia="zh-CN"/>
              </w:rPr>
              <w:t>提供设备及其零部件使用寿命清单。</w:t>
            </w:r>
            <w:r>
              <w:rPr>
                <w:rFonts w:ascii="宋体" w:hAnsi="宋体"/>
                <w:szCs w:val="21"/>
                <w:lang w:eastAsia="zh-CN"/>
              </w:rPr>
              <w:tab/>
            </w:r>
            <w:r>
              <w:rPr>
                <w:rFonts w:hint="eastAsia" w:ascii="宋体" w:hAnsi="宋体"/>
                <w:szCs w:val="21"/>
                <w:lang w:eastAsia="zh-CN"/>
              </w:rPr>
              <w:t>提交文件时限要求：设备开箱验收。</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ascii="宋体" w:hAnsi="宋体"/>
                <w:szCs w:val="21"/>
                <w:lang w:eastAsia="zh-CN"/>
              </w:rPr>
            </w:pPr>
            <w:r>
              <w:rPr>
                <w:rFonts w:hint="eastAsia" w:ascii="宋体" w:hAnsi="宋体"/>
                <w:szCs w:val="21"/>
                <w:lang w:eastAsia="zh-CN"/>
              </w:rPr>
              <w:t>满足</w:t>
            </w:r>
            <w:r>
              <w:rPr>
                <w:rFonts w:ascii="宋体" w:hAnsi="宋体"/>
                <w:szCs w:val="21"/>
                <w:lang w:eastAsia="zh-CN"/>
              </w:rPr>
              <w:t>GEP</w:t>
            </w:r>
            <w:r>
              <w:rPr>
                <w:rFonts w:hint="eastAsia" w:ascii="宋体" w:hAnsi="宋体"/>
                <w:szCs w:val="21"/>
                <w:lang w:eastAsia="zh-CN"/>
              </w:rPr>
              <w:t>要求的项目文件交付包</w:t>
            </w:r>
            <w:r>
              <w:rPr>
                <w:rFonts w:ascii="宋体" w:hAnsi="宋体"/>
                <w:szCs w:val="21"/>
                <w:lang w:eastAsia="zh-CN"/>
              </w:rPr>
              <w:tab/>
            </w:r>
            <w:r>
              <w:rPr>
                <w:rFonts w:hint="eastAsia" w:ascii="宋体" w:hAnsi="宋体"/>
                <w:szCs w:val="21"/>
                <w:lang w:eastAsia="zh-CN"/>
              </w:rPr>
              <w:t>提交文件时限要求：不晚于</w:t>
            </w:r>
            <w:r>
              <w:rPr>
                <w:rFonts w:ascii="宋体" w:hAnsi="宋体"/>
                <w:szCs w:val="21"/>
                <w:lang w:eastAsia="zh-CN"/>
              </w:rPr>
              <w:t>IQ</w:t>
            </w:r>
            <w:r>
              <w:rPr>
                <w:rFonts w:hint="eastAsia" w:ascii="宋体" w:hAnsi="宋体"/>
                <w:szCs w:val="21"/>
                <w:lang w:eastAsia="zh-CN"/>
              </w:rPr>
              <w:t>开始前。</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ascii="宋体" w:hAnsi="宋体"/>
                <w:szCs w:val="21"/>
                <w:lang w:eastAsia="zh-CN"/>
              </w:rPr>
            </w:pPr>
            <w:r>
              <w:rPr>
                <w:rFonts w:hint="eastAsia" w:ascii="宋体" w:hAnsi="宋体"/>
                <w:szCs w:val="21"/>
                <w:lang w:eastAsia="zh-CN"/>
              </w:rPr>
              <w:t>上述条款规定的文件需提供电子版，并在设备开箱验收时将最终批准的电子版及纸质版全套资料交工程技术部存档。</w:t>
            </w:r>
            <w:r>
              <w:rPr>
                <w:rFonts w:ascii="宋体" w:hAnsi="宋体"/>
                <w:szCs w:val="21"/>
                <w:lang w:eastAsia="zh-CN"/>
              </w:rPr>
              <w:tab/>
            </w:r>
            <w:r>
              <w:rPr>
                <w:rFonts w:hint="eastAsia" w:ascii="宋体" w:hAnsi="宋体"/>
                <w:szCs w:val="21"/>
                <w:lang w:eastAsia="zh-CN"/>
              </w:rPr>
              <w:t>提交文件时限要求：设备开箱验收。</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permEnd w:id="34"/>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p>
      <w:pPr>
        <w:pStyle w:val="41"/>
        <w:spacing w:before="0" w:line="360" w:lineRule="auto"/>
        <w:ind w:left="357"/>
        <w:jc w:val="left"/>
        <w:rPr>
          <w:i/>
          <w:color w:val="4472C4"/>
          <w:szCs w:val="21"/>
          <w:lang w:eastAsia="zh-CN"/>
        </w:rPr>
      </w:pPr>
      <w:permStart w:id="35" w:edGrp="everyone"/>
    </w:p>
    <w:permEnd w:id="35"/>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spacing w:line="276" w:lineRule="auto"/>
              <w:jc w:val="both"/>
              <w:rPr>
                <w:color w:val="0070C0"/>
                <w:szCs w:val="21"/>
                <w:lang w:eastAsia="zh-CN"/>
              </w:rPr>
            </w:pPr>
            <w:r>
              <w:rPr>
                <w:color w:val="000000" w:themeColor="text1"/>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color w:val="0070C0"/>
                <w:szCs w:val="21"/>
                <w:lang w:eastAsia="zh-CN"/>
              </w:rPr>
            </w:pPr>
            <w:r>
              <w:rPr>
                <w:color w:val="000000" w:themeColor="text1"/>
                <w:lang w:eastAsia="zh-CN"/>
              </w:rPr>
              <w:t>生产操作人员培训包括设备结构原理、性能、操作、清洗消毒、故障排除等基本</w:t>
            </w:r>
            <w:r>
              <w:rPr>
                <w:color w:val="000000" w:themeColor="text1"/>
                <w:szCs w:val="21"/>
                <w:lang w:eastAsia="zh-CN"/>
              </w:rPr>
              <w:t>知识</w:t>
            </w:r>
            <w:r>
              <w:rPr>
                <w:color w:val="000000" w:themeColor="text1"/>
                <w:lang w:eastAsia="zh-CN"/>
              </w:rPr>
              <w:t>。合格标准为用户参加培训人员能够独立正确操作设备，会排除常见故障。</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color w:val="0070C0"/>
                <w:lang w:eastAsia="zh-CN"/>
              </w:rPr>
            </w:pPr>
            <w:r>
              <w:rPr>
                <w:color w:val="000000" w:themeColor="text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szCs w:val="21"/>
                <w:lang w:eastAsia="zh-CN"/>
              </w:rPr>
            </w:pPr>
            <w:r>
              <w:rPr>
                <w:color w:val="000000" w:themeColor="text1"/>
                <w:lang w:eastAsia="zh-CN"/>
              </w:rPr>
              <w:t>设备运输在运输途中需做好防护措施，不得有任何损伤。</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i/>
                <w:szCs w:val="21"/>
                <w:lang w:eastAsia="zh-CN"/>
              </w:rPr>
            </w:pPr>
            <w:r>
              <w:rPr>
                <w:rFonts w:hint="eastAsia" w:ascii="宋体" w:hAnsi="宋体" w:cs="宋体"/>
                <w:szCs w:val="21"/>
                <w:lang w:eastAsia="zh-CN"/>
              </w:rPr>
              <w:t>投标方按GMP规范及GAMP5要求完成上述所有验证工作，</w:t>
            </w:r>
            <w:r>
              <w:rPr>
                <w:rFonts w:hint="eastAsia" w:ascii="宋体" w:hAnsi="宋体"/>
                <w:lang w:eastAsia="zh-CN"/>
              </w:rPr>
              <w:t>各验证工作开始前验证方案需经过本公司相关部门审核，并经质量保证部批准。</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1"/>
                <w:lang w:eastAsia="zh-CN"/>
              </w:rPr>
            </w:pPr>
            <w:r>
              <w:rPr>
                <w:rFonts w:hint="eastAsia" w:ascii="宋体" w:hAnsi="宋体"/>
                <w:color w:val="000000"/>
                <w:lang w:eastAsia="zh-CN"/>
              </w:rPr>
              <w:t>验证工作应按时保质完成，供应商需提供验证工作计划表。</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olor w:val="000000"/>
                <w:lang w:eastAsia="zh-CN"/>
              </w:rPr>
            </w:pPr>
            <w:r>
              <w:rPr>
                <w:rFonts w:hint="eastAsia" w:ascii="宋体" w:hAnsi="宋体"/>
                <w:color w:val="000000"/>
                <w:lang w:eastAsia="zh-CN"/>
              </w:rPr>
              <w:t>验证项目应包含法规要求的测试项目，以及本公司提出的测试项目。</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olor w:val="000000"/>
                <w:lang w:eastAsia="zh-CN"/>
              </w:rPr>
            </w:pPr>
            <w:r>
              <w:rPr>
                <w:rFonts w:hint="eastAsia" w:ascii="宋体" w:hAnsi="宋体"/>
                <w:color w:val="000000"/>
                <w:lang w:eastAsia="zh-CN"/>
              </w:rPr>
              <w:t>验证工作完成后，验证记录经本公司相关部门审核，并经质量保证部批准。</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olor w:val="000000"/>
                <w:lang w:eastAsia="zh-CN"/>
              </w:rPr>
            </w:pPr>
            <w:r>
              <w:rPr>
                <w:rFonts w:hint="eastAsia" w:ascii="宋体" w:hAnsi="宋体"/>
                <w:color w:val="000000"/>
                <w:lang w:eastAsia="zh-CN"/>
              </w:rPr>
              <w:t>验收前，验证工作已成功完成，验证最终报告已经本公司相关部门审核，并经质量保证部批准。</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仪器</w:t>
            </w:r>
            <w:r>
              <w:rPr>
                <w:rFonts w:hint="eastAsia" w:hAnsi="宋体"/>
                <w:szCs w:val="21"/>
                <w:u w:color="333333"/>
                <w:lang w:val="zh-TW" w:eastAsia="zh-TW"/>
              </w:rPr>
              <w:t>保修期从确认验收的阶段就开始计算</w:t>
            </w:r>
            <w:r>
              <w:rPr>
                <w:rFonts w:hint="eastAsia" w:hAnsi="宋体"/>
                <w:szCs w:val="21"/>
                <w:u w:color="333333"/>
                <w:lang w:eastAsia="zh-TW"/>
              </w:rPr>
              <w:t>，</w:t>
            </w:r>
            <w:r>
              <w:rPr>
                <w:rFonts w:hint="eastAsia" w:ascii="Calibri" w:hAnsi="Calibri" w:cs="Calibri"/>
                <w:szCs w:val="21"/>
                <w:lang w:eastAsia="zh-CN"/>
              </w:rPr>
              <w:t>提供不少于</w:t>
            </w:r>
            <w:r>
              <w:rPr>
                <w:rFonts w:hint="eastAsia" w:ascii="宋体" w:hAnsi="宋体" w:cs="宋体"/>
                <w:szCs w:val="21"/>
                <w:lang w:val="en-US" w:eastAsia="zh-CN"/>
              </w:rPr>
              <w:t>1 年</w:t>
            </w:r>
            <w:r>
              <w:rPr>
                <w:rFonts w:hint="eastAsia" w:hAnsi="宋体"/>
                <w:szCs w:val="21"/>
                <w:u w:color="333333"/>
                <w:lang w:val="zh-TW" w:eastAsia="zh-TW"/>
              </w:rPr>
              <w:t>保修期</w:t>
            </w:r>
            <w:r>
              <w:rPr>
                <w:rFonts w:hint="eastAsia" w:ascii="宋体" w:hAnsi="宋体" w:cs="宋体"/>
                <w:szCs w:val="21"/>
                <w:lang w:val="en-US" w:eastAsia="zh-CN"/>
              </w:rPr>
              <w:t>，</w:t>
            </w:r>
            <w:r>
              <w:rPr>
                <w:rFonts w:hint="eastAsia" w:hAnsi="宋体"/>
                <w:szCs w:val="21"/>
                <w:u w:color="333333"/>
                <w:lang w:val="zh-TW" w:eastAsia="zh-TW"/>
              </w:rPr>
              <w:t>保修期内免费保修，</w:t>
            </w:r>
            <w:r>
              <w:rPr>
                <w:rFonts w:hint="eastAsia" w:ascii="Calibri" w:hAnsi="Calibri" w:cs="Calibri"/>
                <w:szCs w:val="21"/>
                <w:lang w:eastAsia="zh-CN"/>
              </w:rPr>
              <w:t>如因设备故障导致停止生产时，需要延长保</w:t>
            </w:r>
            <w:r>
              <w:rPr>
                <w:rFonts w:hint="eastAsia" w:hAnsi="宋体"/>
                <w:szCs w:val="21"/>
                <w:u w:color="333333"/>
                <w:lang w:val="zh-TW" w:eastAsia="zh-TW"/>
              </w:rPr>
              <w:t>修</w:t>
            </w:r>
            <w:r>
              <w:rPr>
                <w:rFonts w:hint="eastAsia" w:ascii="Calibri" w:hAnsi="Calibri" w:cs="Calibri"/>
                <w:szCs w:val="21"/>
                <w:lang w:eastAsia="zh-CN"/>
              </w:rPr>
              <w:t>期限，</w:t>
            </w:r>
            <w:r>
              <w:rPr>
                <w:rFonts w:hint="eastAsia" w:hAnsi="宋体"/>
                <w:szCs w:val="21"/>
                <w:u w:color="333333"/>
                <w:lang w:val="zh-TW" w:eastAsia="zh-TW"/>
              </w:rPr>
              <w:t>保修期后应提供良好的售后服务</w:t>
            </w:r>
            <w:r>
              <w:rPr>
                <w:rFonts w:hint="eastAsia" w:ascii="Calibri" w:hAnsi="Calibri" w:cs="Calibri"/>
                <w:szCs w:val="21"/>
                <w:lang w:eastAsia="zh-CN"/>
              </w:rPr>
              <w:t>。</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szCs w:val="21"/>
                <w:lang w:eastAsia="zh-CN"/>
              </w:rPr>
            </w:pPr>
            <w:r>
              <w:rPr>
                <w:rFonts w:hint="eastAsia"/>
                <w:szCs w:val="21"/>
                <w:u w:color="333333"/>
                <w:lang w:eastAsia="zh-CN"/>
              </w:rPr>
              <w:t>质保期内维修或更换关键部件，该关键部件的质保自维修确认后顺延一年。</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u w:color="333333"/>
                <w:lang w:eastAsia="zh-CN"/>
              </w:rPr>
            </w:pPr>
            <w:r>
              <w:rPr>
                <w:rFonts w:hint="eastAsia" w:ascii="宋体" w:hAnsi="宋体" w:cs="宋体"/>
                <w:szCs w:val="21"/>
                <w:u w:color="333333"/>
                <w:lang w:val="zh-TW" w:eastAsia="zh-TW"/>
              </w:rPr>
              <w:t>售后服务必须响应及时，要求设备出现须厂家维修的故障后，应在</w:t>
            </w:r>
            <w:r>
              <w:rPr>
                <w:rFonts w:ascii="宋体" w:hAnsi="宋体" w:cs="宋体"/>
                <w:szCs w:val="21"/>
                <w:u w:color="333333"/>
                <w:lang w:eastAsia="zh-CN"/>
              </w:rPr>
              <w:t>4</w:t>
            </w:r>
            <w:r>
              <w:rPr>
                <w:rFonts w:hint="eastAsia" w:ascii="宋体" w:hAnsi="宋体" w:cs="宋体"/>
                <w:szCs w:val="21"/>
                <w:u w:color="333333"/>
                <w:lang w:val="zh-TW" w:eastAsia="zh-TW"/>
              </w:rPr>
              <w:t>小时内明确答复，当电话沟通无法解决时，须</w:t>
            </w:r>
            <w:r>
              <w:rPr>
                <w:rFonts w:ascii="宋体" w:hAnsi="宋体" w:cs="宋体"/>
                <w:szCs w:val="21"/>
                <w:u w:color="333333"/>
                <w:lang w:eastAsia="zh-CN"/>
              </w:rPr>
              <w:t>24</w:t>
            </w:r>
            <w:r>
              <w:rPr>
                <w:rFonts w:hint="eastAsia" w:ascii="宋体" w:hAnsi="宋体" w:cs="宋体"/>
                <w:szCs w:val="21"/>
                <w:u w:color="333333"/>
                <w:lang w:val="zh-TW" w:eastAsia="zh-TW"/>
              </w:rPr>
              <w:t>小时内派人至现场解决。</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1"/>
                <w:u w:color="333333"/>
                <w:lang w:val="zh-TW" w:eastAsia="zh-TW"/>
              </w:rPr>
            </w:pPr>
            <w:r>
              <w:rPr>
                <w:rFonts w:hint="eastAsia" w:hAnsi="宋体"/>
                <w:szCs w:val="21"/>
                <w:u w:color="333333"/>
                <w:lang w:val="zh-TW" w:eastAsia="zh-TW"/>
              </w:rPr>
              <w:t>一年免费保修期后，</w:t>
            </w:r>
            <w:r>
              <w:rPr>
                <w:rFonts w:hint="eastAsia" w:hAnsi="宋体"/>
                <w:szCs w:val="21"/>
                <w:u w:color="333333"/>
                <w:lang w:eastAsia="zh-TW"/>
              </w:rPr>
              <w:t>供应商</w:t>
            </w:r>
            <w:r>
              <w:rPr>
                <w:rFonts w:hint="eastAsia" w:hAnsi="宋体"/>
                <w:szCs w:val="21"/>
                <w:u w:color="333333"/>
                <w:lang w:val="zh-TW" w:eastAsia="zh-TW"/>
              </w:rPr>
              <w:t>应终生提供及时的维修、维护，</w:t>
            </w:r>
            <w:r>
              <w:rPr>
                <w:rFonts w:hint="eastAsia" w:hAnsi="宋体"/>
                <w:szCs w:val="21"/>
                <w:u w:color="333333"/>
                <w:lang w:eastAsia="zh-TW"/>
              </w:rPr>
              <w:t>供应商</w:t>
            </w:r>
            <w:r>
              <w:rPr>
                <w:rFonts w:hint="eastAsia" w:hAnsi="宋体"/>
                <w:szCs w:val="21"/>
                <w:u w:color="333333"/>
                <w:lang w:val="zh-TW" w:eastAsia="zh-TW"/>
              </w:rPr>
              <w:t>应定期回访，解决设备运行当中可能出现的疑问，排除潜在故障，使设备保持良好工作状态。</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u w:color="333333"/>
                <w:lang w:eastAsia="zh-CN"/>
              </w:rPr>
            </w:pPr>
            <w:r>
              <w:rPr>
                <w:rFonts w:hint="eastAsia" w:hAnsi="宋体"/>
                <w:szCs w:val="21"/>
                <w:u w:color="333333"/>
                <w:lang w:eastAsia="zh-TW"/>
              </w:rPr>
              <w:t>供应商</w:t>
            </w:r>
            <w:r>
              <w:rPr>
                <w:rFonts w:hint="eastAsia" w:hAnsi="宋体"/>
                <w:szCs w:val="21"/>
                <w:u w:color="333333"/>
                <w:lang w:val="zh-TW" w:eastAsia="zh-TW"/>
              </w:rPr>
              <w:t>应提供合格的备件，用于设备相应部件的维修、更换。</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spacing w:line="276" w:lineRule="auto"/>
              <w:jc w:val="both"/>
              <w:rPr>
                <w:szCs w:val="21"/>
                <w:lang w:eastAsia="zh-CN"/>
              </w:rPr>
            </w:pPr>
            <w:r>
              <w:rPr>
                <w:rFonts w:hint="eastAsia" w:hAnsi="宋体"/>
                <w:szCs w:val="21"/>
                <w:u w:color="333333"/>
                <w:lang w:val="zh-TW" w:eastAsia="zh-TW"/>
              </w:rPr>
              <w:t>货物到达买方使用现场后，由买卖双方共同验收，卖方工程师免费为买方提供调试。</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4" w:edGrp="everyone"/>
          </w:p>
        </w:tc>
        <w:tc>
          <w:tcPr>
            <w:tcW w:w="7128" w:type="dxa"/>
            <w:shd w:val="clear" w:color="auto" w:fill="auto"/>
            <w:vAlign w:val="center"/>
          </w:tcPr>
          <w:p>
            <w:pPr>
              <w:spacing w:line="276" w:lineRule="auto"/>
              <w:jc w:val="both"/>
              <w:rPr>
                <w:szCs w:val="21"/>
                <w:lang w:eastAsia="zh-CN"/>
              </w:rPr>
            </w:pPr>
            <w:r>
              <w:rPr>
                <w:rFonts w:hint="eastAsia" w:hAnsi="宋体"/>
                <w:szCs w:val="21"/>
                <w:u w:color="333333"/>
                <w:lang w:val="zh-TW" w:eastAsia="zh-TW"/>
              </w:rPr>
              <w:t>供应商进厂施工需遵守安全和施工规定。</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Ansi="宋体"/>
                <w:szCs w:val="21"/>
                <w:u w:color="333333"/>
                <w:lang w:val="zh-TW" w:eastAsia="zh-TW"/>
              </w:rPr>
            </w:pPr>
            <w:r>
              <w:rPr>
                <w:rFonts w:hint="eastAsia" w:ascii="宋体" w:hAnsi="宋体"/>
                <w:szCs w:val="21"/>
                <w:lang w:eastAsia="zh-CN"/>
              </w:rPr>
              <w:t>确认</w:t>
            </w:r>
            <w:r>
              <w:rPr>
                <w:rFonts w:hint="eastAsia" w:ascii="宋体" w:hAnsi="宋体"/>
                <w:szCs w:val="21"/>
                <w:lang w:val="en-US" w:eastAsia="zh-CN"/>
              </w:rPr>
              <w:t>设备</w:t>
            </w:r>
            <w:r>
              <w:rPr>
                <w:rFonts w:hint="eastAsia" w:ascii="宋体" w:hAnsi="宋体"/>
                <w:szCs w:val="21"/>
                <w:lang w:eastAsia="zh-CN"/>
              </w:rPr>
              <w:t>验收合格后，买卖双方签订验收报告。</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44"/>
    </w:tbl>
    <w:p/>
    <w:p>
      <w:pPr>
        <w:pStyle w:val="31"/>
        <w:numPr>
          <w:ilvl w:val="0"/>
          <w:numId w:val="3"/>
        </w:numPr>
        <w:spacing w:after="158" w:afterLines="50"/>
        <w:ind w:left="426" w:hanging="426" w:hangingChars="202"/>
        <w:outlineLvl w:val="0"/>
        <w:rPr>
          <w:rFonts w:ascii="Times New Roman" w:hAnsi="Times New Roman"/>
          <w:b/>
        </w:rPr>
      </w:pPr>
      <w:bookmarkStart w:id="45" w:name="_Toc522716126"/>
      <w:bookmarkStart w:id="46" w:name="_Toc52210774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1"/>
        <w:spacing w:before="0" w:line="360" w:lineRule="auto"/>
        <w:ind w:left="357"/>
        <w:jc w:val="left"/>
        <w:rPr>
          <w:color w:val="4472C4"/>
          <w:szCs w:val="21"/>
          <w:lang w:eastAsia="zh-CN"/>
        </w:rPr>
      </w:pPr>
      <w:permStart w:id="45" w:edGrp="everyone"/>
      <w:permEnd w:id="45"/>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HYb2gj">
    <w:altName w:val="等线"/>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2"/>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3FD"/>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4DD5"/>
    <w:rsid w:val="000A55CC"/>
    <w:rsid w:val="000A5CEE"/>
    <w:rsid w:val="000A6423"/>
    <w:rsid w:val="000A6661"/>
    <w:rsid w:val="000B02ED"/>
    <w:rsid w:val="000B02FD"/>
    <w:rsid w:val="000B068C"/>
    <w:rsid w:val="000B3154"/>
    <w:rsid w:val="000B417D"/>
    <w:rsid w:val="000B45E0"/>
    <w:rsid w:val="000B4EC4"/>
    <w:rsid w:val="000B5888"/>
    <w:rsid w:val="000B5C64"/>
    <w:rsid w:val="000C098C"/>
    <w:rsid w:val="000C0A41"/>
    <w:rsid w:val="000C0DD3"/>
    <w:rsid w:val="000C0FA5"/>
    <w:rsid w:val="000C3C81"/>
    <w:rsid w:val="000C41B6"/>
    <w:rsid w:val="000C7137"/>
    <w:rsid w:val="000D112B"/>
    <w:rsid w:val="000D1A79"/>
    <w:rsid w:val="000D2B3B"/>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1C6"/>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347D"/>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13E3"/>
    <w:rsid w:val="00132F4C"/>
    <w:rsid w:val="00134C68"/>
    <w:rsid w:val="00135FD6"/>
    <w:rsid w:val="001374CF"/>
    <w:rsid w:val="00140F78"/>
    <w:rsid w:val="00143952"/>
    <w:rsid w:val="001442AB"/>
    <w:rsid w:val="0014477D"/>
    <w:rsid w:val="00144D00"/>
    <w:rsid w:val="00145034"/>
    <w:rsid w:val="00145DC7"/>
    <w:rsid w:val="00145F74"/>
    <w:rsid w:val="00146568"/>
    <w:rsid w:val="00150BCC"/>
    <w:rsid w:val="001539DA"/>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6F4"/>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D5965"/>
    <w:rsid w:val="001E0376"/>
    <w:rsid w:val="001E13E0"/>
    <w:rsid w:val="001E2B2B"/>
    <w:rsid w:val="001E33FB"/>
    <w:rsid w:val="001E353E"/>
    <w:rsid w:val="001E3CBE"/>
    <w:rsid w:val="001E5657"/>
    <w:rsid w:val="001E5F94"/>
    <w:rsid w:val="001E744F"/>
    <w:rsid w:val="001F065A"/>
    <w:rsid w:val="001F1FE7"/>
    <w:rsid w:val="001F25DD"/>
    <w:rsid w:val="001F3552"/>
    <w:rsid w:val="001F473D"/>
    <w:rsid w:val="001F4BFD"/>
    <w:rsid w:val="001F7405"/>
    <w:rsid w:val="001F7E95"/>
    <w:rsid w:val="0020038C"/>
    <w:rsid w:val="00201487"/>
    <w:rsid w:val="00201627"/>
    <w:rsid w:val="00203D68"/>
    <w:rsid w:val="0020539A"/>
    <w:rsid w:val="00205E00"/>
    <w:rsid w:val="00206107"/>
    <w:rsid w:val="002070B2"/>
    <w:rsid w:val="0020756B"/>
    <w:rsid w:val="00210177"/>
    <w:rsid w:val="00212297"/>
    <w:rsid w:val="002129BC"/>
    <w:rsid w:val="00212BD9"/>
    <w:rsid w:val="00213AA9"/>
    <w:rsid w:val="002168EA"/>
    <w:rsid w:val="002168FE"/>
    <w:rsid w:val="00217048"/>
    <w:rsid w:val="0021754E"/>
    <w:rsid w:val="002178C5"/>
    <w:rsid w:val="00220757"/>
    <w:rsid w:val="00222993"/>
    <w:rsid w:val="00223661"/>
    <w:rsid w:val="00224129"/>
    <w:rsid w:val="00225DD2"/>
    <w:rsid w:val="002279A2"/>
    <w:rsid w:val="00227A0D"/>
    <w:rsid w:val="002320D9"/>
    <w:rsid w:val="0023255D"/>
    <w:rsid w:val="00234C07"/>
    <w:rsid w:val="002355FF"/>
    <w:rsid w:val="002367A6"/>
    <w:rsid w:val="00236BE9"/>
    <w:rsid w:val="00237E6C"/>
    <w:rsid w:val="00240A09"/>
    <w:rsid w:val="00240B1E"/>
    <w:rsid w:val="00241437"/>
    <w:rsid w:val="00243B75"/>
    <w:rsid w:val="00245088"/>
    <w:rsid w:val="00253242"/>
    <w:rsid w:val="002547BF"/>
    <w:rsid w:val="002548CA"/>
    <w:rsid w:val="0025531B"/>
    <w:rsid w:val="002560F9"/>
    <w:rsid w:val="00257517"/>
    <w:rsid w:val="00257FA9"/>
    <w:rsid w:val="00261CD0"/>
    <w:rsid w:val="00261F30"/>
    <w:rsid w:val="002633C2"/>
    <w:rsid w:val="002637FB"/>
    <w:rsid w:val="00263CB5"/>
    <w:rsid w:val="0026571F"/>
    <w:rsid w:val="0027137F"/>
    <w:rsid w:val="002723D2"/>
    <w:rsid w:val="00272D98"/>
    <w:rsid w:val="002732E5"/>
    <w:rsid w:val="002745D9"/>
    <w:rsid w:val="00274823"/>
    <w:rsid w:val="0027577D"/>
    <w:rsid w:val="00275F43"/>
    <w:rsid w:val="002810E3"/>
    <w:rsid w:val="00282EAA"/>
    <w:rsid w:val="0028384D"/>
    <w:rsid w:val="0028525D"/>
    <w:rsid w:val="00286071"/>
    <w:rsid w:val="002860DB"/>
    <w:rsid w:val="00286CE5"/>
    <w:rsid w:val="0029023F"/>
    <w:rsid w:val="002913B7"/>
    <w:rsid w:val="00291541"/>
    <w:rsid w:val="00291C5E"/>
    <w:rsid w:val="002924C2"/>
    <w:rsid w:val="00293E83"/>
    <w:rsid w:val="002960A2"/>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448"/>
    <w:rsid w:val="002E69A1"/>
    <w:rsid w:val="002F1C5E"/>
    <w:rsid w:val="002F1D63"/>
    <w:rsid w:val="002F340E"/>
    <w:rsid w:val="002F4392"/>
    <w:rsid w:val="002F4641"/>
    <w:rsid w:val="002F4B22"/>
    <w:rsid w:val="00302176"/>
    <w:rsid w:val="00302AF8"/>
    <w:rsid w:val="00304F96"/>
    <w:rsid w:val="00306131"/>
    <w:rsid w:val="00306B53"/>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016"/>
    <w:rsid w:val="00347576"/>
    <w:rsid w:val="00347772"/>
    <w:rsid w:val="00347A51"/>
    <w:rsid w:val="00347B19"/>
    <w:rsid w:val="003531FA"/>
    <w:rsid w:val="0035416F"/>
    <w:rsid w:val="003549FE"/>
    <w:rsid w:val="00354BB8"/>
    <w:rsid w:val="00355AAC"/>
    <w:rsid w:val="00355D7D"/>
    <w:rsid w:val="00360A55"/>
    <w:rsid w:val="003647CA"/>
    <w:rsid w:val="0036490C"/>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2B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50A"/>
    <w:rsid w:val="003C6ECF"/>
    <w:rsid w:val="003C73BC"/>
    <w:rsid w:val="003D2243"/>
    <w:rsid w:val="003D3C09"/>
    <w:rsid w:val="003D464A"/>
    <w:rsid w:val="003D4EFF"/>
    <w:rsid w:val="003D5F4A"/>
    <w:rsid w:val="003D662C"/>
    <w:rsid w:val="003D77E5"/>
    <w:rsid w:val="003E11A8"/>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1708"/>
    <w:rsid w:val="00422D19"/>
    <w:rsid w:val="00422DFE"/>
    <w:rsid w:val="00424D83"/>
    <w:rsid w:val="00424E29"/>
    <w:rsid w:val="00427BDA"/>
    <w:rsid w:val="00427D22"/>
    <w:rsid w:val="00427E2D"/>
    <w:rsid w:val="00432568"/>
    <w:rsid w:val="00436C7C"/>
    <w:rsid w:val="00437440"/>
    <w:rsid w:val="00437633"/>
    <w:rsid w:val="00440378"/>
    <w:rsid w:val="00442B53"/>
    <w:rsid w:val="00442F67"/>
    <w:rsid w:val="00443256"/>
    <w:rsid w:val="00444D2D"/>
    <w:rsid w:val="004510B1"/>
    <w:rsid w:val="00451C5D"/>
    <w:rsid w:val="00451D74"/>
    <w:rsid w:val="00452E73"/>
    <w:rsid w:val="004565EF"/>
    <w:rsid w:val="00457FF9"/>
    <w:rsid w:val="004601ED"/>
    <w:rsid w:val="00460711"/>
    <w:rsid w:val="0046108B"/>
    <w:rsid w:val="0046175D"/>
    <w:rsid w:val="00467AE6"/>
    <w:rsid w:val="00467EC9"/>
    <w:rsid w:val="00470775"/>
    <w:rsid w:val="00477791"/>
    <w:rsid w:val="00480286"/>
    <w:rsid w:val="00480C3B"/>
    <w:rsid w:val="00480FE3"/>
    <w:rsid w:val="00481C39"/>
    <w:rsid w:val="00481C94"/>
    <w:rsid w:val="004833BD"/>
    <w:rsid w:val="00484A8D"/>
    <w:rsid w:val="00486A4E"/>
    <w:rsid w:val="00486B09"/>
    <w:rsid w:val="0049139F"/>
    <w:rsid w:val="00494F07"/>
    <w:rsid w:val="00496116"/>
    <w:rsid w:val="004965A0"/>
    <w:rsid w:val="00497335"/>
    <w:rsid w:val="004A05A7"/>
    <w:rsid w:val="004A3F98"/>
    <w:rsid w:val="004A5532"/>
    <w:rsid w:val="004A5958"/>
    <w:rsid w:val="004A7663"/>
    <w:rsid w:val="004A76DF"/>
    <w:rsid w:val="004B0A75"/>
    <w:rsid w:val="004B2190"/>
    <w:rsid w:val="004B4406"/>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E4ED0"/>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0BAA"/>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22F3"/>
    <w:rsid w:val="00544652"/>
    <w:rsid w:val="0054625B"/>
    <w:rsid w:val="005478B7"/>
    <w:rsid w:val="00551539"/>
    <w:rsid w:val="00552EFE"/>
    <w:rsid w:val="00554ABB"/>
    <w:rsid w:val="0055552D"/>
    <w:rsid w:val="00555668"/>
    <w:rsid w:val="0055679E"/>
    <w:rsid w:val="0055702F"/>
    <w:rsid w:val="0056090D"/>
    <w:rsid w:val="00561E9C"/>
    <w:rsid w:val="00562134"/>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462"/>
    <w:rsid w:val="005E65FA"/>
    <w:rsid w:val="005F19CE"/>
    <w:rsid w:val="005F28F4"/>
    <w:rsid w:val="005F43BB"/>
    <w:rsid w:val="005F503E"/>
    <w:rsid w:val="005F6049"/>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402A"/>
    <w:rsid w:val="00624455"/>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32E3"/>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95F83"/>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1A64"/>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541"/>
    <w:rsid w:val="007176BB"/>
    <w:rsid w:val="00717811"/>
    <w:rsid w:val="00720A17"/>
    <w:rsid w:val="00720D4B"/>
    <w:rsid w:val="00723A0F"/>
    <w:rsid w:val="00726CB6"/>
    <w:rsid w:val="00727255"/>
    <w:rsid w:val="0072779B"/>
    <w:rsid w:val="00727CCF"/>
    <w:rsid w:val="00732988"/>
    <w:rsid w:val="007329BD"/>
    <w:rsid w:val="0073446D"/>
    <w:rsid w:val="007349FF"/>
    <w:rsid w:val="00734B45"/>
    <w:rsid w:val="00736FFB"/>
    <w:rsid w:val="00740080"/>
    <w:rsid w:val="00741A30"/>
    <w:rsid w:val="00744DC2"/>
    <w:rsid w:val="007504DC"/>
    <w:rsid w:val="0075142F"/>
    <w:rsid w:val="00751965"/>
    <w:rsid w:val="007524EF"/>
    <w:rsid w:val="00752689"/>
    <w:rsid w:val="00756D1D"/>
    <w:rsid w:val="00760886"/>
    <w:rsid w:val="007615CA"/>
    <w:rsid w:val="00761ADD"/>
    <w:rsid w:val="00762B3A"/>
    <w:rsid w:val="00765D6E"/>
    <w:rsid w:val="00765D7E"/>
    <w:rsid w:val="00766043"/>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092"/>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0EF0"/>
    <w:rsid w:val="00841BE4"/>
    <w:rsid w:val="00845A53"/>
    <w:rsid w:val="00847E8C"/>
    <w:rsid w:val="008505E1"/>
    <w:rsid w:val="00850B19"/>
    <w:rsid w:val="00852488"/>
    <w:rsid w:val="0085405E"/>
    <w:rsid w:val="008548B3"/>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6FD"/>
    <w:rsid w:val="008A6CFC"/>
    <w:rsid w:val="008B2125"/>
    <w:rsid w:val="008B25D4"/>
    <w:rsid w:val="008B38E5"/>
    <w:rsid w:val="008B58C4"/>
    <w:rsid w:val="008B6CD2"/>
    <w:rsid w:val="008B72DD"/>
    <w:rsid w:val="008B7B81"/>
    <w:rsid w:val="008C050B"/>
    <w:rsid w:val="008C1132"/>
    <w:rsid w:val="008C302A"/>
    <w:rsid w:val="008C3E42"/>
    <w:rsid w:val="008C4B72"/>
    <w:rsid w:val="008C5279"/>
    <w:rsid w:val="008C527D"/>
    <w:rsid w:val="008C57A1"/>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8F68DC"/>
    <w:rsid w:val="00904BA9"/>
    <w:rsid w:val="00904E7E"/>
    <w:rsid w:val="009106BE"/>
    <w:rsid w:val="0091086B"/>
    <w:rsid w:val="00911129"/>
    <w:rsid w:val="00912EA3"/>
    <w:rsid w:val="009141B0"/>
    <w:rsid w:val="00914B6E"/>
    <w:rsid w:val="009156A2"/>
    <w:rsid w:val="0091579A"/>
    <w:rsid w:val="0091615D"/>
    <w:rsid w:val="00923F7E"/>
    <w:rsid w:val="00924C96"/>
    <w:rsid w:val="00925030"/>
    <w:rsid w:val="00925B32"/>
    <w:rsid w:val="00930A64"/>
    <w:rsid w:val="00930BE5"/>
    <w:rsid w:val="00931403"/>
    <w:rsid w:val="00934991"/>
    <w:rsid w:val="009351A7"/>
    <w:rsid w:val="0093657D"/>
    <w:rsid w:val="009426B9"/>
    <w:rsid w:val="00943553"/>
    <w:rsid w:val="00944E85"/>
    <w:rsid w:val="0094634C"/>
    <w:rsid w:val="009463AB"/>
    <w:rsid w:val="00950239"/>
    <w:rsid w:val="00950332"/>
    <w:rsid w:val="00954CF4"/>
    <w:rsid w:val="00955899"/>
    <w:rsid w:val="00955A03"/>
    <w:rsid w:val="0096203D"/>
    <w:rsid w:val="0096224A"/>
    <w:rsid w:val="00963289"/>
    <w:rsid w:val="00964A78"/>
    <w:rsid w:val="009656B4"/>
    <w:rsid w:val="009660C9"/>
    <w:rsid w:val="00966CA0"/>
    <w:rsid w:val="00966D74"/>
    <w:rsid w:val="00967F9D"/>
    <w:rsid w:val="00970275"/>
    <w:rsid w:val="00970ABF"/>
    <w:rsid w:val="009710E2"/>
    <w:rsid w:val="00972E9C"/>
    <w:rsid w:val="00973425"/>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212"/>
    <w:rsid w:val="009C1C79"/>
    <w:rsid w:val="009C2504"/>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52D1"/>
    <w:rsid w:val="009E6973"/>
    <w:rsid w:val="009F0466"/>
    <w:rsid w:val="009F4200"/>
    <w:rsid w:val="009F4933"/>
    <w:rsid w:val="009F5FD0"/>
    <w:rsid w:val="009F661C"/>
    <w:rsid w:val="009F6DD5"/>
    <w:rsid w:val="009F7B12"/>
    <w:rsid w:val="00A00FB6"/>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5AE"/>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76B85"/>
    <w:rsid w:val="00A801B4"/>
    <w:rsid w:val="00A82075"/>
    <w:rsid w:val="00A82192"/>
    <w:rsid w:val="00A857AB"/>
    <w:rsid w:val="00A87505"/>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0A1B"/>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3B3A"/>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209"/>
    <w:rsid w:val="00B92497"/>
    <w:rsid w:val="00B92D41"/>
    <w:rsid w:val="00B93679"/>
    <w:rsid w:val="00B9422D"/>
    <w:rsid w:val="00B95A1D"/>
    <w:rsid w:val="00B9634B"/>
    <w:rsid w:val="00BA5072"/>
    <w:rsid w:val="00BA5B65"/>
    <w:rsid w:val="00BA7BFE"/>
    <w:rsid w:val="00BB0ECA"/>
    <w:rsid w:val="00BB246B"/>
    <w:rsid w:val="00BB4404"/>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7DA"/>
    <w:rsid w:val="00BF6970"/>
    <w:rsid w:val="00BF69C6"/>
    <w:rsid w:val="00C005D8"/>
    <w:rsid w:val="00C02F31"/>
    <w:rsid w:val="00C04DA5"/>
    <w:rsid w:val="00C050FC"/>
    <w:rsid w:val="00C05D40"/>
    <w:rsid w:val="00C11905"/>
    <w:rsid w:val="00C14462"/>
    <w:rsid w:val="00C15579"/>
    <w:rsid w:val="00C16542"/>
    <w:rsid w:val="00C16DAF"/>
    <w:rsid w:val="00C22382"/>
    <w:rsid w:val="00C2355B"/>
    <w:rsid w:val="00C23584"/>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142E"/>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AA2"/>
    <w:rsid w:val="00C87CAC"/>
    <w:rsid w:val="00C913A1"/>
    <w:rsid w:val="00C950D6"/>
    <w:rsid w:val="00C97646"/>
    <w:rsid w:val="00C97672"/>
    <w:rsid w:val="00CA1613"/>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2D2D"/>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68D"/>
    <w:rsid w:val="00D228DA"/>
    <w:rsid w:val="00D22E01"/>
    <w:rsid w:val="00D238A5"/>
    <w:rsid w:val="00D24315"/>
    <w:rsid w:val="00D24621"/>
    <w:rsid w:val="00D2600F"/>
    <w:rsid w:val="00D276DA"/>
    <w:rsid w:val="00D30EEA"/>
    <w:rsid w:val="00D31534"/>
    <w:rsid w:val="00D32C1F"/>
    <w:rsid w:val="00D33908"/>
    <w:rsid w:val="00D33FC2"/>
    <w:rsid w:val="00D37394"/>
    <w:rsid w:val="00D44634"/>
    <w:rsid w:val="00D46699"/>
    <w:rsid w:val="00D47345"/>
    <w:rsid w:val="00D5073F"/>
    <w:rsid w:val="00D51573"/>
    <w:rsid w:val="00D5260B"/>
    <w:rsid w:val="00D5399A"/>
    <w:rsid w:val="00D5444F"/>
    <w:rsid w:val="00D54E0D"/>
    <w:rsid w:val="00D54F7D"/>
    <w:rsid w:val="00D57528"/>
    <w:rsid w:val="00D602CA"/>
    <w:rsid w:val="00D60DD8"/>
    <w:rsid w:val="00D64149"/>
    <w:rsid w:val="00D64C6C"/>
    <w:rsid w:val="00D66D42"/>
    <w:rsid w:val="00D67838"/>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4D5"/>
    <w:rsid w:val="00D917BC"/>
    <w:rsid w:val="00D942DE"/>
    <w:rsid w:val="00D9491E"/>
    <w:rsid w:val="00DA070D"/>
    <w:rsid w:val="00DA3B2F"/>
    <w:rsid w:val="00DA4731"/>
    <w:rsid w:val="00DA5040"/>
    <w:rsid w:val="00DA7D5F"/>
    <w:rsid w:val="00DB053E"/>
    <w:rsid w:val="00DB11B2"/>
    <w:rsid w:val="00DB161E"/>
    <w:rsid w:val="00DB31B5"/>
    <w:rsid w:val="00DB5BBA"/>
    <w:rsid w:val="00DB648B"/>
    <w:rsid w:val="00DC03DB"/>
    <w:rsid w:val="00DC1206"/>
    <w:rsid w:val="00DC2BE8"/>
    <w:rsid w:val="00DC2BEC"/>
    <w:rsid w:val="00DC3256"/>
    <w:rsid w:val="00DC35A6"/>
    <w:rsid w:val="00DC39D8"/>
    <w:rsid w:val="00DC5285"/>
    <w:rsid w:val="00DD090A"/>
    <w:rsid w:val="00DD2421"/>
    <w:rsid w:val="00DD3222"/>
    <w:rsid w:val="00DD3D81"/>
    <w:rsid w:val="00DD571C"/>
    <w:rsid w:val="00DD64E1"/>
    <w:rsid w:val="00DE039A"/>
    <w:rsid w:val="00DE0403"/>
    <w:rsid w:val="00DE0C6F"/>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67E3"/>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10BF"/>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15C6"/>
    <w:rsid w:val="00EE35B4"/>
    <w:rsid w:val="00EE5643"/>
    <w:rsid w:val="00EE7CEC"/>
    <w:rsid w:val="00EF056E"/>
    <w:rsid w:val="00EF09B3"/>
    <w:rsid w:val="00EF0A3E"/>
    <w:rsid w:val="00EF1F02"/>
    <w:rsid w:val="00EF5EC6"/>
    <w:rsid w:val="00EF646F"/>
    <w:rsid w:val="00EF791E"/>
    <w:rsid w:val="00EF7A63"/>
    <w:rsid w:val="00F00D58"/>
    <w:rsid w:val="00F0226C"/>
    <w:rsid w:val="00F02522"/>
    <w:rsid w:val="00F025A4"/>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38D9"/>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2D36"/>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609D"/>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4DB7"/>
    <w:rsid w:val="00FF5E19"/>
    <w:rsid w:val="00FF61AD"/>
    <w:rsid w:val="00FF76BD"/>
    <w:rsid w:val="2FEA51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2"/>
    <w:semiHidden/>
    <w:uiPriority w:val="0"/>
  </w:style>
  <w:style w:type="paragraph" w:styleId="7">
    <w:name w:val="Body Text 3"/>
    <w:basedOn w:val="1"/>
    <w:link w:val="47"/>
    <w:qFormat/>
    <w:uiPriority w:val="0"/>
    <w:pPr>
      <w:spacing w:after="120"/>
    </w:pPr>
    <w:rPr>
      <w:sz w:val="16"/>
      <w:szCs w:val="16"/>
    </w:rPr>
  </w:style>
  <w:style w:type="paragraph" w:styleId="8">
    <w:name w:val="Body Text"/>
    <w:basedOn w:val="1"/>
    <w:uiPriority w:val="0"/>
    <w:pPr>
      <w:ind w:right="56"/>
    </w:pPr>
    <w:rPr>
      <w:b/>
      <w:sz w:val="22"/>
    </w:rPr>
  </w:style>
  <w:style w:type="paragraph" w:styleId="9">
    <w:name w:val="Body Text Indent"/>
    <w:basedOn w:val="1"/>
    <w:uiPriority w:val="0"/>
    <w:pPr>
      <w:spacing w:after="120"/>
      <w:ind w:left="420" w:leftChars="200"/>
    </w:pPr>
  </w:style>
  <w:style w:type="paragraph" w:styleId="10">
    <w:name w:val="toc 3"/>
    <w:basedOn w:val="1"/>
    <w:next w:val="1"/>
    <w:uiPriority w:val="39"/>
    <w:pPr>
      <w:tabs>
        <w:tab w:val="right" w:leader="dot" w:pos="8302"/>
        <w:tab w:val="right" w:leader="dot" w:pos="8835"/>
      </w:tabs>
      <w:spacing w:line="360" w:lineRule="auto"/>
      <w:ind w:left="300" w:leftChars="300"/>
    </w:pPr>
    <w:rPr>
      <w:sz w:val="20"/>
    </w:rPr>
  </w:style>
  <w:style w:type="paragraph" w:styleId="11">
    <w:name w:val="Body Text Indent 2"/>
    <w:basedOn w:val="1"/>
    <w:uiPriority w:val="0"/>
    <w:pPr>
      <w:spacing w:after="120" w:line="480" w:lineRule="auto"/>
      <w:ind w:left="420" w:leftChars="200"/>
    </w:pPr>
  </w:style>
  <w:style w:type="paragraph" w:styleId="12">
    <w:name w:val="Balloon Text"/>
    <w:basedOn w:val="1"/>
    <w:semiHidden/>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uiPriority w:val="0"/>
    <w:rPr>
      <w:b/>
      <w:bCs/>
    </w:rPr>
  </w:style>
  <w:style w:type="table" w:styleId="20">
    <w:name w:val="Table Grid"/>
    <w:basedOn w:val="19"/>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uiPriority w:val="99"/>
    <w:rPr>
      <w:color w:val="0000FF"/>
      <w:u w:val="single"/>
    </w:rPr>
  </w:style>
  <w:style w:type="character" w:styleId="24">
    <w:name w:val="annotation reference"/>
    <w:semiHidden/>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字符"/>
    <w:link w:val="14"/>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Revision"/>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字符"/>
    <w:link w:val="6"/>
    <w:semiHidden/>
    <w:qFormat/>
    <w:uiPriority w:val="0"/>
    <w:rPr>
      <w:sz w:val="24"/>
      <w:lang w:val="en-GB" w:eastAsia="en-US"/>
    </w:rPr>
  </w:style>
  <w:style w:type="paragraph" w:customStyle="1" w:styleId="33">
    <w:name w:val="TOC Heading"/>
    <w:basedOn w:val="2"/>
    <w:next w:val="1"/>
    <w:qFormat/>
    <w:uiPriority w:val="39"/>
    <w:pPr>
      <w:numPr>
        <w:numId w:val="0"/>
      </w:numPr>
      <w:outlineLvl w:val="9"/>
    </w:pPr>
  </w:style>
  <w:style w:type="character" w:customStyle="1" w:styleId="34">
    <w:name w:val="页脚 字符"/>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字符"/>
    <w:link w:val="17"/>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locked/>
    <w:uiPriority w:val="0"/>
    <w:rPr>
      <w:rFonts w:cs="Times New Roman"/>
      <w:sz w:val="18"/>
      <w:szCs w:val="18"/>
    </w:rPr>
  </w:style>
  <w:style w:type="character" w:customStyle="1" w:styleId="47">
    <w:name w:val="正文文本 3 字符"/>
    <w:basedOn w:val="21"/>
    <w:link w:val="7"/>
    <w:qFormat/>
    <w:uiPriority w:val="0"/>
    <w:rPr>
      <w:sz w:val="16"/>
      <w:szCs w:val="16"/>
      <w:lang w:val="en-GB"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020CB-D8B9-4966-BE95-91E0D5E4484E}">
  <ds:schemaRefs/>
</ds:datastoreItem>
</file>

<file path=docProps/app.xml><?xml version="1.0" encoding="utf-8"?>
<Properties xmlns="http://schemas.openxmlformats.org/officeDocument/2006/extended-properties" xmlns:vt="http://schemas.openxmlformats.org/officeDocument/2006/docPropsVTypes">
  <Template>Normal</Template>
  <Pages>12</Pages>
  <Words>763</Words>
  <Characters>4351</Characters>
  <Lines>36</Lines>
  <Paragraphs>10</Paragraphs>
  <TotalTime>54</TotalTime>
  <ScaleCrop>false</ScaleCrop>
  <LinksUpToDate>false</LinksUpToDate>
  <CharactersWithSpaces>5104</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2022-02-18T07:43:00Z</dcterms:created>
  <dc:creator>Lilly</dc:creator>
  <cp:lastModifiedBy>汪洋</cp:lastModifiedBy>
  <cp:lastPrinted>2017-06-22T01:53:00Z</cp:lastPrinted>
  <dcterms:modified xsi:type="dcterms:W3CDTF">2022-09-19T07:19:05Z</dcterms:modified>
  <dc:title>生效期：</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