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Toc482717189"/>
      <w:bookmarkStart w:id="1" w:name="_Toc484532399"/>
      <w:bookmarkStart w:id="2" w:name="_Toc483400307"/>
      <w:bookmarkStart w:id="3" w:name="_Toc483666358"/>
      <w:bookmarkStart w:id="4" w:name="_Toc483227223"/>
    </w:p>
    <w:p>
      <w:pPr>
        <w:spacing w:after="158" w:afterLines="50"/>
        <w:jc w:val="center"/>
        <w:rPr>
          <w:b/>
          <w:szCs w:val="21"/>
          <w:lang w:eastAsia="zh-CN"/>
        </w:rPr>
      </w:pPr>
      <w:permStart w:id="0" w:edGrp="everyone"/>
      <w:r>
        <w:rPr>
          <w:rFonts w:hint="eastAsia"/>
          <w:b/>
          <w:sz w:val="28"/>
          <w:szCs w:val="28"/>
          <w:lang w:eastAsia="zh-CN"/>
        </w:rPr>
        <w:t>分包装室</w:t>
      </w:r>
      <w:r>
        <w:rPr>
          <w:rFonts w:hint="eastAsia"/>
          <w:b/>
          <w:sz w:val="28"/>
          <w:szCs w:val="28"/>
          <w:lang w:val="en-US" w:eastAsia="zh-CN"/>
        </w:rPr>
        <w:t>毓晋楼纯化疫苗分装车间</w:t>
      </w:r>
      <w:r>
        <w:rPr>
          <w:rFonts w:hint="eastAsia"/>
          <w:b/>
          <w:sz w:val="28"/>
          <w:szCs w:val="28"/>
          <w:lang w:eastAsia="zh-CN"/>
        </w:rPr>
        <w:t>VHP空间灭菌器</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46"/>
        <w:keepNext w:val="0"/>
        <w:keepLines w:val="0"/>
        <w:widowControl w:val="0"/>
        <w:spacing w:after="158" w:afterLines="50" w:line="240" w:lineRule="auto"/>
        <w:jc w:val="center"/>
        <w:rPr>
          <w:sz w:val="21"/>
          <w:szCs w:val="21"/>
          <w:lang w:val="zh-CN" w:eastAsia="zh-CN"/>
        </w:rPr>
      </w:pPr>
      <w:r>
        <w:rPr>
          <w:rFonts w:hint="eastAsia"/>
          <w:sz w:val="21"/>
          <w:szCs w:val="21"/>
          <w:lang w:val="zh-CN" w:eastAsia="zh-CN"/>
        </w:rPr>
        <w:t>目录</w:t>
      </w:r>
    </w:p>
    <w:p>
      <w:pPr>
        <w:rPr>
          <w:i/>
          <w:color w:val="00B0F0"/>
          <w:lang w:val="zh-CN" w:eastAsia="zh-CN"/>
        </w:rPr>
      </w:pPr>
      <w:permStart w:id="1" w:edGrp="everyone"/>
    </w:p>
    <w:p>
      <w:pPr>
        <w:pStyle w:val="15"/>
        <w:rPr>
          <w:rFonts w:asciiTheme="minorHAnsi" w:hAnsiTheme="minorHAnsi" w:eastAsiaTheme="minorEastAsia" w:cstheme="minorBidi"/>
          <w:b w:val="0"/>
          <w:bCs w:val="0"/>
          <w:caps w:val="0"/>
          <w:szCs w:val="22"/>
        </w:rPr>
      </w:pPr>
      <w:r>
        <w:fldChar w:fldCharType="begin"/>
      </w:r>
      <w:r>
        <w:instrText xml:space="preserve"> TOC \o "1-2" \h \z \u </w:instrText>
      </w:r>
      <w:r>
        <w:fldChar w:fldCharType="separate"/>
      </w:r>
      <w:r>
        <w:fldChar w:fldCharType="begin"/>
      </w:r>
      <w:r>
        <w:instrText xml:space="preserve"> HYPERLINK \l "_Toc113470711" </w:instrText>
      </w:r>
      <w:r>
        <w:fldChar w:fldCharType="separate"/>
      </w:r>
      <w:r>
        <w:rPr>
          <w:rStyle w:val="24"/>
        </w:rPr>
        <w:t>修订历史</w:t>
      </w:r>
      <w:r>
        <w:tab/>
      </w:r>
      <w:r>
        <w:fldChar w:fldCharType="begin"/>
      </w:r>
      <w:r>
        <w:instrText xml:space="preserve"> PAGEREF _Toc113470711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"_Toc113470712" </w:instrText>
      </w:r>
      <w:r>
        <w:fldChar w:fldCharType="separate"/>
      </w:r>
      <w:r>
        <w:rPr>
          <w:rStyle w:val="24"/>
        </w:rPr>
        <w:t>1</w:t>
      </w:r>
      <w:r>
        <w:rPr>
          <w:rFonts w:asciiTheme="minorHAnsi" w:hAnsiTheme="minorHAnsi" w:eastAsiaTheme="minorEastAsia" w:cstheme="minorBidi"/>
          <w:b w:val="0"/>
          <w:bCs w:val="0"/>
          <w:caps w:val="0"/>
          <w:szCs w:val="22"/>
        </w:rPr>
        <w:tab/>
      </w:r>
      <w:r>
        <w:rPr>
          <w:rStyle w:val="24"/>
        </w:rPr>
        <w:t>目的</w:t>
      </w:r>
      <w:r>
        <w:tab/>
      </w:r>
      <w:r>
        <w:fldChar w:fldCharType="begin"/>
      </w:r>
      <w:r>
        <w:instrText xml:space="preserve"> PAGEREF _Toc113470712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"_Toc113470713" </w:instrText>
      </w:r>
      <w:r>
        <w:fldChar w:fldCharType="separate"/>
      </w:r>
      <w:r>
        <w:rPr>
          <w:rStyle w:val="24"/>
        </w:rPr>
        <w:t>2</w:t>
      </w:r>
      <w:r>
        <w:rPr>
          <w:rFonts w:asciiTheme="minorHAnsi" w:hAnsiTheme="minorHAnsi" w:eastAsiaTheme="minorEastAsia" w:cstheme="minorBidi"/>
          <w:b w:val="0"/>
          <w:bCs w:val="0"/>
          <w:caps w:val="0"/>
          <w:szCs w:val="22"/>
        </w:rPr>
        <w:tab/>
      </w:r>
      <w:r>
        <w:rPr>
          <w:rStyle w:val="24"/>
        </w:rPr>
        <w:t>范围</w:t>
      </w:r>
      <w:r>
        <w:tab/>
      </w:r>
      <w:r>
        <w:fldChar w:fldCharType="begin"/>
      </w:r>
      <w:r>
        <w:instrText xml:space="preserve"> PAGEREF _Toc113470713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"_Toc113470714" </w:instrText>
      </w:r>
      <w:r>
        <w:fldChar w:fldCharType="separate"/>
      </w:r>
      <w:r>
        <w:rPr>
          <w:rStyle w:val="24"/>
        </w:rPr>
        <w:t>3</w:t>
      </w:r>
      <w:r>
        <w:rPr>
          <w:rFonts w:asciiTheme="minorHAnsi" w:hAnsiTheme="minorHAnsi" w:eastAsiaTheme="minorEastAsia" w:cstheme="minorBidi"/>
          <w:b w:val="0"/>
          <w:bCs w:val="0"/>
          <w:caps w:val="0"/>
          <w:szCs w:val="22"/>
        </w:rPr>
        <w:tab/>
      </w:r>
      <w:r>
        <w:rPr>
          <w:rStyle w:val="24"/>
        </w:rPr>
        <w:t>参考文件</w:t>
      </w:r>
      <w:r>
        <w:tab/>
      </w:r>
      <w:r>
        <w:fldChar w:fldCharType="begin"/>
      </w:r>
      <w:r>
        <w:instrText xml:space="preserve"> PAGEREF _Toc113470714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"_Toc113470715" </w:instrText>
      </w:r>
      <w:r>
        <w:fldChar w:fldCharType="separate"/>
      </w:r>
      <w:r>
        <w:rPr>
          <w:rStyle w:val="24"/>
        </w:rPr>
        <w:t>4</w:t>
      </w:r>
      <w:r>
        <w:rPr>
          <w:rFonts w:asciiTheme="minorHAnsi" w:hAnsiTheme="minorHAnsi" w:eastAsiaTheme="minorEastAsia" w:cstheme="minorBidi"/>
          <w:b w:val="0"/>
          <w:bCs w:val="0"/>
          <w:caps w:val="0"/>
          <w:szCs w:val="22"/>
        </w:rPr>
        <w:tab/>
      </w:r>
      <w:r>
        <w:rPr>
          <w:rStyle w:val="24"/>
        </w:rPr>
        <w:t>职责</w:t>
      </w:r>
      <w:r>
        <w:tab/>
      </w:r>
      <w:r>
        <w:fldChar w:fldCharType="begin"/>
      </w:r>
      <w:r>
        <w:instrText xml:space="preserve"> PAGEREF _Toc113470715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"_Toc113470716" </w:instrText>
      </w:r>
      <w:r>
        <w:fldChar w:fldCharType="separate"/>
      </w:r>
      <w:r>
        <w:rPr>
          <w:rStyle w:val="24"/>
        </w:rPr>
        <w:t>5</w:t>
      </w:r>
      <w:r>
        <w:rPr>
          <w:rFonts w:asciiTheme="minorHAnsi" w:hAnsiTheme="minorHAnsi" w:eastAsiaTheme="minorEastAsia" w:cstheme="minorBidi"/>
          <w:b w:val="0"/>
          <w:bCs w:val="0"/>
          <w:caps w:val="0"/>
          <w:szCs w:val="22"/>
        </w:rPr>
        <w:tab/>
      </w:r>
      <w:r>
        <w:rPr>
          <w:rStyle w:val="24"/>
        </w:rPr>
        <w:t>系统描述</w:t>
      </w:r>
      <w:r>
        <w:tab/>
      </w:r>
      <w:r>
        <w:fldChar w:fldCharType="begin"/>
      </w:r>
      <w:r>
        <w:instrText xml:space="preserve"> PAGEREF _Toc113470716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"_Toc113470717" </w:instrText>
      </w:r>
      <w:r>
        <w:fldChar w:fldCharType="separate"/>
      </w:r>
      <w:r>
        <w:rPr>
          <w:rStyle w:val="24"/>
        </w:rPr>
        <w:t>6</w:t>
      </w:r>
      <w:r>
        <w:rPr>
          <w:rFonts w:asciiTheme="minorHAnsi" w:hAnsiTheme="minorHAnsi" w:eastAsiaTheme="minorEastAsia" w:cstheme="minorBidi"/>
          <w:b w:val="0"/>
          <w:bCs w:val="0"/>
          <w:caps w:val="0"/>
          <w:szCs w:val="22"/>
        </w:rPr>
        <w:tab/>
      </w:r>
      <w:r>
        <w:rPr>
          <w:rStyle w:val="24"/>
        </w:rPr>
        <w:t>安装要求</w:t>
      </w:r>
      <w:r>
        <w:tab/>
      </w:r>
      <w:r>
        <w:fldChar w:fldCharType="begin"/>
      </w:r>
      <w:r>
        <w:instrText xml:space="preserve"> PAGEREF _Toc113470717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"_Toc113470718" </w:instrText>
      </w:r>
      <w:r>
        <w:fldChar w:fldCharType="separate"/>
      </w:r>
      <w:r>
        <w:rPr>
          <w:rStyle w:val="24"/>
        </w:rPr>
        <w:t>7</w:t>
      </w:r>
      <w:r>
        <w:rPr>
          <w:rFonts w:asciiTheme="minorHAnsi" w:hAnsiTheme="minorHAnsi" w:eastAsiaTheme="minorEastAsia" w:cstheme="minorBidi"/>
          <w:b w:val="0"/>
          <w:bCs w:val="0"/>
          <w:caps w:val="0"/>
          <w:szCs w:val="22"/>
        </w:rPr>
        <w:tab/>
      </w:r>
      <w:r>
        <w:rPr>
          <w:rStyle w:val="24"/>
        </w:rPr>
        <w:t>运行要求</w:t>
      </w:r>
      <w:r>
        <w:tab/>
      </w:r>
      <w:r>
        <w:fldChar w:fldCharType="begin"/>
      </w:r>
      <w:r>
        <w:instrText xml:space="preserve"> PAGEREF _Toc113470718 \h </w:instrText>
      </w:r>
      <w:r>
        <w:fldChar w:fldCharType="separate"/>
      </w:r>
      <w:r>
        <w:t>6</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"_Toc113470719" </w:instrText>
      </w:r>
      <w:r>
        <w:fldChar w:fldCharType="separate"/>
      </w:r>
      <w:r>
        <w:rPr>
          <w:rStyle w:val="24"/>
        </w:rPr>
        <w:t>8</w:t>
      </w:r>
      <w:r>
        <w:rPr>
          <w:rFonts w:asciiTheme="minorHAnsi" w:hAnsiTheme="minorHAnsi" w:eastAsiaTheme="minorEastAsia" w:cstheme="minorBidi"/>
          <w:b w:val="0"/>
          <w:bCs w:val="0"/>
          <w:caps w:val="0"/>
          <w:szCs w:val="22"/>
        </w:rPr>
        <w:tab/>
      </w:r>
      <w:r>
        <w:rPr>
          <w:rStyle w:val="24"/>
        </w:rPr>
        <w:t>电气、自动控制要求</w:t>
      </w:r>
      <w:r>
        <w:tab/>
      </w:r>
      <w:r>
        <w:fldChar w:fldCharType="begin"/>
      </w:r>
      <w:r>
        <w:instrText xml:space="preserve"> PAGEREF _Toc113470719 \h </w:instrText>
      </w:r>
      <w:r>
        <w:fldChar w:fldCharType="separate"/>
      </w:r>
      <w:r>
        <w:t>9</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"_Toc113470720" </w:instrText>
      </w:r>
      <w:r>
        <w:fldChar w:fldCharType="separate"/>
      </w:r>
      <w:r>
        <w:rPr>
          <w:rStyle w:val="24"/>
        </w:rPr>
        <w:t>9</w:t>
      </w:r>
      <w:r>
        <w:rPr>
          <w:rFonts w:asciiTheme="minorHAnsi" w:hAnsiTheme="minorHAnsi" w:eastAsiaTheme="minorEastAsia" w:cstheme="minorBidi"/>
          <w:b w:val="0"/>
          <w:bCs w:val="0"/>
          <w:caps w:val="0"/>
          <w:szCs w:val="22"/>
        </w:rPr>
        <w:tab/>
      </w:r>
      <w:r>
        <w:rPr>
          <w:rStyle w:val="24"/>
        </w:rPr>
        <w:t>安全要求</w:t>
      </w:r>
      <w:r>
        <w:tab/>
      </w:r>
      <w:r>
        <w:fldChar w:fldCharType="begin"/>
      </w:r>
      <w:r>
        <w:instrText xml:space="preserve"> PAGEREF _Toc113470720 \h </w:instrText>
      </w:r>
      <w:r>
        <w:fldChar w:fldCharType="separate"/>
      </w:r>
      <w:r>
        <w:t>12</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"_Toc113470721" </w:instrText>
      </w:r>
      <w:r>
        <w:fldChar w:fldCharType="separate"/>
      </w:r>
      <w:r>
        <w:rPr>
          <w:rStyle w:val="24"/>
        </w:rPr>
        <w:t>10</w:t>
      </w:r>
      <w:r>
        <w:rPr>
          <w:rFonts w:asciiTheme="minorHAnsi" w:hAnsiTheme="minorHAnsi" w:eastAsiaTheme="minorEastAsia" w:cstheme="minorBidi"/>
          <w:b w:val="0"/>
          <w:bCs w:val="0"/>
          <w:caps w:val="0"/>
          <w:szCs w:val="22"/>
        </w:rPr>
        <w:tab/>
      </w:r>
      <w:r>
        <w:rPr>
          <w:rStyle w:val="24"/>
        </w:rPr>
        <w:t>文件要求</w:t>
      </w:r>
      <w:r>
        <w:tab/>
      </w:r>
      <w:r>
        <w:fldChar w:fldCharType="begin"/>
      </w:r>
      <w:r>
        <w:instrText xml:space="preserve"> PAGEREF _Toc113470721 \h </w:instrText>
      </w:r>
      <w:r>
        <w:fldChar w:fldCharType="separate"/>
      </w:r>
      <w:r>
        <w:t>13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"_Toc113470722" </w:instrText>
      </w:r>
      <w:r>
        <w:fldChar w:fldCharType="separate"/>
      </w:r>
      <w:r>
        <w:rPr>
          <w:rStyle w:val="24"/>
        </w:rPr>
        <w:t>11</w:t>
      </w:r>
      <w:r>
        <w:rPr>
          <w:rFonts w:asciiTheme="minorHAnsi" w:hAnsiTheme="minorHAnsi" w:eastAsiaTheme="minorEastAsia" w:cstheme="minorBidi"/>
          <w:b w:val="0"/>
          <w:bCs w:val="0"/>
          <w:caps w:val="0"/>
          <w:szCs w:val="22"/>
        </w:rPr>
        <w:tab/>
      </w:r>
      <w:r>
        <w:rPr>
          <w:rStyle w:val="24"/>
        </w:rPr>
        <w:t>服务要求</w:t>
      </w:r>
      <w:r>
        <w:tab/>
      </w:r>
      <w:r>
        <w:fldChar w:fldCharType="begin"/>
      </w:r>
      <w:r>
        <w:instrText xml:space="preserve"> PAGEREF _Toc113470722 \h </w:instrText>
      </w:r>
      <w:r>
        <w:fldChar w:fldCharType="separate"/>
      </w:r>
      <w:r>
        <w:t>15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"_Toc113470723" </w:instrText>
      </w:r>
      <w:r>
        <w:fldChar w:fldCharType="separate"/>
      </w:r>
      <w:r>
        <w:rPr>
          <w:rStyle w:val="24"/>
        </w:rPr>
        <w:t>12</w:t>
      </w:r>
      <w:r>
        <w:rPr>
          <w:rFonts w:asciiTheme="minorHAnsi" w:hAnsiTheme="minorHAnsi" w:eastAsiaTheme="minorEastAsia" w:cstheme="minorBidi"/>
          <w:b w:val="0"/>
          <w:bCs w:val="0"/>
          <w:caps w:val="0"/>
          <w:szCs w:val="22"/>
        </w:rPr>
        <w:tab/>
      </w:r>
      <w:r>
        <w:rPr>
          <w:rStyle w:val="24"/>
        </w:rPr>
        <w:t>附件</w:t>
      </w:r>
      <w:r>
        <w:tab/>
      </w:r>
      <w:r>
        <w:fldChar w:fldCharType="begin"/>
      </w:r>
      <w:r>
        <w:instrText xml:space="preserve"> PAGEREF _Toc113470723 \h </w:instrText>
      </w:r>
      <w:r>
        <w:fldChar w:fldCharType="separate"/>
      </w:r>
      <w:r>
        <w:t>18</w:t>
      </w:r>
      <w:r>
        <w:fldChar w:fldCharType="end"/>
      </w:r>
      <w:r>
        <w:fldChar w:fldCharType="end"/>
      </w:r>
    </w:p>
    <w:p>
      <w:r>
        <w:fldChar w:fldCharType="end"/>
      </w:r>
      <w:permEnd w:id="1"/>
    </w:p>
    <w:p>
      <w:pPr>
        <w:rPr>
          <w:b/>
          <w:bCs/>
          <w:caps/>
          <w:kern w:val="2"/>
          <w:szCs w:val="21"/>
          <w:lang w:eastAsia="zh-CN"/>
        </w:rPr>
      </w:pPr>
      <w:r>
        <w:rPr>
          <w:b/>
          <w:bCs/>
          <w:caps/>
          <w:kern w:val="2"/>
          <w:szCs w:val="21"/>
          <w:lang w:eastAsia="zh-CN"/>
        </w:rPr>
        <w:br w:type="page"/>
      </w:r>
    </w:p>
    <w:p>
      <w:pPr>
        <w:pStyle w:val="45"/>
        <w:numPr>
          <w:ilvl w:val="0"/>
          <w:numId w:val="3"/>
        </w:numPr>
        <w:spacing w:after="158" w:afterLines="50"/>
        <w:ind w:left="426" w:hanging="426" w:hangingChars="202"/>
        <w:outlineLvl w:val="0"/>
        <w:rPr>
          <w:rFonts w:ascii="Times New Roman" w:hAnsi="Times New Roman"/>
          <w:b/>
        </w:rPr>
      </w:pPr>
      <w:bookmarkStart w:id="5" w:name="_Toc522107735"/>
      <w:bookmarkStart w:id="6" w:name="_Toc113470712"/>
      <w:r>
        <w:rPr>
          <w:rFonts w:hint="eastAsia" w:ascii="Times New Roman" w:hAnsi="Times New Roman"/>
          <w:b/>
        </w:rPr>
        <w:t>目的</w:t>
      </w:r>
      <w:bookmarkEnd w:id="5"/>
      <w:bookmarkEnd w:id="6"/>
    </w:p>
    <w:p>
      <w:pPr>
        <w:pStyle w:val="54"/>
        <w:spacing w:before="0" w:line="360" w:lineRule="auto"/>
        <w:ind w:left="357"/>
        <w:jc w:val="left"/>
        <w:rPr>
          <w:rFonts w:asciiTheme="minorEastAsia" w:hAnsiTheme="minorEastAsia" w:eastAsiaTheme="minorEastAsia"/>
          <w:sz w:val="21"/>
          <w:szCs w:val="21"/>
          <w:lang w:eastAsia="zh-CN"/>
        </w:rPr>
      </w:pPr>
      <w:bookmarkStart w:id="7" w:name="_Toc482370757"/>
      <w:bookmarkStart w:id="8" w:name="_Toc482359936"/>
      <w:bookmarkStart w:id="9" w:name="_Toc482370141"/>
      <w:bookmarkStart w:id="10" w:name="_Toc482625279"/>
      <w:bookmarkStart w:id="11" w:name="_Toc482370061"/>
      <w:bookmarkStart w:id="12" w:name="_Toc482369805"/>
      <w:bookmarkStart w:id="13" w:name="_Toc481702475"/>
      <w:bookmarkStart w:id="14" w:name="_Toc482360281"/>
      <w:bookmarkStart w:id="15" w:name="_Toc482370349"/>
      <w:r>
        <w:rPr>
          <w:rFonts w:hint="eastAsia" w:asciiTheme="minorEastAsia" w:hAnsiTheme="minorEastAsia" w:eastAsiaTheme="minorEastAsia"/>
          <w:sz w:val="21"/>
          <w:szCs w:val="21"/>
          <w:lang w:eastAsia="zh-CN"/>
        </w:rPr>
        <w:t>本文件的目的是描述武汉生物制品研究所有限责任公司</w:t>
      </w:r>
      <w:permStart w:id="2" w:edGrp="everyone"/>
      <w:r>
        <w:rPr>
          <w:rFonts w:hint="eastAsia" w:ascii="宋体" w:hAnsi="宋体"/>
          <w:sz w:val="21"/>
          <w:szCs w:val="21"/>
          <w:lang w:eastAsia="zh-CN"/>
        </w:rPr>
        <w:t>分包装室毓晋楼纯化疫苗分装车间的V</w:t>
      </w:r>
      <w:r>
        <w:rPr>
          <w:rFonts w:ascii="宋体" w:hAnsi="宋体"/>
          <w:sz w:val="21"/>
          <w:szCs w:val="21"/>
          <w:lang w:eastAsia="zh-CN"/>
        </w:rPr>
        <w:t>HP</w:t>
      </w:r>
      <w:r>
        <w:rPr>
          <w:rFonts w:hint="eastAsia" w:ascii="宋体" w:hAnsi="宋体"/>
          <w:sz w:val="21"/>
          <w:szCs w:val="21"/>
          <w:lang w:eastAsia="zh-CN"/>
        </w:rPr>
        <w:t>空间灭菌器</w:t>
      </w:r>
      <w:permEnd w:id="2"/>
      <w:r>
        <w:rPr>
          <w:rFonts w:hint="eastAsia" w:asciiTheme="minorEastAsia" w:hAnsiTheme="minorEastAsia" w:eastAsiaTheme="minorEastAsia"/>
          <w:sz w:val="21"/>
          <w:szCs w:val="21"/>
          <w:lang w:eastAsia="zh-CN"/>
        </w:rPr>
        <w:t>的用户需求说明（</w:t>
      </w:r>
      <w:r>
        <w:rPr>
          <w:rFonts w:asciiTheme="minorEastAsia" w:hAnsiTheme="minorEastAsia" w:eastAsiaTheme="minorEastAsia"/>
          <w:sz w:val="21"/>
          <w:szCs w:val="21"/>
          <w:lang w:eastAsia="zh-CN"/>
        </w:rPr>
        <w:t>URS</w:t>
      </w:r>
      <w:r>
        <w:rPr>
          <w:rFonts w:hint="eastAsia" w:asciiTheme="minorEastAsia" w:hAnsiTheme="minorEastAsia" w:eastAsiaTheme="minorEastAsia"/>
          <w:sz w:val="21"/>
          <w:szCs w:val="21"/>
          <w:lang w:eastAsia="zh-CN"/>
        </w:rPr>
        <w:t>），以确保最终用户的需求在项目设计阶段得以实现，并作为后续验证工作的基础。</w:t>
      </w:r>
    </w:p>
    <w:p>
      <w:pPr>
        <w:pStyle w:val="54"/>
        <w:spacing w:before="0"/>
        <w:ind w:left="360"/>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16" w:name="_Toc113470713"/>
      <w:bookmarkStart w:id="17" w:name="_Toc522107736"/>
      <w:r>
        <w:rPr>
          <w:rFonts w:hint="eastAsia" w:ascii="Times New Roman" w:hAnsi="Times New Roman"/>
          <w:b/>
        </w:rPr>
        <w:t>范围</w:t>
      </w:r>
      <w:bookmarkEnd w:id="16"/>
      <w:bookmarkEnd w:id="17"/>
    </w:p>
    <w:p>
      <w:pPr>
        <w:pStyle w:val="54"/>
        <w:spacing w:before="0" w:line="360" w:lineRule="auto"/>
        <w:ind w:left="357"/>
        <w:jc w:val="left"/>
        <w:rPr>
          <w:szCs w:val="21"/>
          <w:lang w:eastAsia="zh-CN"/>
        </w:rPr>
      </w:pPr>
      <w:r>
        <w:rPr>
          <w:rFonts w:hint="eastAsia" w:ascii="宋体" w:hAnsi="宋体"/>
          <w:sz w:val="21"/>
          <w:szCs w:val="21"/>
          <w:lang w:eastAsia="zh-CN"/>
        </w:rPr>
        <w:t>本</w:t>
      </w:r>
      <w:r>
        <w:rPr>
          <w:rFonts w:ascii="宋体" w:hAnsi="宋体"/>
          <w:sz w:val="21"/>
          <w:szCs w:val="21"/>
          <w:lang w:eastAsia="zh-CN"/>
        </w:rPr>
        <w:t>URS</w:t>
      </w:r>
      <w:r>
        <w:rPr>
          <w:rFonts w:hint="eastAsia" w:ascii="宋体" w:hAnsi="宋体"/>
          <w:sz w:val="21"/>
          <w:szCs w:val="21"/>
          <w:lang w:eastAsia="zh-CN"/>
        </w:rPr>
        <w:t>适用于武汉生物制品研究所有限责任公司</w:t>
      </w:r>
      <w:permStart w:id="3" w:edGrp="everyone"/>
      <w:r>
        <w:rPr>
          <w:rFonts w:hint="eastAsia" w:ascii="宋体" w:hAnsi="宋体"/>
          <w:sz w:val="21"/>
          <w:szCs w:val="21"/>
          <w:lang w:eastAsia="zh-CN"/>
        </w:rPr>
        <w:t>分包装室毓晋楼纯化疫苗分装车间的V</w:t>
      </w:r>
      <w:r>
        <w:rPr>
          <w:rFonts w:ascii="宋体" w:hAnsi="宋体"/>
          <w:sz w:val="21"/>
          <w:szCs w:val="21"/>
          <w:lang w:eastAsia="zh-CN"/>
        </w:rPr>
        <w:t>HP</w:t>
      </w:r>
      <w:r>
        <w:rPr>
          <w:rFonts w:hint="eastAsia" w:ascii="宋体" w:hAnsi="宋体"/>
          <w:sz w:val="21"/>
          <w:szCs w:val="21"/>
          <w:lang w:eastAsia="zh-CN"/>
        </w:rPr>
        <w:t>空间灭菌器</w:t>
      </w:r>
      <w:permEnd w:id="3"/>
      <w:r>
        <w:rPr>
          <w:rFonts w:hint="eastAsia"/>
          <w:szCs w:val="21"/>
          <w:lang w:eastAsia="zh-CN"/>
        </w:rPr>
        <w:t>。</w:t>
      </w:r>
      <w:bookmarkEnd w:id="7"/>
      <w:bookmarkEnd w:id="8"/>
      <w:bookmarkEnd w:id="9"/>
      <w:bookmarkEnd w:id="10"/>
      <w:bookmarkEnd w:id="11"/>
      <w:bookmarkEnd w:id="12"/>
      <w:bookmarkEnd w:id="13"/>
      <w:bookmarkEnd w:id="14"/>
      <w:bookmarkEnd w:id="15"/>
    </w:p>
    <w:p>
      <w:pPr>
        <w:pStyle w:val="54"/>
        <w:spacing w:before="0" w:line="360" w:lineRule="auto"/>
        <w:ind w:left="357"/>
        <w:jc w:val="left"/>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18" w:name="_Toc522107737"/>
      <w:bookmarkStart w:id="19" w:name="_Toc113470714"/>
      <w:r>
        <w:rPr>
          <w:rFonts w:hint="eastAsia" w:ascii="Times New Roman" w:hAnsi="Times New Roman"/>
          <w:b/>
        </w:rPr>
        <w:t>参考文件</w:t>
      </w:r>
      <w:bookmarkEnd w:id="18"/>
      <w:bookmarkEnd w:id="19"/>
    </w:p>
    <w:p>
      <w:pPr>
        <w:pStyle w:val="54"/>
        <w:numPr>
          <w:ilvl w:val="0"/>
          <w:numId w:val="4"/>
        </w:numPr>
        <w:spacing w:before="0" w:line="360" w:lineRule="auto"/>
        <w:jc w:val="left"/>
        <w:rPr>
          <w:rFonts w:ascii="宋体" w:hAnsi="宋体"/>
          <w:color w:val="000000"/>
          <w:sz w:val="21"/>
          <w:szCs w:val="21"/>
          <w:lang w:eastAsia="zh-CN"/>
        </w:rPr>
      </w:pPr>
      <w:r>
        <w:rPr>
          <w:rFonts w:ascii="宋体" w:hAnsi="宋体"/>
          <w:color w:val="000000"/>
          <w:sz w:val="21"/>
          <w:szCs w:val="21"/>
          <w:lang w:eastAsia="zh-CN"/>
        </w:rPr>
        <w:t>GMP</w:t>
      </w:r>
      <w:r>
        <w:rPr>
          <w:rFonts w:hint="eastAsia" w:ascii="宋体" w:hAnsi="宋体"/>
          <w:color w:val="000000"/>
          <w:sz w:val="21"/>
          <w:szCs w:val="21"/>
          <w:lang w:eastAsia="zh-CN"/>
        </w:rPr>
        <w:t>法规指南和</w:t>
      </w:r>
      <w:r>
        <w:rPr>
          <w:rFonts w:ascii="宋体" w:hAnsi="宋体"/>
          <w:color w:val="000000"/>
          <w:sz w:val="21"/>
          <w:szCs w:val="21"/>
          <w:lang w:eastAsia="zh-CN"/>
        </w:rPr>
        <w:t>SOP</w:t>
      </w:r>
    </w:p>
    <w:p>
      <w:pPr>
        <w:pStyle w:val="54"/>
        <w:numPr>
          <w:ilvl w:val="0"/>
          <w:numId w:val="5"/>
        </w:numPr>
        <w:spacing w:before="0" w:line="360" w:lineRule="auto"/>
        <w:ind w:left="777"/>
        <w:jc w:val="left"/>
        <w:rPr>
          <w:rFonts w:ascii="宋体" w:hAnsi="宋体"/>
          <w:color w:val="4472C4"/>
          <w:sz w:val="21"/>
          <w:szCs w:val="21"/>
          <w:lang w:eastAsia="zh-CN"/>
        </w:rPr>
      </w:pPr>
      <w:r>
        <w:rPr>
          <w:rFonts w:ascii="宋体" w:hAnsi="宋体"/>
          <w:color w:val="000000"/>
          <w:sz w:val="21"/>
          <w:szCs w:val="21"/>
          <w:lang w:eastAsia="zh-CN"/>
        </w:rPr>
        <w:t xml:space="preserve">SOP-06-12-0005 </w:t>
      </w:r>
      <w:r>
        <w:rPr>
          <w:rFonts w:hint="eastAsia" w:ascii="宋体" w:hAnsi="宋体"/>
          <w:color w:val="000000"/>
          <w:sz w:val="21"/>
          <w:szCs w:val="21"/>
          <w:lang w:eastAsia="zh-CN"/>
        </w:rPr>
        <w:t>用户需求编写审批</w:t>
      </w:r>
      <w:r>
        <w:rPr>
          <w:rFonts w:ascii="宋体" w:hAnsi="宋体"/>
          <w:color w:val="000000"/>
          <w:sz w:val="21"/>
          <w:szCs w:val="21"/>
          <w:lang w:eastAsia="zh-CN"/>
        </w:rPr>
        <w:t>SOP</w:t>
      </w:r>
    </w:p>
    <w:p>
      <w:pPr>
        <w:pStyle w:val="5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《药品生产质量管理规范》（</w:t>
      </w:r>
      <w:r>
        <w:rPr>
          <w:rFonts w:ascii="宋体" w:hAnsi="宋体"/>
          <w:kern w:val="2"/>
          <w:sz w:val="21"/>
          <w:szCs w:val="21"/>
          <w:lang w:eastAsia="zh-CN"/>
        </w:rPr>
        <w:t>2010</w:t>
      </w:r>
      <w:r>
        <w:rPr>
          <w:rFonts w:hint="eastAsia" w:ascii="宋体" w:hAnsi="宋体"/>
          <w:kern w:val="2"/>
          <w:sz w:val="21"/>
          <w:szCs w:val="21"/>
          <w:lang w:eastAsia="zh-CN"/>
        </w:rPr>
        <w:t>年修订</w:t>
      </w:r>
      <w:r>
        <w:rPr>
          <w:rFonts w:hint="eastAsia" w:ascii="宋体" w:hAnsi="宋体"/>
          <w:sz w:val="21"/>
          <w:szCs w:val="21"/>
          <w:lang w:eastAsia="zh-CN"/>
        </w:rPr>
        <w:t>）</w:t>
      </w:r>
    </w:p>
    <w:p>
      <w:pPr>
        <w:pStyle w:val="5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《药品</w:t>
      </w:r>
      <w:r>
        <w:rPr>
          <w:rFonts w:ascii="宋体" w:hAnsi="宋体"/>
          <w:sz w:val="21"/>
          <w:szCs w:val="21"/>
          <w:lang w:eastAsia="zh-CN"/>
        </w:rPr>
        <w:t>GMP</w:t>
      </w:r>
      <w:r>
        <w:rPr>
          <w:rFonts w:hint="eastAsia" w:ascii="宋体" w:hAnsi="宋体"/>
          <w:sz w:val="21"/>
          <w:szCs w:val="21"/>
          <w:lang w:eastAsia="zh-CN"/>
        </w:rPr>
        <w:t>指南》无菌药品（</w:t>
      </w:r>
      <w:r>
        <w:rPr>
          <w:rFonts w:ascii="宋体" w:hAnsi="宋体"/>
          <w:kern w:val="2"/>
          <w:sz w:val="21"/>
          <w:szCs w:val="21"/>
          <w:lang w:eastAsia="zh-CN"/>
        </w:rPr>
        <w:t>2011</w:t>
      </w:r>
      <w:r>
        <w:rPr>
          <w:rFonts w:hint="eastAsia" w:ascii="宋体" w:hAnsi="宋体"/>
          <w:kern w:val="2"/>
          <w:sz w:val="21"/>
          <w:szCs w:val="21"/>
          <w:lang w:eastAsia="zh-CN"/>
        </w:rPr>
        <w:t>版</w:t>
      </w:r>
      <w:r>
        <w:rPr>
          <w:rFonts w:hint="eastAsia" w:ascii="宋体" w:hAnsi="宋体"/>
          <w:sz w:val="21"/>
          <w:szCs w:val="21"/>
          <w:lang w:eastAsia="zh-CN"/>
        </w:rPr>
        <w:t>）</w:t>
      </w:r>
    </w:p>
    <w:p>
      <w:pPr>
        <w:pStyle w:val="54"/>
        <w:numPr>
          <w:ilvl w:val="0"/>
          <w:numId w:val="5"/>
        </w:numPr>
        <w:spacing w:before="0" w:line="360" w:lineRule="auto"/>
        <w:ind w:left="777"/>
        <w:jc w:val="left"/>
        <w:rPr>
          <w:rFonts w:ascii="宋体" w:hAnsi="宋体"/>
          <w:sz w:val="21"/>
          <w:szCs w:val="21"/>
          <w:lang w:eastAsia="zh-CN"/>
        </w:rPr>
      </w:pPr>
      <w:r>
        <w:rPr>
          <w:rFonts w:ascii="宋体" w:hAnsi="宋体"/>
          <w:bCs/>
          <w:sz w:val="21"/>
          <w:szCs w:val="21"/>
          <w:lang w:eastAsia="zh-CN"/>
        </w:rPr>
        <w:t>GMP</w:t>
      </w:r>
      <w:r>
        <w:rPr>
          <w:rFonts w:hint="eastAsia" w:ascii="宋体" w:hAnsi="宋体"/>
          <w:bCs/>
          <w:sz w:val="21"/>
          <w:szCs w:val="21"/>
          <w:lang w:eastAsia="zh-CN"/>
        </w:rPr>
        <w:t>附件</w:t>
      </w:r>
      <w:r>
        <w:rPr>
          <w:rFonts w:ascii="宋体" w:hAnsi="宋体"/>
          <w:bCs/>
          <w:sz w:val="21"/>
          <w:szCs w:val="21"/>
          <w:lang w:eastAsia="zh-CN"/>
        </w:rPr>
        <w:t>1</w:t>
      </w:r>
      <w:r>
        <w:rPr>
          <w:rFonts w:hint="eastAsia" w:ascii="宋体" w:hAnsi="宋体"/>
          <w:bCs/>
          <w:sz w:val="21"/>
          <w:szCs w:val="21"/>
          <w:lang w:eastAsia="zh-CN"/>
        </w:rPr>
        <w:t>《计算机化系统》（</w:t>
      </w:r>
      <w:r>
        <w:rPr>
          <w:rFonts w:ascii="宋体" w:hAnsi="宋体"/>
          <w:bCs/>
          <w:sz w:val="21"/>
          <w:szCs w:val="21"/>
          <w:lang w:eastAsia="zh-CN"/>
        </w:rPr>
        <w:t>2015</w:t>
      </w:r>
      <w:r>
        <w:rPr>
          <w:rFonts w:hint="eastAsia" w:ascii="宋体" w:hAnsi="宋体"/>
          <w:bCs/>
          <w:sz w:val="21"/>
          <w:szCs w:val="21"/>
          <w:lang w:eastAsia="zh-CN"/>
        </w:rPr>
        <w:t>版）</w:t>
      </w:r>
    </w:p>
    <w:p>
      <w:pPr>
        <w:pStyle w:val="54"/>
        <w:numPr>
          <w:ilvl w:val="0"/>
          <w:numId w:val="5"/>
        </w:numPr>
        <w:spacing w:before="0" w:line="360" w:lineRule="auto"/>
        <w:ind w:left="777"/>
        <w:jc w:val="left"/>
        <w:rPr>
          <w:rFonts w:ascii="宋体" w:hAnsi="宋体"/>
          <w:sz w:val="21"/>
          <w:szCs w:val="21"/>
          <w:lang w:eastAsia="zh-CN"/>
        </w:rPr>
      </w:pPr>
      <w:r>
        <w:rPr>
          <w:rFonts w:ascii="宋体" w:hAnsi="宋体"/>
          <w:bCs/>
          <w:sz w:val="21"/>
          <w:szCs w:val="21"/>
          <w:lang w:eastAsia="zh-CN"/>
        </w:rPr>
        <w:t>GMP</w:t>
      </w:r>
      <w:r>
        <w:rPr>
          <w:rFonts w:hint="eastAsia" w:ascii="宋体" w:hAnsi="宋体"/>
          <w:bCs/>
          <w:sz w:val="21"/>
          <w:szCs w:val="21"/>
          <w:lang w:eastAsia="zh-CN"/>
        </w:rPr>
        <w:t>附件</w:t>
      </w:r>
      <w:r>
        <w:rPr>
          <w:rFonts w:ascii="宋体" w:hAnsi="宋体"/>
          <w:bCs/>
          <w:sz w:val="21"/>
          <w:szCs w:val="21"/>
          <w:lang w:eastAsia="zh-CN"/>
        </w:rPr>
        <w:t>2</w:t>
      </w:r>
      <w:r>
        <w:rPr>
          <w:rFonts w:hint="eastAsia" w:ascii="宋体" w:hAnsi="宋体"/>
          <w:bCs/>
          <w:sz w:val="21"/>
          <w:szCs w:val="21"/>
          <w:lang w:eastAsia="zh-CN"/>
        </w:rPr>
        <w:t>《确认与验证》（</w:t>
      </w:r>
      <w:r>
        <w:rPr>
          <w:rFonts w:ascii="宋体" w:hAnsi="宋体"/>
          <w:bCs/>
          <w:sz w:val="21"/>
          <w:szCs w:val="21"/>
          <w:lang w:eastAsia="zh-CN"/>
        </w:rPr>
        <w:t>2015</w:t>
      </w:r>
      <w:r>
        <w:rPr>
          <w:rFonts w:hint="eastAsia" w:ascii="宋体" w:hAnsi="宋体"/>
          <w:bCs/>
          <w:sz w:val="21"/>
          <w:szCs w:val="21"/>
          <w:lang w:eastAsia="zh-CN"/>
        </w:rPr>
        <w:t>版）</w:t>
      </w:r>
    </w:p>
    <w:p>
      <w:pPr>
        <w:pStyle w:val="5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计算机化系统及其验证符合</w:t>
      </w:r>
      <w:r>
        <w:rPr>
          <w:rFonts w:ascii="宋体" w:hAnsi="宋体"/>
          <w:sz w:val="21"/>
          <w:szCs w:val="21"/>
          <w:lang w:eastAsia="zh-CN"/>
        </w:rPr>
        <w:t>GAMP5</w:t>
      </w:r>
      <w:r>
        <w:rPr>
          <w:rFonts w:hint="eastAsia" w:ascii="宋体" w:hAnsi="宋体"/>
          <w:sz w:val="21"/>
          <w:szCs w:val="21"/>
          <w:lang w:eastAsia="zh-CN"/>
        </w:rPr>
        <w:t>和</w:t>
      </w:r>
      <w:r>
        <w:rPr>
          <w:rFonts w:ascii="宋体" w:hAnsi="宋体"/>
          <w:sz w:val="21"/>
          <w:szCs w:val="21"/>
          <w:lang w:eastAsia="zh-CN"/>
        </w:rPr>
        <w:t>21CFR Part11</w:t>
      </w:r>
      <w:r>
        <w:rPr>
          <w:rFonts w:hint="eastAsia" w:ascii="宋体" w:hAnsi="宋体"/>
          <w:sz w:val="21"/>
          <w:szCs w:val="21"/>
          <w:lang w:eastAsia="zh-CN"/>
        </w:rPr>
        <w:t>的要求，以及相关计算机化系统和数据完整性法规要求</w:t>
      </w:r>
    </w:p>
    <w:p>
      <w:pPr>
        <w:pStyle w:val="54"/>
        <w:numPr>
          <w:ilvl w:val="0"/>
          <w:numId w:val="4"/>
        </w:numPr>
        <w:spacing w:before="0" w:line="360" w:lineRule="auto"/>
        <w:jc w:val="left"/>
        <w:rPr>
          <w:rFonts w:ascii="宋体" w:hAnsi="宋体"/>
          <w:color w:val="000000"/>
          <w:sz w:val="21"/>
          <w:szCs w:val="21"/>
          <w:lang w:eastAsia="zh-CN"/>
        </w:rPr>
      </w:pPr>
      <w:r>
        <w:rPr>
          <w:rFonts w:hint="eastAsia" w:ascii="宋体" w:hAnsi="宋体"/>
          <w:color w:val="000000"/>
          <w:sz w:val="21"/>
          <w:szCs w:val="21"/>
          <w:lang w:eastAsia="zh-CN"/>
        </w:rPr>
        <w:t>安全及环保法规指南</w:t>
      </w:r>
    </w:p>
    <w:p>
      <w:pPr>
        <w:pStyle w:val="54"/>
        <w:numPr>
          <w:ilvl w:val="0"/>
          <w:numId w:val="5"/>
        </w:numPr>
        <w:spacing w:before="0" w:line="360" w:lineRule="auto"/>
        <w:ind w:left="777"/>
        <w:jc w:val="left"/>
        <w:rPr>
          <w:i/>
          <w:szCs w:val="21"/>
          <w:lang w:eastAsia="zh-CN"/>
        </w:rPr>
      </w:pPr>
      <w:permStart w:id="4" w:edGrp="everyone"/>
      <w:r>
        <w:rPr>
          <w:rFonts w:hint="eastAsia" w:ascii="宋体" w:hAnsi="宋体"/>
          <w:sz w:val="21"/>
          <w:szCs w:val="21"/>
          <w:lang w:eastAsia="zh-CN"/>
        </w:rPr>
        <w:t>《特种设备安全监察条例》</w:t>
      </w:r>
      <w:permEnd w:id="4"/>
    </w:p>
    <w:p>
      <w:pPr>
        <w:pStyle w:val="45"/>
        <w:numPr>
          <w:ilvl w:val="0"/>
          <w:numId w:val="3"/>
        </w:numPr>
        <w:spacing w:after="158" w:afterLines="50"/>
        <w:ind w:left="426" w:hanging="426" w:hangingChars="202"/>
        <w:outlineLvl w:val="0"/>
        <w:rPr>
          <w:rFonts w:ascii="Times New Roman" w:hAnsi="Times New Roman"/>
          <w:b/>
        </w:rPr>
      </w:pPr>
      <w:bookmarkStart w:id="20" w:name="_Toc113470716"/>
      <w:bookmarkStart w:id="21" w:name="_Toc522107739"/>
      <w:r>
        <w:rPr>
          <w:rFonts w:hint="eastAsia" w:ascii="Times New Roman" w:hAnsi="Times New Roman"/>
          <w:b/>
        </w:rPr>
        <w:t>系统描述</w:t>
      </w:r>
      <w:bookmarkEnd w:id="20"/>
      <w:bookmarkEnd w:id="21"/>
    </w:p>
    <w:p>
      <w:pPr>
        <w:pStyle w:val="54"/>
        <w:spacing w:before="0" w:line="360" w:lineRule="auto"/>
        <w:ind w:left="357" w:firstLine="420" w:firstLineChars="200"/>
        <w:jc w:val="left"/>
        <w:rPr>
          <w:rFonts w:asciiTheme="minorEastAsia" w:hAnsiTheme="minorEastAsia" w:eastAsiaTheme="minorEastAsia"/>
          <w:sz w:val="21"/>
          <w:szCs w:val="21"/>
          <w:lang w:eastAsia="zh-CN"/>
        </w:rPr>
      </w:pPr>
      <w:permStart w:id="5" w:edGrp="everyone"/>
      <w:r>
        <w:rPr>
          <w:rFonts w:hint="eastAsia" w:asciiTheme="minorEastAsia" w:hAnsiTheme="minorEastAsia" w:eastAsiaTheme="minorEastAsia"/>
          <w:sz w:val="21"/>
          <w:szCs w:val="21"/>
          <w:lang w:eastAsia="zh-CN"/>
        </w:rPr>
        <w:t>分包装室需要购买1套VHP空间灭菌器，用于毓晋楼纯化疫苗分装车间的洁净室A\B\C级区的空间灭菌。</w:t>
      </w:r>
    </w:p>
    <w:p>
      <w:pPr>
        <w:pStyle w:val="54"/>
        <w:spacing w:before="0" w:line="360" w:lineRule="auto"/>
        <w:ind w:left="357" w:firstLine="420" w:firstLineChars="200"/>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因车间布局复杂，为避免扩散不均匀，供应商应根据车间布局图设计验证方案，并提供的适宜的单机VHP灭菌器终端数量，以达到要求的灭菌效果。系统配置上位机控制系统，可供车间独立使用；上位机数量应和终端相匹配。</w:t>
      </w:r>
    </w:p>
    <w:p>
      <w:pPr>
        <w:pStyle w:val="54"/>
        <w:spacing w:before="0" w:line="360" w:lineRule="auto"/>
        <w:ind w:left="357" w:firstLine="420" w:firstLineChars="200"/>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设备的设计、构造、安全性等需满足国内外相关医药行业对于无菌制剂生产的法律、法规，并参考相关规范和指南。</w:t>
      </w:r>
    </w:p>
    <w:permEnd w:id="5"/>
    <w:p>
      <w:pPr>
        <w:pStyle w:val="54"/>
        <w:spacing w:before="0" w:line="360" w:lineRule="auto"/>
        <w:ind w:left="357"/>
        <w:jc w:val="left"/>
        <w:rPr>
          <w:rFonts w:ascii="宋体" w:hAnsi="宋体"/>
          <w:i/>
          <w:color w:val="4472C4"/>
          <w:sz w:val="21"/>
          <w:szCs w:val="21"/>
          <w:lang w:eastAsia="zh-CN"/>
        </w:rPr>
      </w:pPr>
    </w:p>
    <w:p>
      <w:pPr>
        <w:pStyle w:val="45"/>
        <w:numPr>
          <w:ilvl w:val="0"/>
          <w:numId w:val="3"/>
        </w:numPr>
        <w:spacing w:after="158" w:afterLines="50"/>
        <w:ind w:left="426" w:hanging="426" w:hangingChars="202"/>
        <w:outlineLvl w:val="0"/>
        <w:rPr>
          <w:rFonts w:ascii="Times New Roman" w:hAnsi="Times New Roman"/>
          <w:szCs w:val="21"/>
        </w:rPr>
      </w:pPr>
      <w:bookmarkStart w:id="22" w:name="_Toc113470717"/>
      <w:r>
        <w:rPr>
          <w:rFonts w:hint="eastAsia" w:ascii="Times New Roman" w:hAnsi="Times New Roman"/>
          <w:b/>
          <w:szCs w:val="21"/>
        </w:rPr>
        <w:t>安装要求</w:t>
      </w:r>
      <w:bookmarkEnd w:id="22"/>
      <w:bookmarkStart w:id="47" w:name="_GoBack"/>
      <w:bookmarkEnd w:id="47"/>
      <w:permStart w:id="6" w:edGrp="everyone"/>
      <w:permEnd w:id="6"/>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kern w:val="0"/>
                <w:szCs w:val="21"/>
                <w:lang w:val="en-GB"/>
              </w:rPr>
            </w:pPr>
            <w:permStart w:id="7" w:edGrp="everyone"/>
          </w:p>
        </w:tc>
        <w:tc>
          <w:tcPr>
            <w:tcW w:w="7128" w:type="dxa"/>
            <w:vAlign w:val="center"/>
          </w:tcPr>
          <w:p>
            <w:pPr>
              <w:spacing w:line="276" w:lineRule="auto"/>
              <w:jc w:val="both"/>
              <w:rPr>
                <w:szCs w:val="21"/>
                <w:lang w:eastAsia="zh-CN"/>
              </w:rPr>
            </w:pPr>
            <w:r>
              <w:rPr>
                <w:rFonts w:hint="eastAsia" w:ascii="宋体" w:hAnsi="宋体" w:cs="Arial"/>
                <w:szCs w:val="21"/>
                <w:lang w:val="it-IT" w:eastAsia="zh-CN"/>
              </w:rPr>
              <w:t>系统应用于</w:t>
            </w:r>
            <w:r>
              <w:rPr>
                <w:rFonts w:hint="eastAsia" w:asciiTheme="minorEastAsia" w:hAnsiTheme="minorEastAsia" w:eastAsiaTheme="minorEastAsia"/>
                <w:szCs w:val="21"/>
                <w:lang w:val="en-US" w:eastAsia="zh-CN"/>
              </w:rPr>
              <w:t>毓晋楼纯化疫苗</w:t>
            </w:r>
            <w:r>
              <w:rPr>
                <w:rFonts w:hint="eastAsia" w:ascii="宋体" w:hAnsi="宋体"/>
                <w:szCs w:val="21"/>
                <w:lang w:eastAsia="zh-CN"/>
              </w:rPr>
              <w:t>分装车间</w:t>
            </w:r>
            <w:r>
              <w:rPr>
                <w:rFonts w:hint="eastAsia" w:ascii="宋体" w:hAnsi="宋体" w:cs="Arial"/>
                <w:szCs w:val="21"/>
                <w:lang w:val="it-IT" w:eastAsia="zh-CN"/>
              </w:rPr>
              <w:t>，单机灭菌器终端位于分装车间A</w:t>
            </w:r>
            <w:r>
              <w:rPr>
                <w:rFonts w:ascii="宋体" w:hAnsi="宋体" w:cs="Arial"/>
                <w:szCs w:val="21"/>
                <w:lang w:val="it-IT" w:eastAsia="zh-CN"/>
              </w:rPr>
              <w:t>\B\C</w:t>
            </w:r>
            <w:r>
              <w:rPr>
                <w:rFonts w:hint="eastAsia" w:ascii="宋体" w:hAnsi="宋体" w:cs="Arial"/>
                <w:szCs w:val="21"/>
                <w:lang w:val="it-IT" w:eastAsia="zh-CN"/>
              </w:rPr>
              <w:t>级区内，可移动, 上位机在CNC区可移动</w:t>
            </w:r>
          </w:p>
        </w:tc>
        <w:tc>
          <w:tcPr>
            <w:tcW w:w="2125" w:type="dxa"/>
            <w:vAlign w:val="center"/>
          </w:tcPr>
          <w:p>
            <w:pPr>
              <w:jc w:val="center"/>
              <w:rPr>
                <w:i/>
                <w:szCs w:val="21"/>
                <w:lang w:eastAsia="zh-CN"/>
              </w:rPr>
            </w:pPr>
            <w:r>
              <w:rPr>
                <w:rFonts w:hint="eastAsia"/>
                <w:iCs/>
                <w:szCs w:val="21"/>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8" w:edGrp="everyone"/>
          </w:p>
        </w:tc>
        <w:tc>
          <w:tcPr>
            <w:tcW w:w="7128" w:type="dxa"/>
            <w:vAlign w:val="center"/>
          </w:tcPr>
          <w:p>
            <w:pPr>
              <w:spacing w:line="276" w:lineRule="auto"/>
              <w:jc w:val="both"/>
              <w:rPr>
                <w:i/>
                <w:szCs w:val="21"/>
                <w:lang w:eastAsia="zh-CN"/>
              </w:rPr>
            </w:pPr>
            <w:r>
              <w:rPr>
                <w:rFonts w:ascii="宋体" w:hAnsi="宋体"/>
                <w:szCs w:val="21"/>
                <w:lang w:eastAsia="zh-CN"/>
              </w:rPr>
              <w:t>设备的形式尺寸应符合制造商说明书及技术文件规定的要求。</w:t>
            </w:r>
          </w:p>
        </w:tc>
        <w:tc>
          <w:tcPr>
            <w:tcW w:w="2125" w:type="dxa"/>
            <w:vAlign w:val="center"/>
          </w:tcPr>
          <w:p>
            <w:pPr>
              <w:jc w:val="center"/>
              <w:rPr>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color w:val="0070C0"/>
                <w:szCs w:val="21"/>
                <w:lang w:val="en-US" w:eastAsia="zh-CN"/>
              </w:rPr>
            </w:pPr>
            <w:r>
              <w:rPr>
                <w:rFonts w:hint="eastAsia" w:ascii="宋体" w:hAnsi="宋体" w:cs="Arial"/>
                <w:szCs w:val="21"/>
                <w:lang w:val="it-IT"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ind w:left="426" w:firstLine="0" w:firstLineChars="0"/>
              <w:rPr>
                <w:rFonts w:ascii="Times New Roman" w:hAnsi="Times New Roman"/>
                <w:szCs w:val="21"/>
              </w:rPr>
            </w:pPr>
            <w:permStart w:id="10" w:edGrp="everyone"/>
          </w:p>
        </w:tc>
        <w:tc>
          <w:tcPr>
            <w:tcW w:w="9253" w:type="dxa"/>
            <w:gridSpan w:val="2"/>
            <w:vAlign w:val="center"/>
          </w:tcPr>
          <w:p>
            <w:pPr>
              <w:jc w:val="both"/>
              <w:rPr>
                <w:szCs w:val="21"/>
                <w:lang w:eastAsia="zh-CN"/>
              </w:rPr>
            </w:pPr>
            <w:r>
              <w:rPr>
                <w:szCs w:val="21"/>
                <w:lang w:val="en-US" w:eastAsia="zh-CN"/>
              </w:rPr>
              <w:t>N/A</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5"/>
              <w:ind w:left="350" w:firstLine="0" w:firstLineChars="0"/>
              <w:rPr>
                <w:rFonts w:ascii="Times New Roman" w:hAnsi="Times New Roman"/>
                <w:szCs w:val="21"/>
              </w:rPr>
            </w:pPr>
            <w:permStart w:id="11" w:edGrp="everyone"/>
          </w:p>
        </w:tc>
        <w:tc>
          <w:tcPr>
            <w:tcW w:w="9253" w:type="dxa"/>
            <w:gridSpan w:val="2"/>
            <w:tcBorders>
              <w:bottom w:val="single" w:color="auto" w:sz="4" w:space="0"/>
            </w:tcBorders>
            <w:vAlign w:val="center"/>
          </w:tcPr>
          <w:p>
            <w:pPr>
              <w:jc w:val="both"/>
              <w:rPr>
                <w:szCs w:val="21"/>
                <w:lang w:val="en-US" w:eastAsia="zh-CN"/>
              </w:rPr>
            </w:pPr>
            <w:r>
              <w:rPr>
                <w:szCs w:val="21"/>
                <w:lang w:val="en-US"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ermStart w:id="12" w:edGrp="everyone"/>
            <w:permEnd w:id="12"/>
          </w:p>
        </w:tc>
        <w:tc>
          <w:tcPr>
            <w:tcW w:w="9253" w:type="dxa"/>
            <w:gridSpan w:val="2"/>
            <w:tcBorders>
              <w:top w:val="single" w:color="auto" w:sz="4" w:space="0"/>
            </w:tcBorders>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szCs w:val="21"/>
                <w:lang w:eastAsia="zh-CN"/>
              </w:rPr>
            </w:pPr>
            <w:r>
              <w:rPr>
                <w:rFonts w:hint="eastAsia" w:ascii="宋体" w:hAnsi="宋体" w:cs="Arial"/>
                <w:szCs w:val="21"/>
                <w:lang w:val="it-IT" w:eastAsia="zh-CN"/>
              </w:rPr>
              <w:t>工作环境温度：能适应</w:t>
            </w:r>
            <w:r>
              <w:rPr>
                <w:rFonts w:ascii="宋体" w:hAnsi="宋体" w:cs="Arial"/>
                <w:szCs w:val="21"/>
                <w:lang w:val="it-IT" w:eastAsia="zh-CN"/>
              </w:rPr>
              <w:t>18</w:t>
            </w:r>
            <w:r>
              <w:rPr>
                <w:rFonts w:hint="eastAsia" w:ascii="宋体" w:hAnsi="宋体" w:cs="Arial"/>
                <w:szCs w:val="21"/>
                <w:lang w:val="it-IT" w:eastAsia="zh-CN"/>
              </w:rPr>
              <w:t>℃～</w:t>
            </w:r>
            <w:r>
              <w:rPr>
                <w:rFonts w:ascii="宋体" w:hAnsi="宋体" w:cs="Arial"/>
                <w:szCs w:val="21"/>
                <w:lang w:val="it-IT" w:eastAsia="zh-CN"/>
              </w:rPr>
              <w:t>2</w:t>
            </w:r>
            <w:r>
              <w:rPr>
                <w:rFonts w:hint="eastAsia" w:ascii="宋体" w:hAnsi="宋体" w:cs="Arial"/>
                <w:szCs w:val="21"/>
                <w:lang w:eastAsia="zh-CN"/>
              </w:rPr>
              <w:t>5</w:t>
            </w:r>
            <w:r>
              <w:rPr>
                <w:rFonts w:hint="eastAsia" w:ascii="宋体" w:hAnsi="宋体" w:cs="Arial"/>
                <w:szCs w:val="21"/>
                <w:lang w:val="it-IT" w:eastAsia="zh-CN"/>
              </w:rPr>
              <w:t>℃环境。</w:t>
            </w:r>
          </w:p>
        </w:tc>
        <w:tc>
          <w:tcPr>
            <w:tcW w:w="2125" w:type="dxa"/>
            <w:vAlign w:val="center"/>
          </w:tcPr>
          <w:p>
            <w:pPr>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rFonts w:hint="eastAsia" w:ascii="宋体" w:hAnsi="宋体" w:cs="Arial"/>
                <w:szCs w:val="21"/>
                <w:lang w:val="it-IT"/>
              </w:rPr>
              <w:t>工作环境湿度：</w:t>
            </w:r>
            <w:r>
              <w:rPr>
                <w:rFonts w:ascii="宋体" w:hAnsi="宋体" w:cs="Arial"/>
                <w:szCs w:val="21"/>
                <w:lang w:val="it-IT"/>
              </w:rPr>
              <w:t xml:space="preserve"> 4</w:t>
            </w:r>
            <w:r>
              <w:rPr>
                <w:rFonts w:hint="eastAsia" w:ascii="宋体" w:hAnsi="宋体" w:cs="Arial"/>
                <w:szCs w:val="21"/>
              </w:rPr>
              <w:t>0</w:t>
            </w:r>
            <w:r>
              <w:rPr>
                <w:rFonts w:ascii="宋体" w:hAnsi="宋体" w:cs="Arial"/>
                <w:szCs w:val="21"/>
                <w:lang w:val="it-IT"/>
              </w:rPr>
              <w:t>%</w:t>
            </w:r>
            <w:r>
              <w:rPr>
                <w:rFonts w:hint="eastAsia" w:ascii="宋体" w:hAnsi="宋体" w:cs="Arial"/>
                <w:szCs w:val="21"/>
                <w:lang w:val="it-IT"/>
              </w:rPr>
              <w:t>～8</w:t>
            </w:r>
            <w:r>
              <w:rPr>
                <w:rFonts w:hint="eastAsia" w:ascii="宋体" w:hAnsi="宋体" w:cs="Arial"/>
                <w:szCs w:val="21"/>
              </w:rPr>
              <w:t>5</w:t>
            </w:r>
            <w:r>
              <w:rPr>
                <w:rFonts w:ascii="宋体" w:hAnsi="宋体" w:cs="Arial"/>
                <w:szCs w:val="21"/>
                <w:lang w:val="it-IT"/>
              </w:rPr>
              <w:t>%</w:t>
            </w:r>
            <w:r>
              <w:rPr>
                <w:rFonts w:hint="eastAsia" w:ascii="宋体" w:hAnsi="宋体" w:cs="Arial"/>
                <w:szCs w:val="21"/>
                <w:lang w:val="it-IT"/>
              </w:rPr>
              <w:t>。</w:t>
            </w:r>
          </w:p>
        </w:tc>
        <w:tc>
          <w:tcPr>
            <w:tcW w:w="2125" w:type="dxa"/>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rFonts w:ascii="宋体" w:hAnsi="宋体" w:cs="Arial"/>
                <w:szCs w:val="21"/>
                <w:lang w:val="it-IT" w:eastAsia="zh-CN"/>
              </w:rPr>
            </w:pPr>
            <w:r>
              <w:rPr>
                <w:rFonts w:hint="eastAsia" w:ascii="宋体" w:hAnsi="宋体" w:cs="Arial"/>
                <w:szCs w:val="21"/>
                <w:lang w:val="it-IT" w:eastAsia="zh-CN"/>
              </w:rPr>
              <w:t>工作环境洁净级别：D</w:t>
            </w:r>
            <w:r>
              <w:rPr>
                <w:rFonts w:ascii="宋体" w:hAnsi="宋体" w:cs="Arial"/>
                <w:szCs w:val="21"/>
                <w:lang w:val="it-IT" w:eastAsia="zh-CN"/>
              </w:rPr>
              <w:t>\C\</w:t>
            </w:r>
            <w:r>
              <w:rPr>
                <w:rFonts w:hint="eastAsia" w:ascii="宋体" w:hAnsi="宋体" w:cs="Arial"/>
                <w:szCs w:val="21"/>
                <w:lang w:val="it-IT" w:eastAsia="zh-CN"/>
              </w:rPr>
              <w:t>B级。</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rFonts w:hint="eastAsia" w:ascii="宋体" w:hAnsi="宋体"/>
                <w:bCs/>
                <w:szCs w:val="21"/>
                <w:lang w:eastAsia="zh-CN"/>
              </w:rPr>
              <w:t>交流电：22</w:t>
            </w:r>
            <w:r>
              <w:rPr>
                <w:rFonts w:ascii="宋体" w:hAnsi="宋体"/>
                <w:bCs/>
                <w:szCs w:val="21"/>
                <w:lang w:eastAsia="zh-CN"/>
              </w:rPr>
              <w:t>0V</w:t>
            </w:r>
            <w:r>
              <w:rPr>
                <w:rFonts w:hint="eastAsia" w:ascii="宋体" w:hAnsi="宋体"/>
                <w:bCs/>
                <w:szCs w:val="21"/>
                <w:lang w:eastAsia="zh-CN"/>
              </w:rPr>
              <w:t>±</w:t>
            </w:r>
            <w:r>
              <w:rPr>
                <w:rFonts w:ascii="宋体" w:hAnsi="宋体"/>
                <w:bCs/>
                <w:szCs w:val="21"/>
                <w:lang w:eastAsia="zh-CN"/>
              </w:rPr>
              <w:t>10%</w:t>
            </w:r>
            <w:r>
              <w:rPr>
                <w:rFonts w:hint="eastAsia" w:ascii="宋体" w:hAnsi="宋体"/>
                <w:bCs/>
                <w:szCs w:val="21"/>
                <w:lang w:eastAsia="zh-CN"/>
              </w:rPr>
              <w:t>，</w:t>
            </w:r>
            <w:r>
              <w:rPr>
                <w:rFonts w:ascii="宋体" w:hAnsi="宋体"/>
                <w:bCs/>
                <w:szCs w:val="21"/>
                <w:lang w:eastAsia="zh-CN"/>
              </w:rPr>
              <w:t>50</w:t>
            </w:r>
            <w:r>
              <w:rPr>
                <w:rFonts w:hint="eastAsia" w:ascii="宋体" w:hAnsi="宋体"/>
                <w:bCs/>
                <w:szCs w:val="21"/>
                <w:lang w:eastAsia="zh-CN"/>
              </w:rPr>
              <w:t>±</w:t>
            </w:r>
            <w:r>
              <w:rPr>
                <w:rFonts w:ascii="宋体" w:hAnsi="宋体"/>
                <w:bCs/>
                <w:szCs w:val="21"/>
                <w:lang w:eastAsia="zh-CN"/>
              </w:rPr>
              <w:t>1HZ</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360" w:lineRule="auto"/>
              <w:rPr>
                <w:rFonts w:ascii="宋体" w:hAnsi="宋体"/>
                <w:i/>
                <w:szCs w:val="21"/>
                <w:lang w:val="en-US" w:eastAsia="zh-CN"/>
              </w:rPr>
            </w:pPr>
            <w:r>
              <w:rPr>
                <w:rFonts w:hint="eastAsia" w:ascii="宋体" w:hAnsi="宋体"/>
                <w:szCs w:val="21"/>
                <w:lang w:eastAsia="zh-CN"/>
              </w:rPr>
              <w:t>设备外形应端正、整齐，所有表面（包括焊接面）不得有锈蚀、毛刺、凹陷、鼓包等缺陷。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val="en-US" w:eastAsia="zh-CN"/>
              </w:rPr>
            </w:pPr>
            <w:r>
              <w:rPr>
                <w:rFonts w:hint="eastAsia" w:ascii="宋体" w:hAnsi="宋体"/>
                <w:szCs w:val="21"/>
                <w:lang w:eastAsia="zh-CN"/>
              </w:rPr>
              <w:t>灭菌器所有部件的材质必须满足在洁净室使用，符合GMP要求，不能对洁净室构成任何形式的污染，并能够耐受过氧化氢消毒剂腐蚀。</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szCs w:val="21"/>
                <w:lang w:val="en-US" w:eastAsia="zh-CN"/>
              </w:rPr>
            </w:pPr>
            <w:r>
              <w:rPr>
                <w:rFonts w:hint="eastAsia" w:ascii="宋体" w:hAnsi="宋体"/>
                <w:szCs w:val="21"/>
                <w:lang w:eastAsia="zh-CN"/>
              </w:rPr>
              <w:t>整机外壳材质应该采用高强度、耐腐蚀材料。</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6"/>
              <w:spacing w:line="360" w:lineRule="auto"/>
              <w:rPr>
                <w:rFonts w:ascii="宋体" w:hAnsi="宋体"/>
                <w:sz w:val="21"/>
                <w:szCs w:val="21"/>
                <w:lang w:val="en-US" w:eastAsia="zh-CN"/>
              </w:rPr>
            </w:pPr>
            <w:r>
              <w:rPr>
                <w:rFonts w:hint="eastAsia" w:ascii="宋体" w:hAnsi="宋体"/>
                <w:sz w:val="21"/>
                <w:szCs w:val="21"/>
                <w:lang w:val="it-IT" w:eastAsia="zh-CN"/>
              </w:rPr>
              <w:t>设备上应有过氧化氢危害的警示标识。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6"/>
              <w:spacing w:line="360" w:lineRule="auto"/>
              <w:rPr>
                <w:rFonts w:ascii="宋体" w:hAnsi="宋体"/>
                <w:sz w:val="21"/>
                <w:szCs w:val="21"/>
                <w:lang w:val="en-US" w:eastAsia="zh-CN"/>
              </w:rPr>
            </w:pPr>
            <w:r>
              <w:rPr>
                <w:rFonts w:hint="eastAsia" w:ascii="宋体" w:hAnsi="宋体"/>
                <w:sz w:val="21"/>
                <w:szCs w:val="21"/>
                <w:lang w:eastAsia="zh-CN"/>
              </w:rPr>
              <w:t>设备上易对操作人员造成伤害的运动部位应有明显的提示标识，存在安全隐患和风险的地方应在合适的位置张贴安全警示。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6"/>
              <w:spacing w:line="360" w:lineRule="auto"/>
              <w:rPr>
                <w:rFonts w:ascii="宋体" w:hAnsi="宋体"/>
                <w:sz w:val="21"/>
                <w:szCs w:val="21"/>
                <w:lang w:eastAsia="zh-CN"/>
              </w:rPr>
            </w:pPr>
            <w:r>
              <w:rPr>
                <w:rFonts w:hint="eastAsia" w:ascii="宋体" w:hAnsi="宋体"/>
                <w:sz w:val="21"/>
                <w:szCs w:val="21"/>
                <w:lang w:eastAsia="zh-CN"/>
              </w:rPr>
              <w:t>设备危险、可动零部件应装有防护罩。</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sz w:val="21"/>
                <w:szCs w:val="21"/>
                <w:lang w:val="en-US" w:eastAsia="zh-CN"/>
              </w:rPr>
            </w:pPr>
            <w:r>
              <w:rPr>
                <w:rFonts w:hint="eastAsia" w:ascii="宋体" w:hAnsi="宋体"/>
                <w:sz w:val="21"/>
                <w:szCs w:val="21"/>
                <w:lang w:eastAsia="zh-CN"/>
              </w:rPr>
              <w:t>单机设备净重不超过35公斤，且需自带脚轮，以便多区域移动使用。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rFonts w:cs="Arial" w:asciiTheme="minorEastAsia" w:hAnsiTheme="minorEastAsia" w:eastAsiaTheme="minorEastAsia"/>
                <w:szCs w:val="21"/>
                <w:lang w:val="da-DK" w:eastAsia="zh-CN"/>
              </w:rPr>
            </w:pPr>
            <w:r>
              <w:rPr>
                <w:rFonts w:hint="eastAsia" w:hAnsi="宋体"/>
                <w:szCs w:val="21"/>
                <w:lang w:eastAsia="zh-CN"/>
              </w:rPr>
              <w:t>由设备供应商负责提供所有的相关的网络架构及其他安装工作。</w:t>
            </w:r>
          </w:p>
        </w:tc>
        <w:tc>
          <w:tcPr>
            <w:tcW w:w="2125" w:type="dxa"/>
            <w:vAlign w:val="center"/>
          </w:tcPr>
          <w:p>
            <w:pPr>
              <w:jc w:val="center"/>
              <w:rPr>
                <w:szCs w:val="21"/>
                <w:lang w:eastAsia="zh-CN"/>
              </w:rPr>
            </w:pPr>
            <w:r>
              <w:rPr>
                <w:rFonts w:hint="eastAsia"/>
                <w:szCs w:val="21"/>
                <w:lang w:eastAsia="zh-CN"/>
              </w:rPr>
              <w:t>关键</w:t>
            </w:r>
          </w:p>
        </w:tc>
      </w:tr>
      <w:bookmarkEnd w:id="23"/>
      <w:bookmarkEnd w:id="24"/>
      <w:permEnd w:id="17"/>
    </w:tbl>
    <w:p>
      <w:pPr>
        <w:pStyle w:val="45"/>
        <w:spacing w:after="158" w:afterLines="50"/>
        <w:ind w:left="425" w:firstLine="0" w:firstLineChars="0"/>
        <w:rPr>
          <w:rFonts w:ascii="Times New Roman" w:hAnsi="Times New Roman"/>
          <w:szCs w:val="21"/>
        </w:rPr>
      </w:pPr>
    </w:p>
    <w:p>
      <w:pPr>
        <w:pStyle w:val="45"/>
        <w:numPr>
          <w:ilvl w:val="0"/>
          <w:numId w:val="3"/>
        </w:numPr>
        <w:spacing w:after="158" w:afterLines="50"/>
        <w:ind w:left="426" w:hanging="426" w:hangingChars="202"/>
        <w:outlineLvl w:val="0"/>
        <w:rPr>
          <w:rFonts w:ascii="Times New Roman" w:hAnsi="Times New Roman"/>
          <w:b/>
        </w:rPr>
      </w:pPr>
      <w:bookmarkStart w:id="25" w:name="_Toc113470718"/>
      <w:bookmarkStart w:id="26" w:name="_Toc522107740"/>
      <w:r>
        <w:rPr>
          <w:rFonts w:hint="eastAsia" w:ascii="Times New Roman" w:hAnsi="Times New Roman"/>
          <w:b/>
        </w:rPr>
        <w:t>运行要求</w:t>
      </w:r>
      <w:bookmarkEnd w:id="25"/>
      <w:bookmarkEnd w:id="26"/>
    </w:p>
    <w:p>
      <w:pPr>
        <w:pStyle w:val="54"/>
        <w:spacing w:before="0" w:line="360" w:lineRule="auto"/>
        <w:ind w:left="357"/>
        <w:jc w:val="left"/>
        <w:rPr>
          <w:bCs/>
          <w:i/>
          <w:color w:val="4472C4"/>
          <w:kern w:val="44"/>
          <w:szCs w:val="21"/>
          <w:lang w:eastAsia="zh-CN"/>
        </w:rPr>
      </w:pPr>
      <w:permStart w:id="18" w:edGrp="everyone"/>
    </w:p>
    <w:permEnd w:id="18"/>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360" w:lineRule="auto"/>
              <w:rPr>
                <w:rFonts w:ascii="宋体" w:hAnsi="宋体" w:cs="宋体"/>
                <w:szCs w:val="21"/>
                <w:lang w:eastAsia="zh-CN"/>
              </w:rPr>
            </w:pPr>
            <w:r>
              <w:rPr>
                <w:rFonts w:hint="eastAsia" w:ascii="宋体" w:hAnsi="宋体" w:cs="宋体"/>
                <w:szCs w:val="21"/>
                <w:lang w:eastAsia="zh-CN"/>
              </w:rPr>
              <w:t>使用低浓度过氧化氢溶液或杀孢子剂，浓度应≤</w:t>
            </w:r>
            <w:r>
              <w:rPr>
                <w:rFonts w:hint="eastAsia" w:ascii="宋体" w:hAnsi="宋体"/>
                <w:szCs w:val="21"/>
                <w:lang w:eastAsia="zh-CN"/>
              </w:rPr>
              <w:t>8</w:t>
            </w:r>
            <w:r>
              <w:rPr>
                <w:rFonts w:ascii="宋体" w:hAnsi="宋体"/>
                <w:szCs w:val="21"/>
                <w:lang w:eastAsia="zh-CN"/>
              </w:rPr>
              <w:t>%</w:t>
            </w:r>
          </w:p>
        </w:tc>
        <w:tc>
          <w:tcPr>
            <w:tcW w:w="2125" w:type="dxa"/>
            <w:vAlign w:val="center"/>
          </w:tcPr>
          <w:p>
            <w:pPr>
              <w:spacing w:line="360" w:lineRule="auto"/>
              <w:jc w:val="center"/>
              <w:rPr>
                <w:rFonts w:ascii="宋体" w:hAnsi="宋体"/>
                <w:szCs w:val="21"/>
              </w:rPr>
            </w:pPr>
            <w:r>
              <w:rPr>
                <w:rFonts w:hint="eastAsia" w:ascii="宋体" w:hAnsi="宋体"/>
                <w:szCs w:val="21"/>
              </w:rPr>
              <w:t>关键</w:t>
            </w:r>
            <w:r>
              <w:rPr>
                <w:rFonts w:hint="eastAsia" w:ascii="宋体" w:hAnsi="宋体"/>
                <w:b/>
                <w:szCs w:val="21"/>
              </w:rPr>
              <w:t>※</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360" w:lineRule="auto"/>
              <w:rPr>
                <w:rFonts w:ascii="宋体" w:hAnsi="宋体" w:cs="宋体"/>
                <w:szCs w:val="21"/>
                <w:lang w:eastAsia="zh-CN"/>
              </w:rPr>
            </w:pPr>
            <w:r>
              <w:rPr>
                <w:rFonts w:hint="eastAsia" w:ascii="宋体" w:hAnsi="宋体" w:cs="宋体"/>
                <w:szCs w:val="21"/>
                <w:lang w:eastAsia="zh-CN"/>
              </w:rPr>
              <w:t>设备不得限定过氧化氢消毒剂的品牌</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cs="宋体"/>
                <w:szCs w:val="21"/>
                <w:lang w:eastAsia="zh-CN"/>
              </w:rPr>
            </w:pPr>
            <w:r>
              <w:rPr>
                <w:rFonts w:hint="eastAsia" w:ascii="宋体" w:hAnsi="宋体" w:cs="宋体"/>
                <w:szCs w:val="21"/>
                <w:lang w:eastAsia="zh-CN"/>
              </w:rPr>
              <w:t>厂家选用的消毒剂不得对洁净区的不锈钢制品造成腐蚀或者有重金属残留。</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360" w:lineRule="auto"/>
              <w:rPr>
                <w:rFonts w:ascii="宋体" w:hAnsi="宋体"/>
                <w:szCs w:val="21"/>
                <w:lang w:eastAsia="zh-CN"/>
              </w:rPr>
            </w:pPr>
            <w:r>
              <w:rPr>
                <w:rFonts w:hint="eastAsia" w:ascii="宋体" w:hAnsi="宋体" w:cs="Arial"/>
                <w:szCs w:val="21"/>
                <w:lang w:val="it-IT" w:eastAsia="zh-CN"/>
              </w:rPr>
              <w:t>单机灭菌器终端</w:t>
            </w:r>
            <w:r>
              <w:rPr>
                <w:rFonts w:hint="eastAsia" w:ascii="宋体" w:hAnsi="宋体"/>
                <w:szCs w:val="21"/>
                <w:lang w:eastAsia="zh-CN"/>
              </w:rPr>
              <w:t>最大杀灭空间不小于300m³；供应商配备的空间灭菌器终端的数量必须满足车间</w:t>
            </w:r>
            <w:r>
              <w:rPr>
                <w:rFonts w:hint="eastAsia" w:ascii="宋体" w:hAnsi="宋体"/>
                <w:szCs w:val="21"/>
                <w:lang w:val="en-US" w:eastAsia="zh-CN"/>
              </w:rPr>
              <w:t>不同级别洁净</w:t>
            </w:r>
            <w:r>
              <w:rPr>
                <w:rFonts w:hint="eastAsia" w:ascii="宋体" w:hAnsi="宋体"/>
                <w:szCs w:val="21"/>
                <w:lang w:eastAsia="zh-CN"/>
              </w:rPr>
              <w:t>区域同时灭菌的要求，不得少于1</w:t>
            </w:r>
            <w:r>
              <w:rPr>
                <w:rFonts w:ascii="宋体" w:hAnsi="宋体"/>
                <w:szCs w:val="21"/>
                <w:lang w:eastAsia="zh-CN"/>
              </w:rPr>
              <w:t>0</w:t>
            </w:r>
            <w:r>
              <w:rPr>
                <w:rFonts w:hint="eastAsia" w:ascii="宋体" w:hAnsi="宋体"/>
                <w:szCs w:val="21"/>
                <w:lang w:eastAsia="zh-CN"/>
              </w:rPr>
              <w:t>台。</w:t>
            </w:r>
          </w:p>
        </w:tc>
        <w:tc>
          <w:tcPr>
            <w:tcW w:w="2125" w:type="dxa"/>
            <w:vAlign w:val="center"/>
          </w:tcPr>
          <w:p>
            <w:pPr>
              <w:spacing w:line="360" w:lineRule="auto"/>
              <w:jc w:val="center"/>
              <w:rPr>
                <w:rFonts w:ascii="宋体" w:hAnsi="宋体"/>
                <w:szCs w:val="21"/>
                <w:lang w:val="en-US" w:eastAsia="zh-CN"/>
              </w:rPr>
            </w:pPr>
            <w:r>
              <w:rPr>
                <w:rFonts w:hint="eastAsia" w:ascii="宋体" w:hAnsi="宋体"/>
                <w:szCs w:val="21"/>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ermStart w:id="22" w:edGrp="everyone"/>
          </w:p>
        </w:tc>
        <w:tc>
          <w:tcPr>
            <w:tcW w:w="7128" w:type="dxa"/>
            <w:vAlign w:val="center"/>
          </w:tcPr>
          <w:p>
            <w:pPr>
              <w:spacing w:line="360" w:lineRule="auto"/>
              <w:rPr>
                <w:rFonts w:ascii="宋体" w:hAnsi="宋体" w:cs="宋体"/>
                <w:szCs w:val="21"/>
                <w:lang w:eastAsia="zh-CN"/>
              </w:rPr>
            </w:pPr>
            <w:r>
              <w:rPr>
                <w:rFonts w:hint="eastAsia" w:ascii="宋体" w:hAnsi="宋体" w:cs="宋体"/>
                <w:szCs w:val="21"/>
                <w:lang w:eastAsia="zh-CN"/>
              </w:rPr>
              <w:t>过氧化氢灭菌系统的灭菌效果：</w:t>
            </w:r>
            <w:r>
              <w:rPr>
                <w:rFonts w:ascii="宋体" w:hAnsi="宋体" w:cs="宋体"/>
                <w:szCs w:val="21"/>
                <w:lang w:eastAsia="zh-CN"/>
              </w:rPr>
              <w:t xml:space="preserve"> </w:t>
            </w:r>
            <w:r>
              <w:rPr>
                <w:rFonts w:hint="eastAsia" w:ascii="宋体" w:hAnsi="宋体" w:cs="宋体"/>
                <w:szCs w:val="21"/>
                <w:lang w:eastAsia="zh-CN"/>
              </w:rPr>
              <w:t>对嗜热脂肪芽孢杆菌孢子生物指示剂的杀灭率可达到下降</w:t>
            </w:r>
            <w:r>
              <w:rPr>
                <w:rFonts w:ascii="宋体" w:hAnsi="宋体" w:cs="宋体"/>
                <w:szCs w:val="21"/>
                <w:lang w:eastAsia="zh-CN"/>
              </w:rPr>
              <w:t>6</w:t>
            </w:r>
            <w:r>
              <w:rPr>
                <w:rFonts w:hint="eastAsia" w:ascii="宋体" w:hAnsi="宋体" w:cs="宋体"/>
                <w:szCs w:val="21"/>
                <w:lang w:eastAsia="zh-CN"/>
              </w:rPr>
              <w:t>个对数单位效果。</w:t>
            </w:r>
          </w:p>
          <w:p>
            <w:pPr>
              <w:spacing w:line="360" w:lineRule="auto"/>
              <w:rPr>
                <w:rFonts w:asciiTheme="minorEastAsia" w:hAnsiTheme="minorEastAsia" w:eastAsiaTheme="minorEastAsia"/>
                <w:szCs w:val="21"/>
                <w:lang w:val="en-US" w:eastAsia="zh-CN"/>
              </w:rPr>
            </w:pPr>
            <w:r>
              <w:rPr>
                <w:rFonts w:hint="eastAsia" w:ascii="宋体" w:hAnsi="宋体" w:cs="宋体"/>
                <w:szCs w:val="21"/>
              </w:rPr>
              <w:t>生物指示剂采用进口第三方产品（如：</w:t>
            </w:r>
            <w:r>
              <w:fldChar w:fldCharType="begin"/>
            </w:r>
            <w:r>
              <w:instrText xml:space="preserve"> HYPERLINK "https://www.so.com/link?m=beYCPLGllB%2B2Zq%2BzR%2BwMSGBMDHQLL54ONnB%2FByT8u087CC56pMYxJ%2Fx4j2a%2BrnMOCaRTDds116VWwJWlV49C1GRUdXx7j0CLJ6SLm7viTyCqdxA0ElfMfc3drFb2cbwUmCM6gZoKqxGlhqgNV0%2F5%2BhRBO7bpJfZLkGgVx5jpQKgiX3ao2ZNpsgyrKrLD0WpZ%2F" \t "_blank" </w:instrText>
            </w:r>
            <w:r>
              <w:fldChar w:fldCharType="separate"/>
            </w:r>
            <w:r>
              <w:rPr>
                <w:rFonts w:ascii="宋体" w:hAnsi="宋体" w:cs="宋体"/>
                <w:szCs w:val="21"/>
              </w:rPr>
              <w:t>MesaLabs</w:t>
            </w:r>
            <w:r>
              <w:rPr>
                <w:rFonts w:ascii="宋体" w:hAnsi="宋体" w:cs="宋体"/>
                <w:szCs w:val="21"/>
              </w:rPr>
              <w:fldChar w:fldCharType="end"/>
            </w:r>
            <w:r>
              <w:rPr>
                <w:rFonts w:hint="eastAsia" w:ascii="宋体" w:hAnsi="宋体" w:cs="宋体"/>
                <w:szCs w:val="21"/>
              </w:rPr>
              <w:t>，ATCC12980或其他品牌同等级产品）</w:t>
            </w:r>
          </w:p>
        </w:tc>
        <w:tc>
          <w:tcPr>
            <w:tcW w:w="2125" w:type="dxa"/>
            <w:vAlign w:val="center"/>
          </w:tcPr>
          <w:p>
            <w:pPr>
              <w:spacing w:line="360" w:lineRule="auto"/>
              <w:jc w:val="center"/>
              <w:rPr>
                <w:szCs w:val="21"/>
                <w:lang w:eastAsia="zh-CN"/>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128" w:type="dxa"/>
            <w:vAlign w:val="center"/>
          </w:tcPr>
          <w:p>
            <w:pPr>
              <w:spacing w:line="360" w:lineRule="auto"/>
              <w:rPr>
                <w:rFonts w:asciiTheme="minorEastAsia" w:hAnsiTheme="minorEastAsia" w:eastAsiaTheme="minorEastAsia"/>
                <w:iCs/>
                <w:szCs w:val="21"/>
                <w:lang w:val="en-US" w:eastAsia="zh-CN"/>
              </w:rPr>
            </w:pPr>
            <w:r>
              <w:rPr>
                <w:rFonts w:hint="eastAsia" w:ascii="宋体" w:hAnsi="宋体" w:cs="宋体"/>
                <w:szCs w:val="21"/>
                <w:lang w:eastAsia="zh-CN"/>
              </w:rPr>
              <w:t>灭菌系统应使用低浓度过氧化氢灭菌，每立方米用量不超过8</w:t>
            </w:r>
            <w:r>
              <w:rPr>
                <w:rFonts w:ascii="宋体" w:hAnsi="宋体"/>
                <w:szCs w:val="21"/>
                <w:lang w:eastAsia="zh-CN"/>
              </w:rPr>
              <w:t>mL</w:t>
            </w:r>
            <w:r>
              <w:rPr>
                <w:rFonts w:hint="eastAsia" w:ascii="宋体" w:hAnsi="宋体"/>
                <w:szCs w:val="21"/>
                <w:lang w:eastAsia="zh-CN"/>
              </w:rPr>
              <w:t>即可满足杀灭要求，应尽可能避免房间湿度过快上升导致凝露</w:t>
            </w:r>
            <w:r>
              <w:rPr>
                <w:rFonts w:hint="eastAsia" w:ascii="宋体" w:hAnsi="宋体" w:cs="宋体"/>
                <w:szCs w:val="21"/>
                <w:lang w:eastAsia="zh-CN"/>
              </w:rPr>
              <w:t>。</w:t>
            </w:r>
          </w:p>
        </w:tc>
        <w:tc>
          <w:tcPr>
            <w:tcW w:w="2125" w:type="dxa"/>
            <w:vAlign w:val="center"/>
          </w:tcPr>
          <w:p>
            <w:pPr>
              <w:spacing w:line="360" w:lineRule="auto"/>
              <w:jc w:val="center"/>
              <w:rPr>
                <w:szCs w:val="21"/>
                <w:lang w:eastAsia="zh-CN"/>
              </w:rPr>
            </w:pPr>
            <w:r>
              <w:rPr>
                <w:rFonts w:hint="eastAsia" w:ascii="宋体" w:hAnsi="宋体"/>
                <w:szCs w:val="21"/>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128" w:type="dxa"/>
            <w:vAlign w:val="center"/>
          </w:tcPr>
          <w:p>
            <w:pPr>
              <w:spacing w:line="360" w:lineRule="auto"/>
              <w:rPr>
                <w:rFonts w:asciiTheme="minorEastAsia" w:hAnsiTheme="minorEastAsia"/>
                <w:iCs/>
                <w:szCs w:val="21"/>
                <w:lang w:val="en-US" w:eastAsia="zh-CN"/>
              </w:rPr>
            </w:pPr>
            <w:r>
              <w:rPr>
                <w:rFonts w:hint="eastAsia" w:ascii="宋体" w:hAnsi="宋体" w:cs="宋体"/>
                <w:szCs w:val="21"/>
                <w:lang w:eastAsia="zh-CN"/>
              </w:rPr>
              <w:t>设备具备出口风速大于18m/s，且应具有良好的扩散性，避免持续喷射导致局部区域消毒液冷凝；设备具备连续喷射模式和脉冲喷射模式，应防止长时间持续喷射导致局部区域消毒液冷凝，造成彩钢板或设备等其他部件的腐蚀。</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128" w:type="dxa"/>
            <w:vAlign w:val="center"/>
          </w:tcPr>
          <w:p>
            <w:pPr>
              <w:spacing w:line="360" w:lineRule="auto"/>
              <w:rPr>
                <w:rFonts w:ascii="Arial" w:hAnsi="Arial" w:cs="Arial"/>
                <w:szCs w:val="21"/>
                <w:lang w:eastAsia="zh-CN"/>
              </w:rPr>
            </w:pPr>
            <w:r>
              <w:rPr>
                <w:rFonts w:hint="eastAsia" w:ascii="宋体" w:hAnsi="宋体" w:cs="宋体"/>
                <w:szCs w:val="21"/>
                <w:lang w:eastAsia="zh-CN"/>
              </w:rPr>
              <w:t>干雾9</w:t>
            </w:r>
            <w:r>
              <w:rPr>
                <w:rFonts w:ascii="宋体" w:hAnsi="宋体" w:cs="宋体"/>
                <w:szCs w:val="21"/>
                <w:lang w:eastAsia="zh-CN"/>
              </w:rPr>
              <w:t>0</w:t>
            </w:r>
            <w:r>
              <w:rPr>
                <w:rFonts w:hint="eastAsia" w:ascii="宋体" w:hAnsi="宋体" w:cs="宋体"/>
                <w:szCs w:val="21"/>
                <w:lang w:eastAsia="zh-CN"/>
              </w:rPr>
              <w:t>%以上的粒径应≤</w:t>
            </w:r>
            <w:r>
              <w:rPr>
                <w:rFonts w:hint="eastAsia" w:ascii="宋体" w:hAnsi="宋体"/>
                <w:szCs w:val="21"/>
                <w:lang w:eastAsia="zh-CN"/>
              </w:rPr>
              <w:t>1μ</w:t>
            </w:r>
            <w:r>
              <w:rPr>
                <w:rFonts w:ascii="宋体" w:hAnsi="宋体"/>
                <w:szCs w:val="21"/>
                <w:lang w:eastAsia="zh-CN"/>
              </w:rPr>
              <w:t>m</w:t>
            </w:r>
          </w:p>
        </w:tc>
        <w:tc>
          <w:tcPr>
            <w:tcW w:w="2125" w:type="dxa"/>
            <w:vAlign w:val="center"/>
          </w:tcPr>
          <w:p>
            <w:pPr>
              <w:spacing w:line="360" w:lineRule="auto"/>
              <w:jc w:val="center"/>
              <w:rPr>
                <w:color w:val="FF0000"/>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color w:val="FF0000"/>
                <w:szCs w:val="21"/>
              </w:rPr>
            </w:pPr>
          </w:p>
        </w:tc>
        <w:tc>
          <w:tcPr>
            <w:tcW w:w="7128" w:type="dxa"/>
            <w:vAlign w:val="center"/>
          </w:tcPr>
          <w:p>
            <w:pPr>
              <w:spacing w:line="360" w:lineRule="auto"/>
              <w:rPr>
                <w:rFonts w:ascii="宋体" w:hAnsi="宋体" w:cs="Arial"/>
                <w:szCs w:val="21"/>
                <w:lang w:eastAsia="zh-CN"/>
              </w:rPr>
            </w:pPr>
            <w:r>
              <w:rPr>
                <w:rFonts w:hint="eastAsia" w:ascii="宋体" w:hAnsi="宋体" w:cs="宋体"/>
                <w:szCs w:val="21"/>
                <w:lang w:eastAsia="zh-CN"/>
              </w:rPr>
              <w:t>设备灭菌喷雾时必须能保证喷出雾滴能均匀扩散到房间各个部位，无肉眼可见的白雾。</w:t>
            </w:r>
          </w:p>
        </w:tc>
        <w:tc>
          <w:tcPr>
            <w:tcW w:w="2125" w:type="dxa"/>
            <w:vAlign w:val="center"/>
          </w:tcPr>
          <w:p>
            <w:pPr>
              <w:spacing w:line="360" w:lineRule="auto"/>
              <w:jc w:val="center"/>
              <w:rPr>
                <w:color w:val="FF0000"/>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360" w:lineRule="auto"/>
              <w:rPr>
                <w:rFonts w:asciiTheme="minorEastAsia" w:hAnsiTheme="minorEastAsia" w:eastAsiaTheme="minorEastAsia"/>
                <w:szCs w:val="21"/>
                <w:lang w:val="en-US" w:eastAsia="zh-CN"/>
              </w:rPr>
            </w:pPr>
            <w:r>
              <w:rPr>
                <w:rFonts w:hint="eastAsia" w:ascii="宋体" w:hAnsi="宋体" w:cs="宋体"/>
                <w:szCs w:val="21"/>
                <w:lang w:eastAsia="zh-CN"/>
              </w:rPr>
              <w:t>V</w:t>
            </w:r>
            <w:r>
              <w:rPr>
                <w:rFonts w:ascii="宋体" w:hAnsi="宋体" w:cs="宋体"/>
                <w:szCs w:val="21"/>
                <w:lang w:eastAsia="zh-CN"/>
              </w:rPr>
              <w:t>HP</w:t>
            </w:r>
            <w:r>
              <w:rPr>
                <w:rFonts w:hint="eastAsia" w:ascii="宋体" w:hAnsi="宋体" w:cs="宋体"/>
                <w:szCs w:val="21"/>
                <w:lang w:eastAsia="zh-CN"/>
              </w:rPr>
              <w:t>空间灭菌器在环境温度：</w:t>
            </w:r>
            <w:r>
              <w:rPr>
                <w:rFonts w:ascii="宋体" w:hAnsi="宋体"/>
                <w:szCs w:val="21"/>
                <w:lang w:eastAsia="zh-CN"/>
              </w:rPr>
              <w:t>20-25</w:t>
            </w:r>
            <w:r>
              <w:rPr>
                <w:rFonts w:hint="eastAsia" w:ascii="宋体" w:hAnsi="宋体" w:cs="宋体"/>
                <w:szCs w:val="21"/>
                <w:lang w:eastAsia="zh-CN"/>
              </w:rPr>
              <w:t>℃；湿度</w:t>
            </w:r>
            <w:r>
              <w:rPr>
                <w:rFonts w:ascii="宋体" w:hAnsi="宋体" w:cs="Arial"/>
                <w:szCs w:val="21"/>
                <w:lang w:val="it-IT" w:eastAsia="zh-CN"/>
              </w:rPr>
              <w:t xml:space="preserve"> 4</w:t>
            </w:r>
            <w:r>
              <w:rPr>
                <w:rFonts w:hint="eastAsia" w:ascii="宋体" w:hAnsi="宋体" w:cs="Arial"/>
                <w:szCs w:val="21"/>
                <w:lang w:eastAsia="zh-CN"/>
              </w:rPr>
              <w:t>0</w:t>
            </w:r>
            <w:r>
              <w:rPr>
                <w:rFonts w:ascii="宋体" w:hAnsi="宋体" w:cs="Arial"/>
                <w:szCs w:val="21"/>
                <w:lang w:val="it-IT" w:eastAsia="zh-CN"/>
              </w:rPr>
              <w:t>%</w:t>
            </w:r>
            <w:r>
              <w:rPr>
                <w:rFonts w:hint="eastAsia" w:ascii="宋体" w:hAnsi="宋体" w:cs="Arial"/>
                <w:szCs w:val="21"/>
                <w:lang w:val="it-IT" w:eastAsia="zh-CN"/>
              </w:rPr>
              <w:t>～8</w:t>
            </w:r>
            <w:r>
              <w:rPr>
                <w:rFonts w:hint="eastAsia" w:ascii="宋体" w:hAnsi="宋体" w:cs="Arial"/>
                <w:szCs w:val="21"/>
                <w:lang w:eastAsia="zh-CN"/>
              </w:rPr>
              <w:t>5</w:t>
            </w:r>
            <w:r>
              <w:rPr>
                <w:rFonts w:ascii="宋体" w:hAnsi="宋体" w:cs="Arial"/>
                <w:szCs w:val="21"/>
                <w:lang w:val="it-IT" w:eastAsia="zh-CN"/>
              </w:rPr>
              <w:t>%</w:t>
            </w:r>
            <w:r>
              <w:rPr>
                <w:rFonts w:hint="eastAsia" w:ascii="宋体" w:hAnsi="宋体"/>
                <w:szCs w:val="21"/>
                <w:lang w:eastAsia="zh-CN"/>
              </w:rPr>
              <w:t>的车间内均能正常完成灭菌</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Theme="minorEastAsia" w:hAnsiTheme="minorEastAsia" w:eastAsiaTheme="minorEastAsia"/>
                <w:szCs w:val="21"/>
                <w:lang w:val="en-US" w:eastAsia="zh-CN"/>
              </w:rPr>
            </w:pPr>
            <w:r>
              <w:rPr>
                <w:rFonts w:hint="eastAsia" w:ascii="宋体" w:hAnsi="宋体" w:cs="宋体"/>
                <w:szCs w:val="21"/>
                <w:lang w:eastAsia="zh-CN"/>
              </w:rPr>
              <w:t>灭菌阶段完成后，通过静置，通风，将残留的过氧化氢排空，要求整灭个灭菌加排残周期小于5小时。</w:t>
            </w:r>
          </w:p>
        </w:tc>
        <w:tc>
          <w:tcPr>
            <w:tcW w:w="2125" w:type="dxa"/>
            <w:vAlign w:val="center"/>
          </w:tcPr>
          <w:p>
            <w:pPr>
              <w:spacing w:line="360" w:lineRule="auto"/>
              <w:jc w:val="center"/>
              <w:rPr>
                <w:szCs w:val="21"/>
                <w:lang w:eastAsia="zh-CN"/>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rPr>
                <w:rFonts w:cs="Arial" w:asciiTheme="minorEastAsia" w:hAnsiTheme="minorEastAsia" w:eastAsiaTheme="minorEastAsia"/>
                <w:szCs w:val="21"/>
                <w:lang w:eastAsia="zh-CN"/>
              </w:rPr>
            </w:pPr>
            <w:r>
              <w:rPr>
                <w:rFonts w:hint="eastAsia" w:ascii="宋体" w:hAnsi="宋体" w:cs="宋体"/>
                <w:szCs w:val="21"/>
                <w:lang w:eastAsia="zh-CN"/>
              </w:rPr>
              <w:t>应提供</w:t>
            </w:r>
            <w:r>
              <w:rPr>
                <w:rFonts w:ascii="宋体" w:hAnsi="宋体" w:cs="宋体"/>
                <w:szCs w:val="21"/>
                <w:lang w:eastAsia="zh-CN"/>
              </w:rPr>
              <w:t>1</w:t>
            </w:r>
            <w:r>
              <w:rPr>
                <w:rFonts w:hint="eastAsia" w:ascii="宋体" w:hAnsi="宋体" w:cs="宋体"/>
                <w:szCs w:val="21"/>
                <w:lang w:eastAsia="zh-CN"/>
              </w:rPr>
              <w:t>台移动式过氧化氢浓度、温湿度监测仪，分别在车间</w:t>
            </w:r>
            <w:r>
              <w:rPr>
                <w:rFonts w:hint="eastAsia" w:ascii="宋体" w:hAnsi="宋体" w:cs="宋体"/>
                <w:szCs w:val="21"/>
                <w:lang w:val="en-US" w:eastAsia="zh-CN"/>
              </w:rPr>
              <w:t>不同级别洁净区</w:t>
            </w:r>
            <w:r>
              <w:rPr>
                <w:rFonts w:hint="eastAsia" w:ascii="宋体" w:hAnsi="宋体" w:cs="宋体"/>
                <w:szCs w:val="21"/>
                <w:lang w:eastAsia="zh-CN"/>
              </w:rPr>
              <w:t>内使用以辅助监测空间内过氧化氢扩散后的浓度。</w:t>
            </w:r>
          </w:p>
        </w:tc>
        <w:tc>
          <w:tcPr>
            <w:tcW w:w="2125" w:type="dxa"/>
            <w:vAlign w:val="center"/>
          </w:tcPr>
          <w:p>
            <w:pPr>
              <w:jc w:val="center"/>
              <w:rPr>
                <w:szCs w:val="21"/>
                <w:lang w:eastAsia="zh-CN"/>
              </w:rPr>
            </w:pPr>
            <w:r>
              <w:rPr>
                <w:rFonts w:hint="eastAsia" w:ascii="宋体" w:hAnsi="宋体"/>
                <w:szCs w:val="21"/>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bookmarkStart w:id="27" w:name="_Toc522107742"/>
            <w:bookmarkStart w:id="28" w:name="_Toc483400317"/>
            <w:bookmarkStart w:id="29" w:name="_Toc481702480"/>
            <w:bookmarkStart w:id="30" w:name="_Toc482359946"/>
            <w:bookmarkStart w:id="31" w:name="_Toc482370151"/>
            <w:bookmarkStart w:id="32" w:name="_Toc482360291"/>
            <w:bookmarkStart w:id="33" w:name="_Toc482370071"/>
            <w:bookmarkStart w:id="34" w:name="_Toc482625289"/>
            <w:bookmarkStart w:id="35" w:name="_Toc483227237"/>
            <w:bookmarkStart w:id="36" w:name="_Toc482370359"/>
            <w:bookmarkStart w:id="37" w:name="_Toc482717202"/>
            <w:bookmarkStart w:id="38" w:name="_Toc482369815"/>
            <w:bookmarkStart w:id="39" w:name="_Toc482370767"/>
          </w:p>
        </w:tc>
        <w:tc>
          <w:tcPr>
            <w:tcW w:w="7128" w:type="dxa"/>
            <w:shd w:val="clear" w:color="auto" w:fill="FFFFFF" w:themeFill="background1"/>
            <w:vAlign w:val="center"/>
          </w:tcPr>
          <w:p>
            <w:pPr>
              <w:spacing w:line="276" w:lineRule="auto"/>
              <w:rPr>
                <w:rFonts w:ascii="宋体" w:hAnsi="宋体" w:cs="宋体"/>
                <w:szCs w:val="21"/>
                <w:lang w:eastAsia="zh-CN"/>
              </w:rPr>
            </w:pPr>
            <w:r>
              <w:rPr>
                <w:rFonts w:hint="eastAsia" w:ascii="宋体" w:hAnsi="宋体" w:cs="宋体"/>
                <w:szCs w:val="21"/>
                <w:lang w:eastAsia="zh-CN"/>
              </w:rPr>
              <w:t>因车间布局复杂，为避免扩散不均匀，供应商</w:t>
            </w:r>
            <w:r>
              <w:rPr>
                <w:rFonts w:hint="eastAsia" w:ascii="宋体" w:hAnsi="宋体" w:cs="宋体"/>
                <w:szCs w:val="21"/>
                <w:lang w:val="en-US" w:eastAsia="zh-CN"/>
              </w:rPr>
              <w:t>应根据</w:t>
            </w:r>
            <w:r>
              <w:rPr>
                <w:rFonts w:hint="eastAsia" w:ascii="宋体" w:hAnsi="宋体" w:cs="宋体"/>
                <w:szCs w:val="21"/>
                <w:lang w:eastAsia="zh-CN"/>
              </w:rPr>
              <w:t>车间</w:t>
            </w:r>
            <w:r>
              <w:rPr>
                <w:rFonts w:hint="eastAsia" w:ascii="宋体" w:hAnsi="宋体" w:cs="宋体"/>
                <w:szCs w:val="21"/>
                <w:lang w:val="en-US" w:eastAsia="zh-CN"/>
              </w:rPr>
              <w:t>布局图设计验证方案，并</w:t>
            </w:r>
            <w:r>
              <w:rPr>
                <w:rFonts w:hint="eastAsia" w:ascii="宋体" w:hAnsi="宋体" w:cs="宋体"/>
                <w:szCs w:val="21"/>
                <w:lang w:eastAsia="zh-CN"/>
              </w:rPr>
              <w:t>提供的</w:t>
            </w:r>
            <w:r>
              <w:rPr>
                <w:rFonts w:hint="eastAsia" w:ascii="宋体" w:hAnsi="宋体" w:cs="宋体"/>
                <w:szCs w:val="21"/>
                <w:lang w:val="en-US" w:eastAsia="zh-CN"/>
              </w:rPr>
              <w:t>适宜的</w:t>
            </w:r>
            <w:r>
              <w:rPr>
                <w:rFonts w:hint="eastAsia" w:asciiTheme="minorEastAsia" w:hAnsiTheme="minorEastAsia" w:eastAsiaTheme="minorEastAsia"/>
                <w:szCs w:val="21"/>
                <w:lang w:eastAsia="zh-CN"/>
              </w:rPr>
              <w:t>单机VHP灭菌器</w:t>
            </w:r>
            <w:r>
              <w:rPr>
                <w:rFonts w:hint="eastAsia" w:ascii="宋体" w:hAnsi="宋体" w:cs="宋体"/>
                <w:szCs w:val="21"/>
                <w:lang w:eastAsia="zh-CN"/>
              </w:rPr>
              <w:t>终端</w:t>
            </w:r>
            <w:r>
              <w:rPr>
                <w:rFonts w:hint="eastAsia" w:ascii="宋体" w:hAnsi="宋体" w:cs="宋体"/>
                <w:szCs w:val="21"/>
                <w:lang w:val="en-US" w:eastAsia="zh-CN"/>
              </w:rPr>
              <w:t>数量，以达到要求的灭菌效果</w:t>
            </w:r>
            <w:r>
              <w:rPr>
                <w:rFonts w:hint="eastAsia" w:ascii="宋体" w:hAnsi="宋体" w:cs="宋体"/>
                <w:szCs w:val="21"/>
                <w:lang w:eastAsia="zh-CN"/>
              </w:rPr>
              <w:t>；</w:t>
            </w:r>
          </w:p>
          <w:p>
            <w:pPr>
              <w:spacing w:line="276" w:lineRule="auto"/>
              <w:rPr>
                <w:szCs w:val="21"/>
                <w:lang w:eastAsia="zh-CN"/>
              </w:rPr>
            </w:pPr>
            <w:r>
              <w:rPr>
                <w:rFonts w:hint="eastAsia" w:ascii="宋体" w:hAnsi="宋体" w:cs="宋体"/>
                <w:szCs w:val="21"/>
                <w:lang w:eastAsia="zh-CN"/>
              </w:rPr>
              <w:t>本套系统不得配置少于1</w:t>
            </w:r>
            <w:r>
              <w:rPr>
                <w:rFonts w:ascii="宋体" w:hAnsi="宋体" w:cs="宋体"/>
                <w:szCs w:val="21"/>
                <w:lang w:eastAsia="zh-CN"/>
              </w:rPr>
              <w:t>0</w:t>
            </w:r>
            <w:r>
              <w:rPr>
                <w:rFonts w:hint="eastAsia" w:ascii="宋体" w:hAnsi="宋体" w:cs="宋体"/>
                <w:szCs w:val="21"/>
                <w:lang w:eastAsia="zh-CN"/>
              </w:rPr>
              <w:t>台灭菌器终端。</w:t>
            </w:r>
          </w:p>
        </w:tc>
        <w:tc>
          <w:tcPr>
            <w:tcW w:w="2125" w:type="dxa"/>
            <w:shd w:val="clear" w:color="auto" w:fill="FFFFFF" w:themeFill="background1"/>
            <w:vAlign w:val="center"/>
          </w:tcPr>
          <w:p>
            <w:pPr>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宋体"/>
                <w:szCs w:val="21"/>
                <w:lang w:eastAsia="zh-CN"/>
              </w:rPr>
              <w:t>灭菌过程不需要外接压缩气源，不需要外接风扇等，以避免产尘造成颗粒物污染。</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276" w:lineRule="auto"/>
              <w:jc w:val="both"/>
              <w:rPr>
                <w:rFonts w:ascii="宋体" w:hAnsi="宋体" w:cs="宋体"/>
                <w:szCs w:val="21"/>
                <w:lang w:eastAsia="zh-CN"/>
              </w:rPr>
            </w:pPr>
            <w:r>
              <w:rPr>
                <w:rFonts w:hint="eastAsia" w:ascii="宋体" w:hAnsi="宋体"/>
                <w:szCs w:val="21"/>
                <w:lang w:eastAsia="zh-CN"/>
              </w:rPr>
              <w:t>过氧化氢消毒原液注射速率应可调整，单喷头速率可调范围至少0</w:t>
            </w:r>
            <w:r>
              <w:rPr>
                <w:rFonts w:ascii="宋体" w:hAnsi="宋体"/>
                <w:szCs w:val="21"/>
                <w:lang w:eastAsia="zh-CN"/>
              </w:rPr>
              <w:t>-2</w:t>
            </w:r>
            <w:r>
              <w:rPr>
                <w:rFonts w:ascii="宋体" w:hAnsi="宋体"/>
                <w:szCs w:val="21"/>
                <w:lang w:val="en-US" w:eastAsia="zh-CN"/>
              </w:rPr>
              <w:t>0</w:t>
            </w:r>
            <w:r>
              <w:rPr>
                <w:rFonts w:hint="eastAsia" w:ascii="宋体" w:hAnsi="宋体" w:cs="宋体"/>
                <w:szCs w:val="21"/>
                <w:lang w:eastAsia="zh-CN" w:bidi="ar"/>
              </w:rPr>
              <w:t>ml/分钟，且在此喷药速率区间内的原液都能被风机均匀打散。</w:t>
            </w:r>
          </w:p>
        </w:tc>
        <w:tc>
          <w:tcPr>
            <w:tcW w:w="2125" w:type="dxa"/>
            <w:shd w:val="clear" w:color="auto" w:fill="FFFFFF" w:themeFill="background1"/>
            <w:vAlign w:val="center"/>
          </w:tcPr>
          <w:p>
            <w:pPr>
              <w:jc w:val="center"/>
              <w:rPr>
                <w:rFonts w:ascii="宋体" w:hAnsi="宋体"/>
                <w:szCs w:val="21"/>
              </w:rPr>
            </w:pPr>
            <w:r>
              <w:rPr>
                <w:rFonts w:hint="eastAsia"/>
                <w:szCs w:val="21"/>
                <w:lang w:eastAsia="zh-CN"/>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宋体"/>
                <w:szCs w:val="21"/>
                <w:lang w:eastAsia="zh-CN"/>
              </w:rPr>
              <w:t>不可为虹吸式供液，避免供液不稳定造成喷药量不足的风险。</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Arial"/>
                <w:szCs w:val="21"/>
                <w:lang w:val="it-IT" w:eastAsia="zh-CN"/>
              </w:rPr>
              <w:t>单机灭菌器终端</w:t>
            </w:r>
            <w:r>
              <w:rPr>
                <w:rFonts w:hint="eastAsia" w:ascii="宋体" w:hAnsi="宋体" w:cs="宋体"/>
                <w:szCs w:val="21"/>
                <w:lang w:eastAsia="zh-CN"/>
              </w:rPr>
              <w:t>有供液泵进行主动供液，能够准确定量。</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Arial"/>
                <w:szCs w:val="21"/>
                <w:lang w:val="it-IT" w:eastAsia="zh-CN"/>
              </w:rPr>
              <w:t>单机灭菌器终端</w:t>
            </w:r>
            <w:r>
              <w:rPr>
                <w:rFonts w:hint="eastAsia" w:ascii="宋体" w:hAnsi="宋体" w:cs="宋体"/>
                <w:szCs w:val="21"/>
                <w:lang w:eastAsia="zh-CN"/>
              </w:rPr>
              <w:t>内部需配备称重模块，以便对所用消毒液的剂量进行精准确认</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Arial"/>
                <w:szCs w:val="21"/>
                <w:lang w:val="it-IT" w:eastAsia="zh-CN"/>
              </w:rPr>
              <w:t>单机灭菌器终端</w:t>
            </w:r>
            <w:r>
              <w:rPr>
                <w:rFonts w:hint="eastAsia" w:ascii="宋体" w:hAnsi="宋体" w:cs="宋体"/>
                <w:szCs w:val="21"/>
                <w:lang w:eastAsia="zh-CN"/>
              </w:rPr>
              <w:t>内管路可排空，便于维护保养；管路可使用纯化水冲洗。内管路应使用耐过氧化氢腐蚀的材料。</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Arial"/>
                <w:szCs w:val="21"/>
                <w:lang w:val="it-IT" w:eastAsia="zh-CN"/>
              </w:rPr>
              <w:t>单机灭菌器终端</w:t>
            </w:r>
            <w:r>
              <w:rPr>
                <w:rFonts w:hint="eastAsia" w:ascii="宋体" w:hAnsi="宋体" w:cs="宋体"/>
                <w:szCs w:val="21"/>
                <w:lang w:eastAsia="zh-CN"/>
              </w:rPr>
              <w:t>具有良好的便携性，单人可以轻松移动或搬动，不需要借助工具。</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Arial"/>
                <w:szCs w:val="21"/>
                <w:lang w:val="it-IT" w:eastAsia="zh-CN"/>
              </w:rPr>
              <w:t>单机灭菌器终端安装</w:t>
            </w:r>
            <w:r>
              <w:rPr>
                <w:rFonts w:hint="eastAsia" w:ascii="宋体" w:hAnsi="宋体" w:cs="宋体"/>
                <w:szCs w:val="21"/>
                <w:lang w:eastAsia="zh-CN"/>
              </w:rPr>
              <w:t>内置式消毒液储罐，消毒液箱的容量应和杀灭空间相匹配，不应小于</w:t>
            </w:r>
            <w:r>
              <w:rPr>
                <w:rFonts w:ascii="宋体" w:hAnsi="宋体" w:cs="宋体"/>
                <w:szCs w:val="21"/>
                <w:lang w:eastAsia="zh-CN"/>
              </w:rPr>
              <w:t>5L</w:t>
            </w:r>
            <w:r>
              <w:rPr>
                <w:rFonts w:hint="eastAsia" w:ascii="宋体" w:hAnsi="宋体" w:cs="宋体"/>
                <w:szCs w:val="21"/>
                <w:lang w:eastAsia="zh-CN"/>
              </w:rPr>
              <w:t>。</w:t>
            </w:r>
            <w:r>
              <w:rPr>
                <w:rFonts w:ascii="宋体" w:hAnsi="宋体" w:cs="宋体"/>
                <w:szCs w:val="21"/>
                <w:lang w:eastAsia="zh-CN"/>
              </w:rPr>
              <w:t xml:space="preserve"> </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宋体"/>
                <w:szCs w:val="21"/>
                <w:lang w:eastAsia="zh-CN"/>
              </w:rPr>
              <w:t>供应商需要根据车间房间平面图设计详细的空间灭菌系统方案，详细的叙述方案的可行性、合理性、实用性等。</w:t>
            </w:r>
          </w:p>
          <w:p>
            <w:pPr>
              <w:spacing w:line="360" w:lineRule="auto"/>
              <w:rPr>
                <w:rFonts w:ascii="宋体" w:hAnsi="宋体" w:cs="宋体"/>
                <w:szCs w:val="21"/>
                <w:lang w:eastAsia="zh-CN"/>
              </w:rPr>
            </w:pPr>
            <w:r>
              <w:rPr>
                <w:rFonts w:hint="eastAsia" w:ascii="宋体" w:hAnsi="宋体" w:cs="宋体"/>
                <w:szCs w:val="21"/>
                <w:lang w:eastAsia="zh-CN"/>
              </w:rPr>
              <w:t>方案至少包括:所需设备的品牌，型号，台数，以及每台设备的摆放位置，每台设备消毒液的单位用量，每台设备的喷射时间，消毒液的成分及其配比等。</w:t>
            </w:r>
          </w:p>
          <w:p>
            <w:pPr>
              <w:spacing w:line="360" w:lineRule="auto"/>
              <w:rPr>
                <w:rFonts w:ascii="宋体" w:hAnsi="宋体" w:cs="宋体"/>
                <w:szCs w:val="21"/>
                <w:lang w:eastAsia="zh-CN"/>
              </w:rPr>
            </w:pPr>
            <w:r>
              <w:rPr>
                <w:rFonts w:hint="eastAsia" w:ascii="宋体" w:hAnsi="宋体" w:cs="宋体"/>
                <w:szCs w:val="21"/>
                <w:lang w:eastAsia="zh-CN"/>
              </w:rPr>
              <w:t>并至少明确说明:</w:t>
            </w:r>
          </w:p>
          <w:p>
            <w:pPr>
              <w:spacing w:line="360" w:lineRule="auto"/>
              <w:rPr>
                <w:rFonts w:ascii="宋体" w:hAnsi="宋体" w:cs="宋体"/>
                <w:szCs w:val="21"/>
                <w:lang w:eastAsia="zh-CN"/>
              </w:rPr>
            </w:pPr>
            <w:r>
              <w:rPr>
                <w:rFonts w:hint="eastAsia" w:ascii="宋体" w:hAnsi="宋体" w:cs="宋体"/>
                <w:szCs w:val="21"/>
                <w:lang w:eastAsia="zh-CN"/>
              </w:rPr>
              <w:t xml:space="preserve">灭菌喷射时间；喷射结束后的密闭保持时间；排残时间； </w:t>
            </w:r>
          </w:p>
          <w:p>
            <w:pPr>
              <w:spacing w:line="360" w:lineRule="auto"/>
              <w:rPr>
                <w:rFonts w:ascii="宋体" w:hAnsi="宋体" w:cs="宋体"/>
                <w:szCs w:val="21"/>
                <w:lang w:eastAsia="zh-CN"/>
              </w:rPr>
            </w:pPr>
            <w:r>
              <w:rPr>
                <w:rFonts w:hint="eastAsia" w:ascii="宋体" w:hAnsi="宋体" w:cs="宋体"/>
                <w:szCs w:val="21"/>
                <w:lang w:eastAsia="zh-CN"/>
              </w:rPr>
              <w:t>生物指示剂及化学指示剂的布点图，以及选点评估文件；</w:t>
            </w:r>
          </w:p>
          <w:p>
            <w:pPr>
              <w:spacing w:line="360" w:lineRule="auto"/>
              <w:rPr>
                <w:rFonts w:ascii="宋体" w:hAnsi="宋体" w:cs="Arial"/>
                <w:szCs w:val="21"/>
                <w:lang w:val="it-IT" w:eastAsia="zh-CN"/>
              </w:rPr>
            </w:pPr>
            <w:r>
              <w:rPr>
                <w:rFonts w:hint="eastAsia" w:ascii="宋体" w:hAnsi="宋体" w:cs="宋体"/>
                <w:szCs w:val="21"/>
                <w:lang w:eastAsia="zh-CN"/>
              </w:rPr>
              <w:t>灭菌前的准备工作等。</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Arial"/>
                <w:szCs w:val="21"/>
                <w:lang w:val="it-IT" w:eastAsia="zh-CN"/>
              </w:rPr>
            </w:pPr>
            <w:r>
              <w:rPr>
                <w:rFonts w:hint="eastAsia" w:ascii="宋体" w:hAnsi="宋体" w:cs="宋体"/>
                <w:szCs w:val="21"/>
                <w:lang w:eastAsia="zh-CN"/>
              </w:rPr>
              <w:t>供应商需提供全面的验证方案，</w:t>
            </w:r>
            <w:r>
              <w:rPr>
                <w:rFonts w:ascii="宋体" w:hAnsi="宋体"/>
                <w:szCs w:val="21"/>
                <w:lang w:eastAsia="zh-CN"/>
              </w:rPr>
              <w:t xml:space="preserve"> </w:t>
            </w:r>
            <w:r>
              <w:rPr>
                <w:rFonts w:hint="eastAsia" w:ascii="宋体" w:hAnsi="宋体" w:cs="宋体"/>
                <w:szCs w:val="21"/>
                <w:lang w:eastAsia="zh-CN"/>
              </w:rPr>
              <w:t>详细叙述方案的可行性、合理性、实用性等。方案应至少包括：灭菌剂体积、浓度、容积的合理配备、灭菌时间、暴露时间、排风时间、生物指示剂位置及布点等（</w:t>
            </w:r>
            <w:r>
              <w:rPr>
                <w:rFonts w:hint="eastAsia" w:ascii="宋体" w:hAnsi="宋体"/>
                <w:szCs w:val="21"/>
                <w:lang w:eastAsia="zh-CN"/>
              </w:rPr>
              <w:t>布点应涵盖房顶、角落、设备台面以及空调送回风口等</w:t>
            </w:r>
            <w:r>
              <w:rPr>
                <w:rFonts w:hint="eastAsia" w:ascii="宋体" w:hAnsi="宋体" w:cs="宋体"/>
                <w:szCs w:val="21"/>
                <w:lang w:eastAsia="zh-CN"/>
              </w:rPr>
              <w:t>）。</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Arial"/>
                <w:szCs w:val="21"/>
                <w:lang w:val="it-IT" w:eastAsia="zh-CN"/>
              </w:rPr>
            </w:pPr>
            <w:r>
              <w:rPr>
                <w:rFonts w:hint="eastAsia" w:ascii="宋体" w:hAnsi="宋体" w:cs="宋体"/>
                <w:szCs w:val="21"/>
                <w:lang w:eastAsia="zh-CN"/>
              </w:rPr>
              <w:t>供应商应提供灭菌空间和消毒液使用量的关系文件。</w:t>
            </w:r>
          </w:p>
        </w:tc>
        <w:tc>
          <w:tcPr>
            <w:tcW w:w="2125" w:type="dxa"/>
            <w:shd w:val="clear" w:color="auto" w:fill="FFFFFF" w:themeFill="background1"/>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宋体"/>
                <w:szCs w:val="21"/>
                <w:lang w:eastAsia="zh-CN"/>
              </w:rPr>
              <w:t>供应商应完成</w:t>
            </w:r>
            <w:r>
              <w:rPr>
                <w:rFonts w:hint="eastAsia" w:ascii="宋体" w:hAnsi="宋体" w:cs="宋体"/>
                <w:szCs w:val="21"/>
                <w:lang w:val="en-US" w:eastAsia="zh-CN"/>
              </w:rPr>
              <w:t>1</w:t>
            </w:r>
            <w:r>
              <w:rPr>
                <w:rFonts w:ascii="宋体" w:hAnsi="宋体" w:cs="宋体"/>
                <w:szCs w:val="21"/>
                <w:lang w:val="en-US" w:eastAsia="zh-CN"/>
              </w:rPr>
              <w:t>03</w:t>
            </w:r>
            <w:r>
              <w:rPr>
                <w:rFonts w:hint="eastAsia" w:ascii="宋体" w:hAnsi="宋体" w:cs="宋体"/>
                <w:szCs w:val="21"/>
                <w:lang w:eastAsia="zh-CN"/>
              </w:rPr>
              <w:t>分装车间的V</w:t>
            </w:r>
            <w:r>
              <w:rPr>
                <w:rFonts w:ascii="宋体" w:hAnsi="宋体" w:cs="宋体"/>
                <w:szCs w:val="21"/>
                <w:lang w:eastAsia="zh-CN"/>
              </w:rPr>
              <w:t>HP</w:t>
            </w:r>
            <w:r>
              <w:rPr>
                <w:rFonts w:hint="eastAsia" w:ascii="宋体" w:hAnsi="宋体" w:cs="宋体"/>
                <w:szCs w:val="21"/>
                <w:lang w:eastAsia="zh-CN"/>
              </w:rPr>
              <w:t>空间灭菌方案的开发，并实施验证。</w:t>
            </w:r>
          </w:p>
        </w:tc>
        <w:tc>
          <w:tcPr>
            <w:tcW w:w="2125" w:type="dxa"/>
            <w:shd w:val="clear" w:color="auto" w:fill="FFFFFF" w:themeFill="background1"/>
            <w:vAlign w:val="center"/>
          </w:tcPr>
          <w:p>
            <w:pPr>
              <w:spacing w:line="360" w:lineRule="auto"/>
              <w:jc w:val="center"/>
              <w:rPr>
                <w:rFonts w:ascii="宋体" w:hAnsi="宋体"/>
                <w:szCs w:val="21"/>
                <w:lang w:eastAsia="zh-CN"/>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bCs/>
                <w:color w:val="000000"/>
                <w:szCs w:val="21"/>
                <w:lang w:eastAsia="zh-CN"/>
              </w:rPr>
              <w:t>设计车间空间灭菌方案时，必须做充分的风险评估来确定空间灭菌的风险点。例如同时检测多个风险点的湿度或浓度，根据车间各点温湿度曲线变化以及指示剂变色情况最终确定空间灭菌的风险点。</w:t>
            </w:r>
          </w:p>
        </w:tc>
        <w:tc>
          <w:tcPr>
            <w:tcW w:w="2125" w:type="dxa"/>
            <w:shd w:val="clear" w:color="auto" w:fill="FFFFFF" w:themeFill="background1"/>
            <w:vAlign w:val="center"/>
          </w:tcPr>
          <w:p>
            <w:pPr>
              <w:spacing w:line="360" w:lineRule="auto"/>
              <w:jc w:val="center"/>
              <w:rPr>
                <w:rFonts w:ascii="宋体" w:hAnsi="宋体"/>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5"/>
              <w:numPr>
                <w:ilvl w:val="0"/>
                <w:numId w:val="7"/>
              </w:numPr>
              <w:ind w:left="470" w:hanging="120" w:firstLineChars="0"/>
              <w:rPr>
                <w:rFonts w:ascii="Times New Roman" w:hAnsi="Times New Roman"/>
                <w:szCs w:val="21"/>
              </w:rPr>
            </w:pPr>
          </w:p>
        </w:tc>
        <w:tc>
          <w:tcPr>
            <w:tcW w:w="7128" w:type="dxa"/>
            <w:shd w:val="clear" w:color="auto" w:fill="FFFFFF" w:themeFill="background1"/>
            <w:vAlign w:val="center"/>
          </w:tcPr>
          <w:p>
            <w:pPr>
              <w:spacing w:line="360" w:lineRule="auto"/>
              <w:rPr>
                <w:rFonts w:ascii="宋体" w:hAnsi="宋体" w:cs="宋体"/>
                <w:szCs w:val="21"/>
                <w:lang w:eastAsia="zh-CN"/>
              </w:rPr>
            </w:pPr>
            <w:r>
              <w:rPr>
                <w:rFonts w:hint="eastAsia" w:ascii="宋体" w:hAnsi="宋体" w:cs="宋体"/>
                <w:szCs w:val="21"/>
                <w:lang w:eastAsia="zh-CN"/>
              </w:rPr>
              <w:t>如在灭菌工艺验证中发现招标配置的空间灭菌无法达到杀灭效果，或使用过程中对车间彩板产生了大面积腐蚀，供应商应免费提供解决方法并完成验证，例如：合理增加灭菌器台数、更换消毒剂的种类并负责重新完成工艺开发和验证等。</w:t>
            </w:r>
          </w:p>
        </w:tc>
        <w:tc>
          <w:tcPr>
            <w:tcW w:w="2125" w:type="dxa"/>
            <w:shd w:val="clear" w:color="auto" w:fill="FFFFFF" w:themeFill="background1"/>
            <w:vAlign w:val="center"/>
          </w:tcPr>
          <w:p>
            <w:pPr>
              <w:spacing w:line="360" w:lineRule="auto"/>
              <w:jc w:val="center"/>
              <w:rPr>
                <w:rFonts w:ascii="宋体" w:hAnsi="宋体"/>
                <w:szCs w:val="21"/>
                <w:lang w:eastAsia="zh-CN"/>
              </w:rPr>
            </w:pPr>
            <w:r>
              <w:rPr>
                <w:rFonts w:hint="eastAsia" w:ascii="宋体" w:hAnsi="宋体"/>
                <w:szCs w:val="21"/>
              </w:rPr>
              <w:t>关键</w:t>
            </w:r>
            <w:r>
              <w:rPr>
                <w:rFonts w:hint="eastAsia" w:ascii="宋体" w:hAnsi="宋体"/>
                <w:b/>
                <w:szCs w:val="21"/>
              </w:rPr>
              <w:t>※</w:t>
            </w:r>
          </w:p>
        </w:tc>
      </w:tr>
    </w:tbl>
    <w:p>
      <w:pPr>
        <w:pStyle w:val="45"/>
        <w:numPr>
          <w:ilvl w:val="0"/>
          <w:numId w:val="3"/>
        </w:numPr>
        <w:spacing w:after="158" w:afterLines="50"/>
        <w:ind w:left="426" w:hanging="426" w:hangingChars="202"/>
        <w:outlineLvl w:val="0"/>
        <w:rPr>
          <w:rFonts w:ascii="Times New Roman" w:hAnsi="Times New Roman"/>
          <w:b/>
        </w:rPr>
      </w:pPr>
      <w:bookmarkStart w:id="40" w:name="_Toc113470719"/>
      <w:r>
        <w:rPr>
          <w:rFonts w:hint="eastAsia" w:ascii="Times New Roman" w:hAnsi="Times New Roman"/>
          <w:b/>
        </w:rPr>
        <w:t>电气、自动控制要求</w:t>
      </w:r>
      <w:bookmarkEnd w:id="40"/>
    </w:p>
    <w:p>
      <w:pPr>
        <w:pStyle w:val="54"/>
        <w:spacing w:before="0" w:line="360" w:lineRule="auto"/>
        <w:ind w:left="425"/>
        <w:jc w:val="left"/>
        <w:rPr>
          <w:i/>
          <w:color w:val="4472C4"/>
          <w:szCs w:val="21"/>
          <w:lang w:eastAsia="zh-CN"/>
        </w:rPr>
      </w:pPr>
      <w:permStart w:id="24" w:edGrp="everyone"/>
    </w:p>
    <w:permEnd w:id="24"/>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ermStart w:id="25" w:edGrp="everyone"/>
          </w:p>
        </w:tc>
        <w:tc>
          <w:tcPr>
            <w:tcW w:w="7128" w:type="dxa"/>
            <w:vAlign w:val="center"/>
          </w:tcPr>
          <w:p>
            <w:pPr>
              <w:pStyle w:val="7"/>
              <w:tabs>
                <w:tab w:val="left" w:pos="420"/>
              </w:tabs>
              <w:spacing w:line="360" w:lineRule="auto"/>
              <w:rPr>
                <w:szCs w:val="21"/>
                <w:lang w:val="en-US" w:eastAsia="zh-CN"/>
              </w:rPr>
            </w:pPr>
            <w:r>
              <w:rPr>
                <w:rFonts w:hint="eastAsia" w:hAnsi="宋体" w:cs="宋体"/>
                <w:sz w:val="21"/>
                <w:szCs w:val="21"/>
                <w:lang w:eastAsia="zh-CN"/>
              </w:rPr>
              <w:t>远程上位机可控制所有的灭菌器终端，供应商应负责架构独立的、信号稳定的“上位机—终端”通讯网络</w:t>
            </w:r>
            <w:r>
              <w:rPr>
                <w:rStyle w:val="25"/>
                <w:rFonts w:hint="eastAsia" w:hAnsi="宋体"/>
                <w:lang w:eastAsia="zh-CN"/>
              </w:rPr>
              <w:t>。</w:t>
            </w:r>
          </w:p>
        </w:tc>
        <w:tc>
          <w:tcPr>
            <w:tcW w:w="2125" w:type="dxa"/>
            <w:vAlign w:val="center"/>
          </w:tcPr>
          <w:p>
            <w:pPr>
              <w:spacing w:line="360" w:lineRule="auto"/>
              <w:jc w:val="center"/>
              <w:rPr>
                <w:szCs w:val="21"/>
                <w:lang w:eastAsia="zh-CN"/>
              </w:rPr>
            </w:pPr>
            <w:r>
              <w:rPr>
                <w:rFonts w:hint="eastAsia" w:ascii="宋体" w:hAnsi="宋体"/>
                <w:szCs w:val="21"/>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
        </w:tc>
        <w:tc>
          <w:tcPr>
            <w:tcW w:w="7128" w:type="dxa"/>
            <w:vAlign w:val="center"/>
          </w:tcPr>
          <w:p>
            <w:pPr>
              <w:pStyle w:val="7"/>
              <w:tabs>
                <w:tab w:val="left" w:pos="420"/>
              </w:tabs>
              <w:spacing w:line="360" w:lineRule="auto"/>
              <w:rPr>
                <w:rFonts w:ascii="宋体" w:hAnsi="宋体" w:cs="Arial"/>
                <w:lang w:eastAsia="zh-CN"/>
              </w:rPr>
            </w:pPr>
            <w:r>
              <w:rPr>
                <w:rFonts w:hint="eastAsia" w:hAnsi="宋体"/>
                <w:sz w:val="21"/>
                <w:szCs w:val="21"/>
                <w:lang w:eastAsia="zh-CN"/>
              </w:rPr>
              <w:t>上位机能够对单机灭菌器进行数值设定，能精确控制和监控消毒剂的使用量</w:t>
            </w:r>
          </w:p>
        </w:tc>
        <w:tc>
          <w:tcPr>
            <w:tcW w:w="2125" w:type="dxa"/>
            <w:vAlign w:val="center"/>
          </w:tcPr>
          <w:p>
            <w:pPr>
              <w:spacing w:line="360" w:lineRule="auto"/>
              <w:jc w:val="center"/>
              <w:rPr>
                <w:szCs w:val="21"/>
                <w:lang w:eastAsia="zh-CN"/>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
        </w:tc>
        <w:tc>
          <w:tcPr>
            <w:tcW w:w="7128" w:type="dxa"/>
            <w:vAlign w:val="center"/>
          </w:tcPr>
          <w:p>
            <w:pPr>
              <w:pStyle w:val="7"/>
              <w:tabs>
                <w:tab w:val="left" w:pos="420"/>
              </w:tabs>
              <w:spacing w:line="360" w:lineRule="auto"/>
              <w:rPr>
                <w:rFonts w:ascii="宋体" w:hAnsi="宋体" w:cs="Arial"/>
                <w:lang w:eastAsia="zh-CN"/>
              </w:rPr>
            </w:pPr>
            <w:r>
              <w:rPr>
                <w:rFonts w:hint="eastAsia" w:hAnsi="宋体"/>
                <w:sz w:val="21"/>
                <w:szCs w:val="21"/>
                <w:lang w:eastAsia="zh-CN"/>
              </w:rPr>
              <w:t>终端灭菌器能够自动根据上位机预先设置的参数自动完成灭菌程序，并记录时间和相关数据，并将数据传给上位机。</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
        </w:tc>
        <w:tc>
          <w:tcPr>
            <w:tcW w:w="7128" w:type="dxa"/>
            <w:vAlign w:val="center"/>
          </w:tcPr>
          <w:p>
            <w:pPr>
              <w:pStyle w:val="7"/>
              <w:tabs>
                <w:tab w:val="left" w:pos="420"/>
              </w:tabs>
              <w:spacing w:line="360" w:lineRule="auto"/>
              <w:rPr>
                <w:rFonts w:ascii="宋体" w:hAnsi="宋体" w:cs="Arial"/>
                <w:lang w:eastAsia="zh-CN"/>
              </w:rPr>
            </w:pPr>
            <w:r>
              <w:rPr>
                <w:rFonts w:hint="eastAsia" w:hAnsi="宋体"/>
                <w:sz w:val="21"/>
                <w:szCs w:val="21"/>
                <w:lang w:eastAsia="zh-CN"/>
              </w:rPr>
              <w:t>灭菌终端喷雾完成后，设备可自动关机，无需人为操作。</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jc w:val="center"/>
              <w:rPr>
                <w:rFonts w:ascii="Times New Roman" w:hAnsi="Times New Roman"/>
                <w:szCs w:val="21"/>
              </w:rPr>
            </w:pPr>
          </w:p>
        </w:tc>
        <w:tc>
          <w:tcPr>
            <w:tcW w:w="7128" w:type="dxa"/>
            <w:vAlign w:val="center"/>
          </w:tcPr>
          <w:p>
            <w:pPr>
              <w:pStyle w:val="7"/>
              <w:tabs>
                <w:tab w:val="left" w:pos="420"/>
              </w:tabs>
              <w:spacing w:line="360" w:lineRule="auto"/>
              <w:rPr>
                <w:rFonts w:ascii="宋体" w:hAnsi="宋体" w:cs="Arial"/>
                <w:lang w:eastAsia="zh-CN"/>
              </w:rPr>
            </w:pPr>
            <w:r>
              <w:rPr>
                <w:rFonts w:hint="eastAsia" w:hAnsi="宋体"/>
                <w:sz w:val="21"/>
                <w:szCs w:val="21"/>
                <w:lang w:eastAsia="zh-CN"/>
              </w:rPr>
              <w:t>系统内置计算软件，自动计算喷药量和喷药时间，无需人为计算，计算结果在上位机显示。</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7"/>
              <w:tabs>
                <w:tab w:val="left" w:pos="420"/>
              </w:tabs>
              <w:spacing w:line="360" w:lineRule="auto"/>
              <w:rPr>
                <w:rFonts w:ascii="宋体" w:hAnsi="宋体" w:cs="Arial"/>
                <w:sz w:val="21"/>
                <w:szCs w:val="21"/>
                <w:lang w:eastAsia="zh-CN"/>
              </w:rPr>
            </w:pPr>
            <w:r>
              <w:rPr>
                <w:rFonts w:hint="eastAsia" w:hAnsi="宋体"/>
                <w:bCs/>
                <w:sz w:val="21"/>
                <w:szCs w:val="21"/>
                <w:lang w:eastAsia="zh-CN"/>
              </w:rPr>
              <w:t>系统应配合适上位机： 可远程控制终端启停，终端灭菌过程的所有数据应实时上传到远程上位机；监测探头的数据也可实时上传到上位机。</w:t>
            </w:r>
          </w:p>
        </w:tc>
        <w:tc>
          <w:tcPr>
            <w:tcW w:w="2125" w:type="dxa"/>
            <w:vAlign w:val="center"/>
          </w:tcPr>
          <w:p>
            <w:pPr>
              <w:spacing w:line="360" w:lineRule="auto"/>
              <w:jc w:val="center"/>
              <w:rPr>
                <w:szCs w:val="21"/>
                <w:lang w:eastAsia="zh-CN"/>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26" w:edGrp="everyone"/>
          </w:p>
        </w:tc>
        <w:tc>
          <w:tcPr>
            <w:tcW w:w="7128" w:type="dxa"/>
            <w:vAlign w:val="center"/>
          </w:tcPr>
          <w:p>
            <w:pPr>
              <w:pStyle w:val="7"/>
              <w:tabs>
                <w:tab w:val="left" w:pos="420"/>
              </w:tabs>
              <w:spacing w:line="360" w:lineRule="auto"/>
              <w:rPr>
                <w:rFonts w:hAnsi="宋体"/>
                <w:bCs/>
                <w:sz w:val="21"/>
                <w:szCs w:val="21"/>
                <w:lang w:eastAsia="zh-CN"/>
              </w:rPr>
            </w:pPr>
            <w:r>
              <w:rPr>
                <w:rFonts w:hint="eastAsia" w:hAnsi="宋体"/>
                <w:bCs/>
                <w:sz w:val="21"/>
                <w:szCs w:val="21"/>
                <w:lang w:eastAsia="zh-CN"/>
              </w:rPr>
              <w:t>远程上位机软件上至少应显示设备编码、消毒剂量、灭菌时间、过氧化氢溶液剩余量、运行时间等，可记录</w:t>
            </w:r>
            <w:r>
              <w:rPr>
                <w:rFonts w:hint="eastAsia" w:hAnsi="宋体"/>
                <w:sz w:val="21"/>
                <w:szCs w:val="21"/>
                <w:lang w:eastAsia="zh-CN"/>
              </w:rPr>
              <w:t>灭菌开始时间、结束时间、灭菌体积、灭菌区域初始温湿度、灭菌</w:t>
            </w:r>
            <w:r>
              <w:rPr>
                <w:rFonts w:hAnsi="宋体"/>
                <w:sz w:val="21"/>
                <w:szCs w:val="21"/>
                <w:lang w:eastAsia="zh-CN"/>
              </w:rPr>
              <w:t>过程</w:t>
            </w:r>
            <w:r>
              <w:rPr>
                <w:rFonts w:hint="eastAsia" w:hAnsi="宋体"/>
                <w:sz w:val="21"/>
                <w:szCs w:val="21"/>
                <w:lang w:eastAsia="zh-CN"/>
              </w:rPr>
              <w:t>等数据。</w:t>
            </w:r>
          </w:p>
        </w:tc>
        <w:tc>
          <w:tcPr>
            <w:tcW w:w="2125" w:type="dxa"/>
            <w:vAlign w:val="center"/>
          </w:tcPr>
          <w:p>
            <w:pPr>
              <w:spacing w:line="360" w:lineRule="auto"/>
              <w:jc w:val="center"/>
              <w:rPr>
                <w:rFonts w:ascii="宋体" w:hAnsi="宋体"/>
                <w:szCs w:val="21"/>
              </w:rPr>
            </w:pPr>
            <w:r>
              <w:rPr>
                <w:rFonts w:hint="eastAsia" w:ascii="宋体" w:hAnsi="宋体"/>
                <w:szCs w:val="21"/>
              </w:rPr>
              <w:t>关键</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7"/>
              <w:tabs>
                <w:tab w:val="left" w:pos="420"/>
              </w:tabs>
              <w:spacing w:line="360" w:lineRule="auto"/>
              <w:rPr>
                <w:rFonts w:hAnsi="宋体"/>
                <w:bCs/>
                <w:sz w:val="21"/>
                <w:szCs w:val="21"/>
                <w:lang w:eastAsia="zh-CN"/>
              </w:rPr>
            </w:pPr>
            <w:r>
              <w:rPr>
                <w:rFonts w:hint="eastAsia" w:hAnsi="宋体"/>
                <w:sz w:val="21"/>
                <w:szCs w:val="21"/>
                <w:lang w:eastAsia="zh-CN"/>
              </w:rPr>
              <w:t>报警功能：设备可记录喷雾的异常情况并发出报警；异常状态下，设备无法开机运行；报警信息可以显示到上位机；上位机指令未下达到终端灭菌器时设备应发出报警提示人员干预</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7"/>
              <w:tabs>
                <w:tab w:val="left" w:pos="420"/>
              </w:tabs>
              <w:spacing w:line="360" w:lineRule="auto"/>
              <w:rPr>
                <w:rFonts w:hAnsi="宋体"/>
                <w:bCs/>
                <w:sz w:val="21"/>
                <w:szCs w:val="21"/>
                <w:lang w:eastAsia="zh-CN"/>
              </w:rPr>
            </w:pPr>
            <w:r>
              <w:rPr>
                <w:rFonts w:hint="eastAsia" w:hAnsi="宋体"/>
                <w:sz w:val="21"/>
                <w:szCs w:val="21"/>
                <w:lang w:eastAsia="zh-CN"/>
              </w:rPr>
              <w:t>灭菌器终端除可以由上位机控制运行外，还可单机独立运行并记录数据。</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7"/>
              <w:tabs>
                <w:tab w:val="left" w:pos="420"/>
              </w:tabs>
              <w:spacing w:line="360" w:lineRule="auto"/>
              <w:rPr>
                <w:rFonts w:hAnsi="宋体"/>
                <w:bCs/>
                <w:sz w:val="21"/>
                <w:szCs w:val="21"/>
                <w:lang w:eastAsia="zh-CN"/>
              </w:rPr>
            </w:pPr>
            <w:r>
              <w:rPr>
                <w:rFonts w:hint="eastAsia" w:hAnsi="宋体"/>
                <w:sz w:val="21"/>
                <w:szCs w:val="21"/>
                <w:lang w:eastAsia="zh-CN"/>
              </w:rPr>
              <w:t>上位机应可连接到我公司的</w:t>
            </w:r>
            <w:r>
              <w:rPr>
                <w:rFonts w:hAnsi="宋体"/>
                <w:sz w:val="21"/>
                <w:szCs w:val="21"/>
                <w:lang w:eastAsia="zh-CN"/>
              </w:rPr>
              <w:t>SCADA</w:t>
            </w:r>
            <w:r>
              <w:rPr>
                <w:rFonts w:hint="eastAsia" w:hAnsi="宋体"/>
                <w:sz w:val="21"/>
                <w:szCs w:val="21"/>
                <w:lang w:eastAsia="zh-CN"/>
              </w:rPr>
              <w:t>系统，供应商应负责本次的V</w:t>
            </w:r>
            <w:r>
              <w:rPr>
                <w:rFonts w:hAnsi="宋体"/>
                <w:sz w:val="21"/>
                <w:szCs w:val="21"/>
                <w:lang w:eastAsia="zh-CN"/>
              </w:rPr>
              <w:t>HP</w:t>
            </w:r>
            <w:r>
              <w:rPr>
                <w:rFonts w:hint="eastAsia" w:hAnsi="宋体"/>
                <w:sz w:val="21"/>
                <w:szCs w:val="21"/>
                <w:lang w:eastAsia="zh-CN"/>
              </w:rPr>
              <w:t>空间灭菌系统与我公司</w:t>
            </w:r>
            <w:r>
              <w:rPr>
                <w:rFonts w:hAnsi="宋体"/>
                <w:sz w:val="21"/>
                <w:szCs w:val="21"/>
                <w:lang w:eastAsia="zh-CN"/>
              </w:rPr>
              <w:t>SCADA</w:t>
            </w:r>
            <w:r>
              <w:rPr>
                <w:rFonts w:hint="eastAsia" w:hAnsi="宋体"/>
                <w:sz w:val="21"/>
                <w:szCs w:val="21"/>
                <w:lang w:eastAsia="zh-CN"/>
              </w:rPr>
              <w:t>系统的连接，提供技术支持和硬件接口。</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360" w:lineRule="auto"/>
              <w:rPr>
                <w:rFonts w:asciiTheme="minorEastAsia" w:hAnsiTheme="minorEastAsia" w:eastAsiaTheme="minorEastAsia"/>
                <w:szCs w:val="21"/>
                <w:lang w:eastAsia="zh-CN"/>
              </w:rPr>
            </w:pPr>
            <w:r>
              <w:rPr>
                <w:rFonts w:hint="eastAsia" w:ascii="宋体" w:hAnsi="宋体"/>
                <w:szCs w:val="21"/>
                <w:lang w:eastAsia="zh-CN"/>
              </w:rPr>
              <w:t>需要配备医药行业通用的审计追踪功能，</w:t>
            </w:r>
            <w:r>
              <w:rPr>
                <w:rFonts w:hint="eastAsia" w:ascii="宋体" w:hAnsi="宋体" w:cs="宋体"/>
                <w:bCs/>
                <w:szCs w:val="21"/>
                <w:lang w:val="fr-FR" w:eastAsia="zh-CN"/>
              </w:rPr>
              <w:t>电子签名功能，</w:t>
            </w:r>
            <w:r>
              <w:rPr>
                <w:rFonts w:hint="eastAsia" w:ascii="宋体" w:hAnsi="宋体"/>
                <w:szCs w:val="21"/>
                <w:lang w:eastAsia="zh-CN"/>
              </w:rPr>
              <w:t>保证数据完整性。</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Theme="minorEastAsia" w:hAnsiTheme="minorEastAsia" w:eastAsiaTheme="minorEastAsia"/>
                <w:szCs w:val="21"/>
                <w:lang w:eastAsia="zh-CN"/>
              </w:rPr>
            </w:pPr>
            <w:r>
              <w:rPr>
                <w:rFonts w:hint="eastAsia" w:ascii="宋体" w:hAnsi="宋体"/>
                <w:bCs/>
                <w:szCs w:val="21"/>
                <w:lang w:eastAsia="zh-CN"/>
              </w:rPr>
              <w:t>系统至少应有四级权限：管理员、工艺员、操作员、审查员。</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Theme="minorEastAsia" w:hAnsiTheme="minorEastAsia" w:eastAsiaTheme="minorEastAsia"/>
                <w:szCs w:val="21"/>
                <w:lang w:eastAsia="zh-CN"/>
              </w:rPr>
            </w:pPr>
            <w:r>
              <w:rPr>
                <w:rFonts w:hint="eastAsia" w:ascii="宋体" w:hAnsi="宋体"/>
                <w:szCs w:val="21"/>
                <w:lang w:eastAsia="zh-CN"/>
              </w:rPr>
              <w:t>系统</w:t>
            </w:r>
            <w:r>
              <w:rPr>
                <w:rFonts w:ascii="宋体" w:hAnsi="宋体"/>
                <w:szCs w:val="21"/>
                <w:lang w:eastAsia="zh-CN"/>
              </w:rPr>
              <w:t>应可以设置多个用户，并有用户分级管理功能，每个等级拥有相应的权限</w:t>
            </w:r>
            <w:r>
              <w:rPr>
                <w:rFonts w:hint="eastAsia" w:ascii="宋体" w:hAnsi="宋体"/>
                <w:szCs w:val="21"/>
                <w:lang w:eastAsia="zh-CN"/>
              </w:rPr>
              <w:t>。</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Theme="minorEastAsia" w:hAnsiTheme="minorEastAsia" w:eastAsiaTheme="minorEastAsia"/>
                <w:color w:val="000000"/>
                <w:szCs w:val="21"/>
                <w:lang w:eastAsia="zh-CN"/>
              </w:rPr>
            </w:pPr>
            <w:r>
              <w:rPr>
                <w:rFonts w:hint="eastAsia" w:ascii="宋体" w:hAnsi="宋体"/>
                <w:bCs/>
                <w:szCs w:val="21"/>
                <w:lang w:eastAsia="zh-CN"/>
              </w:rPr>
              <w:t>数据存储：</w:t>
            </w:r>
            <w:r>
              <w:rPr>
                <w:rFonts w:hint="eastAsia" w:ascii="宋体" w:hAnsi="宋体"/>
                <w:szCs w:val="21"/>
                <w:lang w:eastAsia="zh-CN"/>
              </w:rPr>
              <w:t>消毒区域数据储存功能，可存储多个房间灭菌参数，包括房间号房间大小日期等全程可追溯。</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Theme="minorEastAsia" w:hAnsiTheme="minorEastAsia" w:eastAsiaTheme="minorEastAsia"/>
                <w:color w:val="000000"/>
                <w:szCs w:val="21"/>
                <w:lang w:eastAsia="zh-CN"/>
              </w:rPr>
            </w:pPr>
            <w:r>
              <w:rPr>
                <w:rFonts w:hint="eastAsia" w:ascii="宋体" w:hAnsi="宋体"/>
                <w:szCs w:val="21"/>
                <w:lang w:eastAsia="zh-CN"/>
              </w:rPr>
              <w:t>数据查询及导出：具备数据中央存储功能的、历史数据曲线、实时数据曲线、操作记录 故障报警等数据模板的</w:t>
            </w:r>
            <w:r>
              <w:rPr>
                <w:rFonts w:ascii="宋体" w:hAnsi="宋体"/>
                <w:szCs w:val="21"/>
                <w:lang w:eastAsia="zh-CN"/>
              </w:rPr>
              <w:t>PDF</w:t>
            </w:r>
            <w:r>
              <w:rPr>
                <w:rFonts w:hint="eastAsia" w:ascii="宋体" w:hAnsi="宋体"/>
                <w:szCs w:val="21"/>
                <w:lang w:eastAsia="zh-CN"/>
              </w:rPr>
              <w:t>导出。</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Theme="minorEastAsia" w:hAnsiTheme="minorEastAsia" w:eastAsiaTheme="minorEastAsia"/>
                <w:color w:val="000000"/>
                <w:szCs w:val="21"/>
                <w:lang w:eastAsia="zh-CN"/>
              </w:rPr>
            </w:pPr>
            <w:r>
              <w:rPr>
                <w:rFonts w:hint="eastAsia" w:ascii="宋体" w:hAnsi="宋体"/>
                <w:szCs w:val="21"/>
                <w:lang w:eastAsia="zh-CN"/>
              </w:rPr>
              <w:t>上位机必须使用</w:t>
            </w:r>
            <w:r>
              <w:rPr>
                <w:rFonts w:ascii="宋体" w:hAnsi="宋体"/>
                <w:szCs w:val="21"/>
                <w:lang w:eastAsia="zh-CN"/>
              </w:rPr>
              <w:t>Windows 10</w:t>
            </w:r>
            <w:r>
              <w:rPr>
                <w:rFonts w:hint="eastAsia" w:ascii="宋体" w:hAnsi="宋体"/>
                <w:szCs w:val="21"/>
                <w:lang w:eastAsia="zh-CN"/>
              </w:rPr>
              <w:t>专业版及以上版本的微软正版操作系统。</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屏幕显示的结果、存储的电子记录及打印纸质记录结果应是一致的。</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eastAsia="zh-CN"/>
              </w:rPr>
              <w:t>用户在密码输入时，电脑显示器上应不显示实际密码（比如密码会以</w:t>
            </w:r>
            <w:r>
              <w:rPr>
                <w:rFonts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lang w:eastAsia="zh-CN"/>
              </w:rPr>
              <w:t>或其他符合显示）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eastAsia="zh-CN"/>
              </w:rPr>
              <w:t>系统管理员应可以重置密码</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eastAsia="zh-CN"/>
              </w:rPr>
              <w:t>设备应可以设置密码最小长度为</w:t>
            </w:r>
            <w:r>
              <w:rPr>
                <w:rFonts w:asciiTheme="minorEastAsia" w:hAnsiTheme="minorEastAsia" w:eastAsiaTheme="minorEastAsia"/>
                <w:color w:val="000000"/>
                <w:szCs w:val="21"/>
                <w:lang w:eastAsia="zh-CN"/>
              </w:rPr>
              <w:t>8</w:t>
            </w:r>
            <w:r>
              <w:rPr>
                <w:rFonts w:hint="eastAsia" w:asciiTheme="minorEastAsia" w:hAnsiTheme="minorEastAsia" w:eastAsiaTheme="minorEastAsia"/>
                <w:color w:val="000000"/>
                <w:szCs w:val="21"/>
                <w:lang w:eastAsia="zh-CN"/>
              </w:rPr>
              <w:t>位</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lang w:eastAsia="zh-CN"/>
              </w:rPr>
              <w:t>系统管理员应可以激活锁住的账户</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napToGrid w:val="0"/>
              <w:spacing w:line="360" w:lineRule="auto"/>
              <w:rPr>
                <w:rFonts w:asciiTheme="minorEastAsia" w:hAnsiTheme="minorEastAsia" w:eastAsiaTheme="minorEastAsia"/>
                <w:color w:val="000000"/>
                <w:szCs w:val="21"/>
                <w:lang w:val="en-US" w:eastAsia="zh-CN"/>
              </w:rPr>
            </w:pPr>
            <w:r>
              <w:rPr>
                <w:rFonts w:hint="eastAsia" w:cs="Arial" w:asciiTheme="minorEastAsia" w:hAnsiTheme="minorEastAsia" w:eastAsiaTheme="minorEastAsia"/>
                <w:szCs w:val="21"/>
                <w:lang w:eastAsia="zh-CN"/>
              </w:rPr>
              <w:t>可由管理员设置系统登陆锁屏时间，锁屏后再次使用系统必须重新输入用户名密码</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设备应可以允许用户和管理员更改自己的密码，管理员可以修改其他账户密码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设备应可以通过管理员新增、修改和禁用账户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cs="Arial" w:asciiTheme="minorEastAsia" w:hAnsiTheme="minorEastAsia" w:eastAsiaTheme="minorEastAsia"/>
                <w:szCs w:val="21"/>
                <w:lang w:eastAsia="zh-CN"/>
              </w:rPr>
              <w:t>系统应具备数据电子记录功能，记录应包括实际监控最小间隔</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Arial" w:asciiTheme="minorEastAsia" w:hAnsiTheme="minorEastAsia" w:eastAsiaTheme="minorEastAsia"/>
                <w:szCs w:val="21"/>
                <w:lang w:eastAsia="zh-CN"/>
              </w:rPr>
            </w:pPr>
            <w:r>
              <w:rPr>
                <w:rFonts w:hint="eastAsia" w:asciiTheme="minorEastAsia" w:hAnsiTheme="minorEastAsia" w:eastAsiaTheme="minorEastAsia"/>
                <w:color w:val="000000"/>
                <w:szCs w:val="21"/>
                <w:lang w:eastAsia="zh-CN"/>
              </w:rPr>
              <w:t>数据记录实时存储</w:t>
            </w:r>
            <w:r>
              <w:rPr>
                <w:rFonts w:hint="eastAsia" w:asciiTheme="minorEastAsia" w:hAnsiTheme="minorEastAsia" w:eastAsiaTheme="minorEastAsia"/>
                <w:szCs w:val="21"/>
                <w:lang w:eastAsia="zh-CN"/>
              </w:rPr>
              <w:t>，检测结果</w:t>
            </w:r>
            <w:r>
              <w:rPr>
                <w:rFonts w:hint="eastAsia" w:asciiTheme="minorEastAsia" w:hAnsiTheme="minorEastAsia" w:eastAsiaTheme="minorEastAsia"/>
                <w:color w:val="000000"/>
                <w:szCs w:val="21"/>
                <w:lang w:eastAsia="zh-CN"/>
              </w:rPr>
              <w:t>不能修改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cs="Arial" w:asciiTheme="minorEastAsia" w:hAnsiTheme="minorEastAsia" w:eastAsiaTheme="minorEastAsia"/>
                <w:szCs w:val="21"/>
                <w:lang w:eastAsia="zh-CN"/>
              </w:rPr>
              <w:t>软件具备所有电子记录自动备份功能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t>软件可重新导入历史备份数据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在操作过程，输出报表和存储记录时，将在操作界面，报表和记录上同时签注当前登陆用户帐号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可设置报警参数，报警记录可自动存储、查询、输出备份、打印，不可修改。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系统应有审计追踪功能，可以记录关键操作、系统和安全的事件，比如登录登出、系统启停、确认报警、密码更改、方法参数更改、记录修改删除、权限配置、系统设置等，以及相应操作人员、操作日期时间、操作前状态、操作后结果、操作原因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lang w:eastAsia="zh-CN"/>
              </w:rPr>
              <w:t>审计追踪功能必须是自动的（即独立于用户）和由计算机生成的，并自动存储。</w:t>
            </w:r>
            <w:r>
              <w:rPr>
                <w:rFonts w:hint="eastAsia" w:asciiTheme="minorEastAsia" w:hAnsiTheme="minorEastAsia" w:eastAsiaTheme="minorEastAsia"/>
                <w:szCs w:val="21"/>
                <w:lang w:eastAsia="zh-CN"/>
              </w:rPr>
              <w:t>审计追踪记录应不可被删除或更改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审计追踪内容可存储、查询、输出备份、打印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lang w:eastAsia="zh-CN"/>
              </w:rPr>
              <w:t>测试和监控的所有电子记录（包括原始数据和相关元数据）应自动存储、不可修改，可进行查询、输出、备份恢复、打印等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系统应有足够的容量存储至少4年（2</w:t>
            </w:r>
            <w:r>
              <w:rPr>
                <w:rFonts w:asciiTheme="minorEastAsia" w:hAnsiTheme="minorEastAsia" w:eastAsiaTheme="minorEastAsia"/>
                <w:szCs w:val="21"/>
                <w:lang w:val="en-US" w:eastAsia="zh-CN"/>
              </w:rPr>
              <w:t>4</w:t>
            </w:r>
            <w:r>
              <w:rPr>
                <w:rFonts w:hint="eastAsia" w:asciiTheme="minorEastAsia" w:hAnsiTheme="minorEastAsia" w:eastAsiaTheme="minorEastAsia"/>
                <w:szCs w:val="21"/>
                <w:lang w:val="en-US" w:eastAsia="zh-CN"/>
              </w:rPr>
              <w:t>小时/天）的原始电子记录（包括：</w:t>
            </w:r>
            <w:r>
              <w:rPr>
                <w:rFonts w:hint="eastAsia" w:asciiTheme="minorEastAsia" w:hAnsiTheme="minorEastAsia" w:eastAsiaTheme="minorEastAsia"/>
                <w:szCs w:val="21"/>
                <w:lang w:eastAsia="zh-CN"/>
              </w:rPr>
              <w:t>数据</w:t>
            </w:r>
            <w:r>
              <w:rPr>
                <w:rFonts w:asciiTheme="minorEastAsia" w:hAnsiTheme="minorEastAsia" w:eastAsiaTheme="minorEastAsia"/>
                <w:szCs w:val="21"/>
                <w:lang w:eastAsia="zh-CN"/>
              </w:rPr>
              <w:t>/</w:t>
            </w:r>
            <w:r>
              <w:rPr>
                <w:rFonts w:hint="eastAsia" w:asciiTheme="minorEastAsia" w:hAnsiTheme="minorEastAsia" w:eastAsiaTheme="minorEastAsia"/>
                <w:szCs w:val="21"/>
                <w:lang w:eastAsia="zh-CN"/>
              </w:rPr>
              <w:t>曲线记录、报警记录、审计追踪记录</w:t>
            </w:r>
            <w:r>
              <w:rPr>
                <w:rFonts w:hint="eastAsia" w:asciiTheme="minorEastAsia" w:hAnsiTheme="minorEastAsia" w:eastAsiaTheme="minorEastAsia"/>
                <w:szCs w:val="21"/>
                <w:lang w:val="en-US" w:eastAsia="zh-CN"/>
              </w:rPr>
              <w:t>），且不影响系统运行。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val="en-US" w:eastAsia="zh-CN"/>
              </w:rPr>
            </w:pPr>
            <w:r>
              <w:rPr>
                <w:rFonts w:hint="eastAsia"/>
                <w:lang w:eastAsia="zh-CN"/>
              </w:rPr>
              <w:t>系统时间准确同步，一个月误差≤2</w:t>
            </w:r>
            <w:r>
              <w:rPr>
                <w:lang w:eastAsia="zh-CN"/>
              </w:rPr>
              <w:t>min</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设备断电时可记录并存储停电时的运行状态信息；通电后可以继续在停电之前的状态下继续启动运行，并保持原有运行模式。</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断电恢复后应不影响数据完整性、参数设置和系统运行。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i/>
                <w:szCs w:val="21"/>
                <w:lang w:eastAsia="zh-CN"/>
              </w:rPr>
            </w:pPr>
            <w:r>
              <w:rPr>
                <w:rFonts w:hint="eastAsia" w:asciiTheme="minorEastAsia" w:hAnsiTheme="minorEastAsia" w:eastAsiaTheme="minorEastAsia"/>
                <w:szCs w:val="21"/>
                <w:lang w:val="en-US" w:eastAsia="zh-CN"/>
              </w:rPr>
              <w:t>打印的记录格式应包含以下内容：日期，时间，参数，检测级别，检测数据等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系统和软件必须为正版。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操作系统必须使用正版专业版系统，且系统安全配置完善，例如：操作系统时间日志功能完善，可记录对系统的时间修改、安全操作等；操作系统的防恶意代码的安全配置完善；操作系统权限功能完善等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提供程序备份盘，确保能够满足灾难恢复需求，能恢复系统、软件及相关配置，灾难恢复后可正常使用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厂家需提供软件程序和数据的备份、恢复策略和方法。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heme="minorEastAsia" w:hAnsiTheme="minorEastAsia" w:eastAsiaTheme="minorEastAsia"/>
                <w:szCs w:val="21"/>
                <w:lang w:eastAsia="zh-CN"/>
              </w:rPr>
            </w:pPr>
            <w:r>
              <w:rPr>
                <w:rFonts w:hint="eastAsia"/>
                <w:szCs w:val="21"/>
                <w:lang w:eastAsia="zh-CN"/>
              </w:rPr>
              <w:t>厂家应提供备份电子记录读取策略及说明，以及电子记录备份与原始电子记录一致性对比策略</w:t>
            </w:r>
          </w:p>
        </w:tc>
        <w:tc>
          <w:tcPr>
            <w:tcW w:w="2125" w:type="dxa"/>
            <w:vAlign w:val="center"/>
          </w:tcPr>
          <w:p>
            <w:pPr>
              <w:jc w:val="center"/>
              <w:rPr>
                <w:szCs w:val="21"/>
                <w:lang w:eastAsia="zh-CN"/>
              </w:rPr>
            </w:pPr>
            <w:r>
              <w:rPr>
                <w:rFonts w:hint="eastAsia"/>
                <w:szCs w:val="21"/>
                <w:lang w:eastAsia="zh-CN"/>
              </w:rPr>
              <w:t>关键</w:t>
            </w:r>
          </w:p>
        </w:tc>
      </w:tr>
      <w:permEnd w:id="27"/>
    </w:tbl>
    <w:p>
      <w:pPr>
        <w:spacing w:after="158" w:afterLines="50"/>
        <w:rPr>
          <w:b/>
          <w:lang w:eastAsia="zh-CN"/>
        </w:rPr>
      </w:pPr>
    </w:p>
    <w:p>
      <w:pPr>
        <w:pStyle w:val="45"/>
        <w:numPr>
          <w:ilvl w:val="0"/>
          <w:numId w:val="3"/>
        </w:numPr>
        <w:spacing w:after="158" w:afterLines="50"/>
        <w:ind w:left="426" w:hanging="426" w:hangingChars="202"/>
        <w:outlineLvl w:val="0"/>
        <w:rPr>
          <w:rFonts w:ascii="Times New Roman" w:hAnsi="Times New Roman"/>
          <w:b/>
        </w:rPr>
      </w:pPr>
      <w:bookmarkStart w:id="41" w:name="_Toc113470720"/>
      <w:r>
        <w:rPr>
          <w:rFonts w:hint="eastAsia" w:ascii="Times New Roman" w:hAnsi="Times New Roman"/>
          <w:b/>
        </w:rPr>
        <w:t>安全要求</w:t>
      </w:r>
      <w:bookmarkEnd w:id="27"/>
      <w:bookmarkEnd w:id="41"/>
    </w:p>
    <w:p>
      <w:pPr>
        <w:pStyle w:val="54"/>
        <w:spacing w:before="0" w:line="360" w:lineRule="auto"/>
        <w:ind w:left="357"/>
        <w:jc w:val="left"/>
        <w:rPr>
          <w:i/>
          <w:color w:val="4472C4"/>
          <w:szCs w:val="21"/>
          <w:lang w:eastAsia="zh-CN"/>
        </w:rPr>
      </w:pPr>
      <w:permStart w:id="28" w:edGrp="everyone"/>
    </w:p>
    <w:permEnd w:id="28"/>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360" w:lineRule="auto"/>
              <w:rPr>
                <w:szCs w:val="21"/>
                <w:lang w:eastAsia="zh-CN"/>
              </w:rPr>
            </w:pPr>
            <w:r>
              <w:rPr>
                <w:rFonts w:hint="eastAsia" w:ascii="宋体" w:hAnsi="宋体"/>
                <w:szCs w:val="21"/>
                <w:lang w:eastAsia="zh-CN"/>
              </w:rPr>
              <w:t>控制系统需要安装良好有效的保护电路</w:t>
            </w:r>
          </w:p>
        </w:tc>
        <w:tc>
          <w:tcPr>
            <w:tcW w:w="2125" w:type="dxa"/>
            <w:vAlign w:val="center"/>
          </w:tcPr>
          <w:p>
            <w:pPr>
              <w:spacing w:line="360" w:lineRule="auto"/>
              <w:jc w:val="center"/>
              <w:rPr>
                <w:szCs w:val="21"/>
                <w:lang w:val="en-US" w:eastAsia="zh-CN"/>
              </w:rPr>
            </w:pPr>
            <w:r>
              <w:rPr>
                <w:rFonts w:hint="eastAsia" w:ascii="宋体" w:hAnsi="宋体"/>
                <w:szCs w:val="21"/>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360" w:lineRule="auto"/>
              <w:rPr>
                <w:rFonts w:ascii="宋体" w:hAnsi="宋体"/>
                <w:szCs w:val="21"/>
                <w:lang w:eastAsia="zh-CN"/>
              </w:rPr>
            </w:pPr>
            <w:r>
              <w:rPr>
                <w:rFonts w:ascii="宋体" w:hAnsi="宋体"/>
                <w:szCs w:val="21"/>
                <w:lang w:eastAsia="zh-CN"/>
              </w:rPr>
              <w:t>设备</w:t>
            </w:r>
            <w:r>
              <w:rPr>
                <w:rFonts w:hint="eastAsia" w:ascii="宋体" w:hAnsi="宋体"/>
                <w:szCs w:val="21"/>
                <w:lang w:eastAsia="zh-CN"/>
              </w:rPr>
              <w:t>应符合G</w:t>
            </w:r>
            <w:r>
              <w:rPr>
                <w:rFonts w:ascii="宋体" w:hAnsi="宋体"/>
                <w:szCs w:val="21"/>
                <w:lang w:eastAsia="zh-CN"/>
              </w:rPr>
              <w:t>B4793.1</w:t>
            </w:r>
            <w:r>
              <w:rPr>
                <w:rFonts w:hint="eastAsia" w:ascii="宋体" w:hAnsi="宋体"/>
                <w:szCs w:val="21"/>
                <w:lang w:eastAsia="zh-CN"/>
              </w:rPr>
              <w:t>医用电气设备的安全要求；不得设置散热风扇</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360" w:lineRule="auto"/>
              <w:rPr>
                <w:rFonts w:ascii="宋体" w:hAnsi="宋体"/>
                <w:szCs w:val="21"/>
                <w:lang w:eastAsia="zh-CN"/>
              </w:rPr>
            </w:pPr>
            <w:r>
              <w:rPr>
                <w:rFonts w:hint="eastAsia" w:ascii="宋体" w:hAnsi="宋体" w:cs="宋体"/>
                <w:szCs w:val="21"/>
                <w:lang w:eastAsia="zh-CN"/>
              </w:rPr>
              <w:t>断电时，机器逐渐停稳，以保护操作人员、设备和产品安全。</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360" w:lineRule="auto"/>
              <w:rPr>
                <w:rFonts w:ascii="宋体" w:hAnsi="宋体"/>
                <w:szCs w:val="21"/>
                <w:lang w:eastAsia="zh-CN"/>
              </w:rPr>
            </w:pPr>
            <w:r>
              <w:rPr>
                <w:rFonts w:hint="eastAsia" w:ascii="宋体" w:hAnsi="宋体" w:cs="宋体"/>
                <w:szCs w:val="21"/>
                <w:lang w:eastAsia="zh-CN"/>
              </w:rPr>
              <w:t>恢复供电后机器不能自动开机，必须人工启动。</w:t>
            </w:r>
          </w:p>
        </w:tc>
        <w:tc>
          <w:tcPr>
            <w:tcW w:w="2125" w:type="dxa"/>
            <w:vAlign w:val="center"/>
          </w:tcPr>
          <w:p>
            <w:pPr>
              <w:spacing w:line="360" w:lineRule="auto"/>
              <w:jc w:val="center"/>
              <w:rPr>
                <w:rFonts w:ascii="宋体" w:hAnsi="宋体"/>
                <w:szCs w:val="21"/>
              </w:rPr>
            </w:pPr>
            <w:r>
              <w:rPr>
                <w:rFonts w:hint="eastAsia" w:ascii="宋体" w:hAnsi="宋体"/>
                <w:szCs w:val="21"/>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szCs w:val="21"/>
                <w:lang w:eastAsia="zh-CN"/>
              </w:rPr>
              <w:t>电气安全应符合</w:t>
            </w:r>
            <w:r>
              <w:rPr>
                <w:szCs w:val="21"/>
                <w:lang w:eastAsia="zh-CN"/>
              </w:rPr>
              <w:t>GB 4793.1-2007</w:t>
            </w:r>
            <w:r>
              <w:rPr>
                <w:rFonts w:hint="eastAsia"/>
                <w:szCs w:val="21"/>
                <w:lang w:eastAsia="zh-CN"/>
              </w:rPr>
              <w:t>测量、控制和实验室用电气设备的安全要求。</w:t>
            </w:r>
          </w:p>
        </w:tc>
        <w:tc>
          <w:tcPr>
            <w:tcW w:w="2125"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电磁兼容性应符合</w:t>
            </w:r>
            <w:r>
              <w:rPr>
                <w:szCs w:val="21"/>
                <w:lang w:eastAsia="zh-CN"/>
              </w:rPr>
              <w:t>GB/T18268—2000</w:t>
            </w:r>
            <w:r>
              <w:rPr>
                <w:rFonts w:hint="eastAsia"/>
                <w:szCs w:val="21"/>
                <w:lang w:eastAsia="zh-CN"/>
              </w:rPr>
              <w:t>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电池和电源适配器必须通过CE认证。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r>
              <w:rPr>
                <w:rFonts w:hint="eastAsia" w:ascii="Times New Roman" w:hAnsi="Times New Roman"/>
                <w:szCs w:val="21"/>
              </w:rPr>
              <w:t>一</w:t>
            </w:r>
          </w:p>
        </w:tc>
        <w:tc>
          <w:tcPr>
            <w:tcW w:w="7128" w:type="dxa"/>
            <w:vAlign w:val="center"/>
          </w:tcPr>
          <w:p>
            <w:pPr>
              <w:jc w:val="both"/>
              <w:rPr>
                <w:szCs w:val="21"/>
                <w:lang w:eastAsia="zh-CN"/>
              </w:rPr>
            </w:pPr>
            <w:r>
              <w:rPr>
                <w:rFonts w:hint="eastAsia"/>
                <w:szCs w:val="21"/>
                <w:lang w:eastAsia="zh-CN"/>
              </w:rPr>
              <w:t>仪器外壳、电线槽等所有金属部分都必须良好接地。</w:t>
            </w:r>
          </w:p>
        </w:tc>
        <w:tc>
          <w:tcPr>
            <w:tcW w:w="2125" w:type="dxa"/>
            <w:vAlign w:val="center"/>
          </w:tcPr>
          <w:p>
            <w:pPr>
              <w:jc w:val="center"/>
              <w:rPr>
                <w:szCs w:val="21"/>
                <w:lang w:eastAsia="zh-CN"/>
              </w:rPr>
            </w:pPr>
            <w:r>
              <w:rPr>
                <w:rFonts w:hint="eastAsia"/>
                <w:szCs w:val="21"/>
                <w:lang w:eastAsia="zh-CN"/>
              </w:rPr>
              <w:t>关键</w:t>
            </w:r>
          </w:p>
        </w:tc>
      </w:tr>
      <w:permEnd w:id="34"/>
    </w:tbl>
    <w:p>
      <w:pPr>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42" w:name="_Toc113470721"/>
      <w:bookmarkStart w:id="43" w:name="_Toc522107743"/>
      <w:r>
        <w:rPr>
          <w:rFonts w:hint="eastAsia" w:ascii="Times New Roman" w:hAnsi="Times New Roman"/>
          <w:b/>
        </w:rPr>
        <w:t>文件要求</w:t>
      </w:r>
      <w:bookmarkEnd w:id="42"/>
      <w:bookmarkEnd w:id="43"/>
    </w:p>
    <w:p>
      <w:pPr>
        <w:pStyle w:val="54"/>
        <w:spacing w:before="0" w:line="360" w:lineRule="auto"/>
        <w:ind w:left="357"/>
        <w:jc w:val="left"/>
        <w:rPr>
          <w:i/>
          <w:szCs w:val="21"/>
          <w:lang w:eastAsia="zh-CN"/>
        </w:rPr>
      </w:pPr>
      <w:permStart w:id="35" w:edGrp="everyone"/>
    </w:p>
    <w:permEnd w:id="35"/>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6"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投标文件、合同及订单。</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7" w:edGrp="everyone"/>
          </w:p>
        </w:tc>
        <w:tc>
          <w:tcPr>
            <w:tcW w:w="7128" w:type="dxa"/>
            <w:vAlign w:val="center"/>
          </w:tcPr>
          <w:p>
            <w:pPr>
              <w:jc w:val="both"/>
              <w:rPr>
                <w:szCs w:val="21"/>
                <w:lang w:eastAsia="zh-CN"/>
              </w:rPr>
            </w:pPr>
            <w:r>
              <w:rPr>
                <w:rFonts w:hint="eastAsia"/>
                <w:szCs w:val="21"/>
                <w:lang w:eastAsia="zh-CN"/>
              </w:rPr>
              <w:t>卖方发运清单及相关检验报告。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bCs/>
                <w:color w:val="000000"/>
                <w:szCs w:val="21"/>
                <w:lang w:eastAsia="zh-CN"/>
              </w:rPr>
              <w:t>供应商应提供关键组件、系统功能配置清单、说明书及合格证书，包含各组件名称、编号、型号、规格、品牌、材质等。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bCs/>
                <w:color w:val="000000"/>
                <w:szCs w:val="21"/>
                <w:lang w:eastAsia="zh-CN"/>
              </w:rPr>
              <w:t>设备标准技术文件、功能说明、设计说明。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零部件清单、易损件清单、备件、消耗品清单、</w:t>
            </w:r>
            <w:r>
              <w:rPr>
                <w:rFonts w:hint="eastAsia" w:ascii="宋体" w:hAnsi="宋体"/>
                <w:bCs/>
                <w:color w:val="000000"/>
                <w:szCs w:val="21"/>
                <w:lang w:eastAsia="zh-CN"/>
              </w:rPr>
              <w:t>仪表清单</w:t>
            </w:r>
            <w:r>
              <w:rPr>
                <w:rFonts w:hint="eastAsia"/>
                <w:szCs w:val="21"/>
                <w:lang w:eastAsia="zh-CN"/>
              </w:rPr>
              <w:t>：包括名称、编号、对应厂家名称、生产地、规格及必要说明。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设备厂家文件：出厂测试合格证、相关检测报告、各种标示。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bCs/>
                <w:color w:val="000000"/>
                <w:szCs w:val="21"/>
                <w:lang w:eastAsia="zh-CN"/>
              </w:rPr>
              <w:t>图纸：实物图；各种确认、维修等活动所需的电子版及打印版图纸（尺寸图、安装图、必要的细节图、控制原理图、设备工作原理图、电气原理图等；注释参考等。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设备操作手册（</w:t>
            </w:r>
            <w:r>
              <w:rPr>
                <w:szCs w:val="21"/>
                <w:lang w:eastAsia="zh-CN"/>
              </w:rPr>
              <w:t>SOP</w:t>
            </w:r>
            <w:r>
              <w:rPr>
                <w:rFonts w:hint="eastAsia"/>
                <w:szCs w:val="21"/>
                <w:lang w:eastAsia="zh-CN"/>
              </w:rPr>
              <w:t>）：语言为中文，应说明校准周期，并能提供校准服务。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必须提供第三方校验报告及计量证书，</w:t>
            </w:r>
            <w:r>
              <w:rPr>
                <w:rFonts w:ascii="Arial" w:hAnsi="Arial" w:cs="Arial"/>
                <w:szCs w:val="21"/>
                <w:lang w:val="da-DK" w:eastAsia="zh-CN"/>
              </w:rPr>
              <w:t>校准后必须能够提供可追踪的校准材料</w:t>
            </w:r>
            <w:r>
              <w:rPr>
                <w:rFonts w:hint="eastAsia" w:ascii="Arial" w:hAnsi="Arial" w:cs="Arial"/>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bCs/>
                <w:color w:val="000000"/>
                <w:szCs w:val="21"/>
                <w:lang w:eastAsia="zh-CN"/>
              </w:rPr>
              <w:t>提供所有需要计量仪器仪表的校验清单。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安全</w:t>
            </w:r>
            <w:r>
              <w:rPr>
                <w:rFonts w:hint="eastAsia" w:ascii="宋体" w:hAnsi="宋体"/>
              </w:rPr>
              <w:t>测试</w:t>
            </w:r>
            <w:r>
              <w:rPr>
                <w:rFonts w:hint="eastAsia"/>
                <w:szCs w:val="21"/>
                <w:lang w:eastAsia="zh-CN"/>
              </w:rPr>
              <w:t>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bCs/>
                <w:color w:val="000000"/>
                <w:szCs w:val="21"/>
                <w:lang w:eastAsia="zh-CN"/>
              </w:rPr>
              <w:t>供应商需提供各种必要的合格证，包括部件合格证、材质证书等。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提供设备及其零部件使用寿命清单。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系统相关方案中，应明确本系统的配置、规格，并且通过分析阐述每一个系统环节的必要性</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标书中应明确系统关键组件的品牌、材质、型号，并且注明保修期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color w:val="111111"/>
                <w:szCs w:val="21"/>
                <w:lang w:eastAsia="zh-CN"/>
              </w:rPr>
            </w:pPr>
            <w:r>
              <w:rPr>
                <w:rFonts w:hint="eastAsia" w:ascii="宋体" w:hAnsi="宋体"/>
                <w:bCs/>
                <w:color w:val="000000"/>
                <w:szCs w:val="21"/>
                <w:lang w:eastAsia="zh-CN"/>
              </w:rPr>
              <w:t>预留无线温湿监控仪连接通讯地址待风险点确认后根据公司质保要求合理的配置在线温湿度监控仪。</w:t>
            </w:r>
          </w:p>
        </w:tc>
        <w:tc>
          <w:tcPr>
            <w:tcW w:w="2125" w:type="dxa"/>
            <w:vAlign w:val="center"/>
          </w:tcPr>
          <w:p>
            <w:pPr>
              <w:spacing w:line="360" w:lineRule="auto"/>
              <w:jc w:val="center"/>
              <w:rPr>
                <w:szCs w:val="21"/>
                <w:lang w:eastAsia="zh-CN"/>
              </w:rPr>
            </w:pPr>
            <w:r>
              <w:rPr>
                <w:rFonts w:hint="eastAsia" w:ascii="宋体" w:hAnsi="宋体"/>
                <w:color w:val="000000"/>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hAnsi="宋体"/>
                <w:bCs/>
                <w:color w:val="000000"/>
                <w:sz w:val="21"/>
                <w:szCs w:val="21"/>
                <w:lang w:eastAsia="zh-CN"/>
              </w:rPr>
            </w:pPr>
            <w:r>
              <w:rPr>
                <w:rFonts w:hint="eastAsia" w:hAnsi="宋体"/>
                <w:bCs/>
                <w:color w:val="000000"/>
                <w:sz w:val="21"/>
                <w:szCs w:val="21"/>
                <w:lang w:eastAsia="zh-CN"/>
              </w:rPr>
              <w:t>供应商需提供的验证文件：</w:t>
            </w:r>
          </w:p>
          <w:p>
            <w:pPr>
              <w:pStyle w:val="7"/>
              <w:numPr>
                <w:ilvl w:val="0"/>
                <w:numId w:val="11"/>
              </w:numPr>
              <w:tabs>
                <w:tab w:val="left" w:pos="420"/>
              </w:tabs>
              <w:spacing w:line="360" w:lineRule="auto"/>
              <w:rPr>
                <w:rFonts w:hAnsi="宋体"/>
                <w:bCs/>
                <w:color w:val="000000"/>
                <w:sz w:val="21"/>
                <w:szCs w:val="21"/>
              </w:rPr>
            </w:pPr>
            <w:r>
              <w:rPr>
                <w:rFonts w:hint="eastAsia" w:hAnsi="宋体"/>
                <w:bCs/>
                <w:color w:val="000000"/>
                <w:sz w:val="21"/>
                <w:szCs w:val="21"/>
              </w:rPr>
              <w:t>验证计划；</w:t>
            </w:r>
          </w:p>
          <w:p>
            <w:pPr>
              <w:pStyle w:val="7"/>
              <w:numPr>
                <w:ilvl w:val="0"/>
                <w:numId w:val="11"/>
              </w:numPr>
              <w:tabs>
                <w:tab w:val="left" w:pos="420"/>
              </w:tabs>
              <w:spacing w:line="360" w:lineRule="auto"/>
              <w:rPr>
                <w:rFonts w:hAnsi="宋体"/>
                <w:bCs/>
                <w:color w:val="000000"/>
                <w:sz w:val="21"/>
                <w:szCs w:val="21"/>
                <w:lang w:eastAsia="zh-CN"/>
              </w:rPr>
            </w:pPr>
            <w:r>
              <w:rPr>
                <w:rFonts w:hint="eastAsia" w:hAnsi="宋体"/>
                <w:bCs/>
                <w:color w:val="000000"/>
                <w:sz w:val="21"/>
                <w:szCs w:val="21"/>
                <w:lang w:eastAsia="zh-CN"/>
              </w:rPr>
              <w:t>满足</w:t>
            </w:r>
            <w:r>
              <w:rPr>
                <w:rFonts w:hAnsi="宋体"/>
                <w:bCs/>
                <w:color w:val="000000"/>
                <w:sz w:val="21"/>
                <w:szCs w:val="21"/>
                <w:lang w:eastAsia="zh-CN"/>
              </w:rPr>
              <w:t>GMP</w:t>
            </w:r>
            <w:r>
              <w:rPr>
                <w:rFonts w:hint="eastAsia" w:hAnsi="宋体"/>
                <w:bCs/>
                <w:color w:val="000000"/>
                <w:sz w:val="21"/>
                <w:szCs w:val="21"/>
                <w:lang w:eastAsia="zh-CN"/>
              </w:rPr>
              <w:t>和</w:t>
            </w:r>
            <w:r>
              <w:rPr>
                <w:rFonts w:hAnsi="宋体"/>
                <w:bCs/>
                <w:color w:val="000000"/>
                <w:sz w:val="21"/>
                <w:szCs w:val="21"/>
                <w:lang w:eastAsia="zh-CN"/>
              </w:rPr>
              <w:t>GAMP5</w:t>
            </w:r>
            <w:r>
              <w:rPr>
                <w:rFonts w:hint="eastAsia" w:hAnsi="宋体"/>
                <w:bCs/>
                <w:color w:val="000000"/>
                <w:sz w:val="21"/>
                <w:szCs w:val="21"/>
                <w:lang w:eastAsia="zh-CN"/>
              </w:rPr>
              <w:t>等相关法规的评估文件；</w:t>
            </w:r>
          </w:p>
          <w:p>
            <w:pPr>
              <w:pStyle w:val="7"/>
              <w:numPr>
                <w:ilvl w:val="0"/>
                <w:numId w:val="11"/>
              </w:numPr>
              <w:tabs>
                <w:tab w:val="left" w:pos="420"/>
              </w:tabs>
              <w:spacing w:line="360" w:lineRule="auto"/>
              <w:rPr>
                <w:rFonts w:hAnsi="宋体"/>
                <w:bCs/>
                <w:color w:val="000000"/>
                <w:sz w:val="21"/>
                <w:szCs w:val="21"/>
                <w:lang w:eastAsia="zh-CN"/>
              </w:rPr>
            </w:pPr>
            <w:r>
              <w:rPr>
                <w:rFonts w:hint="eastAsia" w:hAnsi="宋体"/>
                <w:bCs/>
                <w:color w:val="000000"/>
                <w:sz w:val="21"/>
                <w:szCs w:val="21"/>
                <w:lang w:eastAsia="zh-CN"/>
              </w:rPr>
              <w:t>安装确认及文件（</w:t>
            </w:r>
            <w:r>
              <w:rPr>
                <w:rFonts w:hAnsi="宋体"/>
                <w:bCs/>
                <w:color w:val="000000"/>
                <w:sz w:val="21"/>
                <w:szCs w:val="21"/>
                <w:lang w:eastAsia="zh-CN"/>
              </w:rPr>
              <w:t>IQ</w:t>
            </w:r>
            <w:r>
              <w:rPr>
                <w:rFonts w:hint="eastAsia" w:hAnsi="宋体"/>
                <w:bCs/>
                <w:color w:val="000000"/>
                <w:sz w:val="21"/>
                <w:szCs w:val="21"/>
                <w:lang w:eastAsia="zh-CN"/>
              </w:rPr>
              <w:t>）；</w:t>
            </w:r>
          </w:p>
          <w:p>
            <w:pPr>
              <w:pStyle w:val="7"/>
              <w:numPr>
                <w:ilvl w:val="0"/>
                <w:numId w:val="11"/>
              </w:numPr>
              <w:tabs>
                <w:tab w:val="left" w:pos="420"/>
              </w:tabs>
              <w:spacing w:line="360" w:lineRule="auto"/>
              <w:rPr>
                <w:rFonts w:hAnsi="宋体"/>
                <w:bCs/>
                <w:color w:val="000000"/>
                <w:sz w:val="21"/>
                <w:szCs w:val="21"/>
                <w:lang w:eastAsia="zh-CN"/>
              </w:rPr>
            </w:pPr>
            <w:r>
              <w:rPr>
                <w:rFonts w:hint="eastAsia" w:hAnsi="宋体"/>
                <w:bCs/>
                <w:color w:val="000000"/>
                <w:sz w:val="21"/>
                <w:szCs w:val="21"/>
                <w:lang w:eastAsia="zh-CN"/>
              </w:rPr>
              <w:t>运行确认及文件（</w:t>
            </w:r>
            <w:r>
              <w:rPr>
                <w:rFonts w:hAnsi="宋体"/>
                <w:bCs/>
                <w:color w:val="000000"/>
                <w:sz w:val="21"/>
                <w:szCs w:val="21"/>
                <w:lang w:eastAsia="zh-CN"/>
              </w:rPr>
              <w:t>OQ</w:t>
            </w:r>
            <w:r>
              <w:rPr>
                <w:rFonts w:hint="eastAsia" w:hAnsi="宋体"/>
                <w:bCs/>
                <w:color w:val="000000"/>
                <w:sz w:val="21"/>
                <w:szCs w:val="21"/>
                <w:lang w:eastAsia="zh-CN"/>
              </w:rPr>
              <w:t>）；</w:t>
            </w:r>
          </w:p>
          <w:p>
            <w:pPr>
              <w:pStyle w:val="7"/>
              <w:numPr>
                <w:ilvl w:val="0"/>
                <w:numId w:val="11"/>
              </w:numPr>
              <w:tabs>
                <w:tab w:val="left" w:pos="420"/>
              </w:tabs>
              <w:spacing w:line="360" w:lineRule="auto"/>
              <w:rPr>
                <w:rFonts w:hAnsi="宋体"/>
                <w:bCs/>
                <w:color w:val="000000"/>
                <w:sz w:val="21"/>
                <w:szCs w:val="21"/>
                <w:lang w:eastAsia="zh-CN"/>
              </w:rPr>
            </w:pPr>
            <w:r>
              <w:rPr>
                <w:rFonts w:hint="eastAsia" w:hAnsi="宋体"/>
                <w:bCs/>
                <w:color w:val="000000"/>
                <w:sz w:val="21"/>
                <w:szCs w:val="21"/>
                <w:lang w:eastAsia="zh-CN"/>
              </w:rPr>
              <w:t>性能确认及文件（PQ）</w:t>
            </w:r>
          </w:p>
          <w:p>
            <w:pPr>
              <w:pStyle w:val="7"/>
              <w:numPr>
                <w:ilvl w:val="0"/>
                <w:numId w:val="11"/>
              </w:numPr>
              <w:tabs>
                <w:tab w:val="left" w:pos="420"/>
              </w:tabs>
              <w:spacing w:line="360" w:lineRule="auto"/>
              <w:rPr>
                <w:rFonts w:ascii="宋体" w:hAnsi="宋体"/>
                <w:bCs/>
                <w:color w:val="000000"/>
                <w:sz w:val="21"/>
                <w:szCs w:val="21"/>
              </w:rPr>
            </w:pPr>
            <w:r>
              <w:rPr>
                <w:rFonts w:hint="eastAsia" w:ascii="宋体" w:hAnsi="宋体"/>
                <w:bCs/>
                <w:color w:val="000000"/>
                <w:sz w:val="21"/>
                <w:szCs w:val="21"/>
              </w:rPr>
              <w:t>计算机化系统验证；</w:t>
            </w:r>
          </w:p>
          <w:p>
            <w:pPr>
              <w:pStyle w:val="7"/>
              <w:numPr>
                <w:ilvl w:val="0"/>
                <w:numId w:val="11"/>
              </w:numPr>
              <w:tabs>
                <w:tab w:val="left" w:pos="420"/>
              </w:tabs>
              <w:spacing w:line="360" w:lineRule="auto"/>
              <w:rPr>
                <w:color w:val="111111"/>
                <w:szCs w:val="21"/>
                <w:lang w:eastAsia="zh-CN"/>
              </w:rPr>
            </w:pPr>
            <w:r>
              <w:rPr>
                <w:rFonts w:hint="eastAsia" w:ascii="宋体" w:hAnsi="宋体"/>
                <w:bCs/>
                <w:color w:val="000000"/>
                <w:sz w:val="21"/>
                <w:szCs w:val="21"/>
                <w:lang w:eastAsia="zh-CN"/>
              </w:rPr>
              <w:t>设备</w:t>
            </w:r>
            <w:r>
              <w:rPr>
                <w:rFonts w:hint="eastAsia" w:hAnsi="宋体"/>
                <w:bCs/>
                <w:color w:val="000000"/>
                <w:sz w:val="21"/>
                <w:szCs w:val="21"/>
                <w:lang w:eastAsia="zh-CN"/>
              </w:rPr>
              <w:t>生产商负责制定设备验证计划、风险评估文件、</w:t>
            </w:r>
            <w:r>
              <w:rPr>
                <w:rFonts w:hAnsi="宋体"/>
                <w:bCs/>
                <w:color w:val="000000"/>
                <w:sz w:val="21"/>
                <w:szCs w:val="21"/>
                <w:lang w:eastAsia="zh-CN"/>
              </w:rPr>
              <w:t>IQ/OQ</w:t>
            </w:r>
            <w:r>
              <w:rPr>
                <w:rFonts w:hint="eastAsia" w:hAnsi="宋体"/>
                <w:bCs/>
                <w:color w:val="000000"/>
                <w:sz w:val="21"/>
                <w:szCs w:val="21"/>
                <w:lang w:eastAsia="zh-CN"/>
              </w:rPr>
              <w:t>验证文件、并负责验证工作的实施，该验证文件作为设备必备文件。</w:t>
            </w:r>
          </w:p>
        </w:tc>
        <w:tc>
          <w:tcPr>
            <w:tcW w:w="2125" w:type="dxa"/>
            <w:vAlign w:val="center"/>
          </w:tcPr>
          <w:p>
            <w:pPr>
              <w:spacing w:line="360" w:lineRule="auto"/>
              <w:jc w:val="center"/>
              <w:rPr>
                <w:szCs w:val="21"/>
                <w:lang w:eastAsia="zh-CN"/>
              </w:rPr>
            </w:pPr>
            <w:r>
              <w:rPr>
                <w:rFonts w:hint="eastAsia" w:ascii="宋体" w:hAnsi="宋体"/>
                <w:color w:val="000000"/>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color w:val="111111"/>
                <w:szCs w:val="21"/>
                <w:lang w:eastAsia="zh-CN"/>
              </w:rPr>
            </w:pPr>
            <w:r>
              <w:rPr>
                <w:rFonts w:hint="eastAsia" w:ascii="宋体" w:hAnsi="宋体"/>
                <w:bCs/>
                <w:color w:val="000000"/>
                <w:szCs w:val="21"/>
                <w:lang w:eastAsia="zh-CN"/>
              </w:rPr>
              <w:t>应有针对每一部件所作序号的简明图册，以便于维修人员查找和辩识。</w:t>
            </w:r>
          </w:p>
        </w:tc>
        <w:tc>
          <w:tcPr>
            <w:tcW w:w="2125" w:type="dxa"/>
            <w:vAlign w:val="center"/>
          </w:tcPr>
          <w:p>
            <w:pPr>
              <w:spacing w:line="360" w:lineRule="auto"/>
              <w:jc w:val="center"/>
              <w:rPr>
                <w:szCs w:val="21"/>
                <w:lang w:eastAsia="zh-CN"/>
              </w:rPr>
            </w:pPr>
            <w:r>
              <w:rPr>
                <w:rFonts w:hint="eastAsia" w:ascii="宋体" w:hAnsi="宋体"/>
                <w:color w:val="000000"/>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bCs/>
                <w:color w:val="000000"/>
                <w:szCs w:val="21"/>
                <w:lang w:eastAsia="zh-CN"/>
              </w:rPr>
            </w:pPr>
            <w:r>
              <w:rPr>
                <w:rFonts w:hint="eastAsia" w:ascii="宋体" w:hAnsi="宋体"/>
                <w:bCs/>
                <w:color w:val="000000"/>
                <w:szCs w:val="21"/>
                <w:lang w:eastAsia="zh-CN"/>
              </w:rPr>
              <w:t>需要提供主要配件清单，并作单项报价备案，列在合同方案之内。</w:t>
            </w:r>
          </w:p>
        </w:tc>
        <w:tc>
          <w:tcPr>
            <w:tcW w:w="2125" w:type="dxa"/>
            <w:vAlign w:val="center"/>
          </w:tcPr>
          <w:p>
            <w:pPr>
              <w:spacing w:line="360" w:lineRule="auto"/>
              <w:jc w:val="center"/>
              <w:rPr>
                <w:rFonts w:ascii="宋体" w:hAnsi="宋体"/>
                <w:color w:val="000000"/>
                <w:szCs w:val="21"/>
              </w:rPr>
            </w:pPr>
            <w:r>
              <w:rPr>
                <w:rFonts w:hint="eastAsia" w:ascii="宋体" w:hAnsi="宋体"/>
                <w:color w:val="000000"/>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color w:val="111111"/>
                <w:szCs w:val="21"/>
                <w:lang w:eastAsia="zh-CN"/>
              </w:rPr>
              <w:t>供应商应提供</w:t>
            </w:r>
            <w:r>
              <w:rPr>
                <w:color w:val="111111"/>
                <w:szCs w:val="21"/>
                <w:lang w:eastAsia="zh-CN"/>
              </w:rPr>
              <w:t>上述条款规定的文件</w:t>
            </w:r>
            <w:r>
              <w:rPr>
                <w:rFonts w:hint="eastAsia"/>
                <w:color w:val="111111"/>
                <w:szCs w:val="21"/>
                <w:lang w:eastAsia="zh-CN"/>
              </w:rPr>
              <w:t>的</w:t>
            </w:r>
            <w:r>
              <w:rPr>
                <w:color w:val="111111"/>
                <w:szCs w:val="21"/>
                <w:lang w:eastAsia="zh-CN"/>
              </w:rPr>
              <w:t>电子版</w:t>
            </w:r>
            <w:r>
              <w:rPr>
                <w:rFonts w:hint="eastAsia"/>
                <w:color w:val="111111"/>
                <w:szCs w:val="21"/>
                <w:lang w:eastAsia="zh-CN"/>
              </w:rPr>
              <w:t>；</w:t>
            </w:r>
            <w:r>
              <w:rPr>
                <w:color w:val="111111"/>
                <w:szCs w:val="21"/>
                <w:lang w:eastAsia="zh-CN"/>
              </w:rPr>
              <w:t>并</w:t>
            </w:r>
            <w:r>
              <w:rPr>
                <w:rFonts w:hint="eastAsia"/>
                <w:color w:val="111111"/>
                <w:szCs w:val="21"/>
                <w:lang w:eastAsia="zh-CN"/>
              </w:rPr>
              <w:t>将</w:t>
            </w:r>
            <w:r>
              <w:rPr>
                <w:color w:val="111111"/>
                <w:szCs w:val="21"/>
                <w:lang w:eastAsia="zh-CN"/>
              </w:rPr>
              <w:t>最终批准的电子版及纸质版全套资料交工程技术部存档</w:t>
            </w:r>
            <w:r>
              <w:rPr>
                <w:rFonts w:hint="eastAsia"/>
                <w:color w:val="111111"/>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37"/>
    </w:tbl>
    <w:p>
      <w:pPr>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44" w:name="_Toc113470722"/>
      <w:r>
        <w:rPr>
          <w:rFonts w:hint="eastAsia" w:ascii="Times New Roman" w:hAnsi="Times New Roman"/>
          <w:b/>
          <w:szCs w:val="21"/>
        </w:rPr>
        <w:t>服务要求</w:t>
      </w:r>
      <w:bookmarkEnd w:id="44"/>
    </w:p>
    <w:p>
      <w:pPr>
        <w:pStyle w:val="54"/>
        <w:spacing w:before="0" w:line="360" w:lineRule="auto"/>
        <w:ind w:left="357"/>
        <w:jc w:val="left"/>
        <w:rPr>
          <w:i/>
          <w:color w:val="4472C4"/>
          <w:szCs w:val="21"/>
          <w:lang w:eastAsia="zh-CN"/>
        </w:rPr>
      </w:pPr>
      <w:permStart w:id="38" w:edGrp="everyone"/>
    </w:p>
    <w:permEnd w:id="38"/>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color w:val="0070C0"/>
                <w:szCs w:val="21"/>
                <w:lang w:eastAsia="zh-CN"/>
              </w:rPr>
            </w:pPr>
            <w:r>
              <w:rPr>
                <w:rFonts w:hint="eastAsia"/>
                <w:color w:val="000000"/>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color w:val="0070C0"/>
                <w:szCs w:val="21"/>
                <w:lang w:eastAsia="zh-CN"/>
              </w:rPr>
            </w:pPr>
            <w:r>
              <w:rPr>
                <w:rFonts w:hint="eastAsia"/>
                <w:color w:val="000000"/>
                <w:lang w:eastAsia="zh-CN"/>
              </w:rPr>
              <w:t>生产操作人员培训包括设备结构原理、性能、操作、清洗消毒、故障排除等基本</w:t>
            </w:r>
            <w:r>
              <w:rPr>
                <w:rFonts w:hint="eastAsia"/>
                <w:color w:val="000000"/>
                <w:szCs w:val="21"/>
                <w:lang w:eastAsia="zh-CN"/>
              </w:rPr>
              <w:t>知识</w:t>
            </w:r>
            <w:r>
              <w:rPr>
                <w:rFonts w:hint="eastAsia"/>
                <w:color w:val="000000"/>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color w:val="0070C0"/>
                <w:lang w:eastAsia="zh-CN"/>
              </w:rPr>
            </w:pPr>
            <w:r>
              <w:rPr>
                <w:rFonts w:hint="eastAsia"/>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r>
              <w:rPr>
                <w:rFonts w:hint="eastAsia" w:ascii="宋体" w:hAnsi="宋体"/>
                <w:szCs w:val="21"/>
                <w:lang w:eastAsia="zh-CN"/>
              </w:rPr>
              <w:t>培训应有安全使用和应急处置措施相关的内容。</w:t>
            </w:r>
          </w:p>
        </w:tc>
        <w:tc>
          <w:tcPr>
            <w:tcW w:w="2125"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2" w:edGrp="everyone"/>
          </w:p>
        </w:tc>
        <w:tc>
          <w:tcPr>
            <w:tcW w:w="7128" w:type="dxa"/>
            <w:vAlign w:val="center"/>
          </w:tcPr>
          <w:p>
            <w:pPr>
              <w:pStyle w:val="7"/>
              <w:spacing w:line="360" w:lineRule="auto"/>
              <w:rPr>
                <w:szCs w:val="21"/>
                <w:lang w:eastAsia="zh-CN"/>
              </w:rPr>
            </w:pPr>
            <w:r>
              <w:rPr>
                <w:rFonts w:hint="eastAsia" w:hAnsi="宋体"/>
                <w:bCs/>
                <w:sz w:val="21"/>
                <w:szCs w:val="21"/>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3" w:edGrp="everyone"/>
          </w:p>
        </w:tc>
        <w:tc>
          <w:tcPr>
            <w:tcW w:w="7128" w:type="dxa"/>
            <w:vAlign w:val="center"/>
          </w:tcPr>
          <w:p>
            <w:pPr>
              <w:jc w:val="both"/>
              <w:rPr>
                <w:i/>
                <w:szCs w:val="21"/>
                <w:lang w:eastAsia="zh-CN"/>
              </w:rPr>
            </w:pPr>
            <w:r>
              <w:rPr>
                <w:rFonts w:hint="eastAsia"/>
                <w:szCs w:val="21"/>
                <w:lang w:eastAsia="zh-CN"/>
              </w:rPr>
              <w:t>验证包括：</w:t>
            </w:r>
            <w:r>
              <w:rPr>
                <w:rFonts w:hint="eastAsia" w:ascii="宋体" w:hAnsi="宋体"/>
                <w:szCs w:val="21"/>
                <w:lang w:eastAsia="zh-CN"/>
              </w:rPr>
              <w:t>验证计划、系统评估、计算机化系统评估、风险评估、</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w:t>
            </w:r>
          </w:p>
        </w:tc>
        <w:tc>
          <w:tcPr>
            <w:tcW w:w="2125"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val="en-US" w:eastAsia="zh-CN"/>
              </w:rPr>
              <w:t>供应商</w:t>
            </w:r>
            <w:r>
              <w:rPr>
                <w:rFonts w:hint="eastAsia"/>
                <w:szCs w:val="21"/>
                <w:lang w:eastAsia="zh-CN"/>
              </w:rPr>
              <w:t>按</w:t>
            </w:r>
            <w:r>
              <w:rPr>
                <w:szCs w:val="21"/>
                <w:lang w:eastAsia="zh-CN"/>
              </w:rPr>
              <w:t>GMP</w:t>
            </w:r>
            <w:r>
              <w:rPr>
                <w:rFonts w:hint="eastAsia"/>
                <w:szCs w:val="21"/>
                <w:lang w:eastAsia="zh-CN"/>
              </w:rPr>
              <w:t>规范及</w:t>
            </w:r>
            <w:r>
              <w:rPr>
                <w:szCs w:val="21"/>
                <w:lang w:eastAsia="zh-CN"/>
              </w:rPr>
              <w:t>GAMP5</w:t>
            </w:r>
            <w:r>
              <w:rPr>
                <w:rFonts w:hint="eastAsia"/>
                <w:szCs w:val="21"/>
                <w:lang w:eastAsia="zh-CN"/>
              </w:rPr>
              <w:t>要求完成上述所有验证工作（包括设备及其计算机化系统验证），并提供相应文件（文件必须无条件符合我所</w:t>
            </w:r>
            <w:r>
              <w:rPr>
                <w:szCs w:val="21"/>
                <w:lang w:eastAsia="zh-CN"/>
              </w:rPr>
              <w:t>QA</w:t>
            </w:r>
            <w:r>
              <w:rPr>
                <w:rFonts w:hint="eastAsia"/>
                <w:szCs w:val="21"/>
                <w:lang w:eastAsia="zh-CN"/>
              </w:rPr>
              <w:t>要求）。各验证工作开始前验证方案需经过本公司相关部门审核，并经质量保证部批准。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360" w:lineRule="auto"/>
              <w:rPr>
                <w:rFonts w:ascii="宋体" w:hAnsi="宋体" w:cs="宋体"/>
                <w:szCs w:val="21"/>
                <w:lang w:eastAsia="zh-CN"/>
              </w:rPr>
            </w:pPr>
            <w:r>
              <w:rPr>
                <w:rFonts w:hint="eastAsia" w:ascii="宋体" w:hAnsi="宋体" w:cs="宋体"/>
                <w:szCs w:val="21"/>
                <w:lang w:eastAsia="zh-CN"/>
              </w:rPr>
              <w:t>供应商应派遣具有相应资质的人员进行车间灭菌工艺验证工作。</w:t>
            </w:r>
          </w:p>
        </w:tc>
        <w:tc>
          <w:tcPr>
            <w:tcW w:w="2125" w:type="dxa"/>
            <w:vAlign w:val="center"/>
          </w:tcPr>
          <w:p>
            <w:pPr>
              <w:spacing w:line="360" w:lineRule="auto"/>
              <w:jc w:val="center"/>
              <w:rPr>
                <w:szCs w:val="21"/>
                <w:lang w:eastAsia="zh-CN"/>
              </w:rPr>
            </w:pPr>
            <w:r>
              <w:rPr>
                <w:rFonts w:hint="eastAsia" w:ascii="宋体" w:hAnsi="宋体"/>
                <w:szCs w:val="21"/>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p>
            <w:pPr>
              <w:spacing w:line="276" w:lineRule="auto"/>
              <w:jc w:val="both"/>
              <w:rPr>
                <w:szCs w:val="21"/>
                <w:lang w:eastAsia="zh-CN"/>
              </w:rPr>
            </w:pPr>
            <w:r>
              <w:rPr>
                <w:rFonts w:hint="eastAsia" w:ascii="宋体" w:hAnsi="宋体" w:cs="宋体"/>
                <w:szCs w:val="21"/>
                <w:lang w:eastAsia="zh-CN"/>
              </w:rPr>
              <w:t>供应商应提供验证所需足够数量的消毒剂、指示剂、验证仪器。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验证方案和记录需经本公司相关部门审核，并经质量保证部批准。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360" w:lineRule="auto"/>
              <w:rPr>
                <w:szCs w:val="21"/>
                <w:lang w:eastAsia="zh-CN"/>
              </w:rPr>
            </w:pPr>
            <w:r>
              <w:rPr>
                <w:rFonts w:hint="eastAsia" w:ascii="宋体" w:hAnsi="宋体"/>
                <w:bCs/>
                <w:szCs w:val="21"/>
                <w:lang w:eastAsia="zh-CN"/>
              </w:rPr>
              <w:t>验收前，验证工作已成功完成，验证最终报告已经本公司相关部门审核，并经质量保证部批准。</w:t>
            </w:r>
          </w:p>
        </w:tc>
        <w:tc>
          <w:tcPr>
            <w:tcW w:w="2125" w:type="dxa"/>
            <w:vAlign w:val="center"/>
          </w:tcPr>
          <w:p>
            <w:pPr>
              <w:spacing w:line="360" w:lineRule="auto"/>
              <w:jc w:val="center"/>
              <w:rPr>
                <w:szCs w:val="21"/>
                <w:lang w:eastAsia="zh-CN"/>
              </w:rPr>
            </w:pPr>
            <w:r>
              <w:rPr>
                <w:rFonts w:hint="eastAsia" w:ascii="宋体" w:hAnsi="宋体"/>
                <w:szCs w:val="21"/>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w:t>
            </w:r>
            <w:r>
              <w:rPr>
                <w:rFonts w:hint="eastAsia" w:hAnsi="宋体"/>
                <w:bCs/>
                <w:szCs w:val="21"/>
                <w:lang w:eastAsia="zh-CN"/>
              </w:rPr>
              <w:t>免费保修并免费更换所有配件</w:t>
            </w:r>
            <w:r>
              <w:rPr>
                <w:rFonts w:hint="eastAsia"/>
                <w:szCs w:val="21"/>
                <w:lang w:eastAsia="zh-CN"/>
              </w:rPr>
              <w:t>，一年后应提供良好的售后服务。</w:t>
            </w:r>
          </w:p>
        </w:tc>
        <w:tc>
          <w:tcPr>
            <w:tcW w:w="2125" w:type="dxa"/>
            <w:vAlign w:val="center"/>
          </w:tcPr>
          <w:p>
            <w:pPr>
              <w:jc w:val="center"/>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vAlign w:val="center"/>
          </w:tcPr>
          <w:p>
            <w:pPr>
              <w:jc w:val="center"/>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szCs w:val="21"/>
                <w:lang w:eastAsia="zh-CN"/>
              </w:rPr>
            </w:pPr>
            <w:r>
              <w:rPr>
                <w:rFonts w:hint="eastAsia" w:ascii="宋体" w:hAnsi="宋体"/>
                <w:lang w:eastAsia="zh-CN"/>
              </w:rPr>
              <w:t>供应商应额外提供</w:t>
            </w:r>
            <w:r>
              <w:rPr>
                <w:rFonts w:ascii="宋体" w:hAnsi="宋体"/>
                <w:lang w:eastAsia="zh-CN"/>
              </w:rPr>
              <w:t>2</w:t>
            </w:r>
            <w:r>
              <w:rPr>
                <w:rFonts w:hint="eastAsia" w:ascii="宋体" w:hAnsi="宋体"/>
                <w:lang w:eastAsia="zh-CN"/>
              </w:rPr>
              <w:t>年的设备易损件和维修工具作为设备使用方的备件，清单应列在合同内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pStyle w:val="7"/>
              <w:spacing w:line="360" w:lineRule="auto"/>
              <w:rPr>
                <w:rFonts w:ascii="宋体" w:hAnsi="宋体"/>
                <w:lang w:eastAsia="zh-CN"/>
              </w:rPr>
            </w:pPr>
            <w:r>
              <w:rPr>
                <w:rFonts w:hint="eastAsia" w:hAnsi="宋体"/>
                <w:bCs/>
                <w:sz w:val="21"/>
                <w:szCs w:val="21"/>
                <w:lang w:eastAsia="zh-CN"/>
              </w:rPr>
              <w:t>投标单位需在武汉有售后服务点或者有相关技术人员，并可提供24小时的现场技术支持</w:t>
            </w:r>
          </w:p>
        </w:tc>
        <w:tc>
          <w:tcPr>
            <w:tcW w:w="2125" w:type="dxa"/>
            <w:vAlign w:val="center"/>
          </w:tcPr>
          <w:p>
            <w:pPr>
              <w:spacing w:line="360" w:lineRule="auto"/>
              <w:jc w:val="center"/>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供应商可做到基本配件随时可发货，特殊配件</w:t>
            </w:r>
            <w:r>
              <w:rPr>
                <w:rFonts w:ascii="宋体" w:hAnsi="宋体"/>
                <w:lang w:eastAsia="zh-CN"/>
              </w:rPr>
              <w:t>2</w:t>
            </w:r>
            <w:r>
              <w:rPr>
                <w:rFonts w:hint="eastAsia" w:ascii="宋体" w:hAnsi="宋体"/>
                <w:lang w:eastAsia="zh-CN"/>
              </w:rPr>
              <w:t>周内到货</w:t>
            </w:r>
          </w:p>
        </w:tc>
        <w:tc>
          <w:tcPr>
            <w:tcW w:w="2125" w:type="dxa"/>
            <w:vAlign w:val="center"/>
          </w:tcPr>
          <w:p>
            <w:pPr>
              <w:jc w:val="center"/>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vAlign w:val="center"/>
          </w:tcPr>
          <w:p>
            <w:pPr>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szCs w:val="21"/>
                <w:lang w:eastAsia="zh-CN"/>
              </w:rPr>
            </w:pPr>
            <w:r>
              <w:rPr>
                <w:rFonts w:hint="eastAsia"/>
                <w:szCs w:val="21"/>
                <w:lang w:eastAsia="zh-CN"/>
              </w:rPr>
              <w:t>验收前，调试和验证工作已成功完成，验证最终报告已经本公司相关部门审核，并经质量保证部批准。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验收时，必须完成调试文件，相应的调试和测试项目必须首先完成</w:t>
            </w:r>
          </w:p>
        </w:tc>
        <w:tc>
          <w:tcPr>
            <w:tcW w:w="2125" w:type="dxa"/>
            <w:vAlign w:val="center"/>
          </w:tcPr>
          <w:p>
            <w:pPr>
              <w:jc w:val="center"/>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ascii="宋体" w:hAnsi="宋体"/>
                <w:lang w:eastAsia="zh-CN"/>
              </w:rPr>
              <w:t>验收时，</w:t>
            </w:r>
            <w:r>
              <w:rPr>
                <w:rFonts w:hint="eastAsia" w:ascii="宋体" w:hAnsi="宋体"/>
                <w:szCs w:val="21"/>
                <w:lang w:eastAsia="zh-CN"/>
              </w:rPr>
              <w:t>所有设备安装、调试、验证、试用已完成，并经过用户使用部门及工程部等确认。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5"/>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设备验收时如发现供应商对</w:t>
            </w:r>
            <w:r>
              <w:rPr>
                <w:rFonts w:ascii="宋体" w:hAnsi="宋体"/>
                <w:lang w:eastAsia="zh-CN"/>
              </w:rPr>
              <w:t>URS</w:t>
            </w:r>
            <w:r>
              <w:rPr>
                <w:rFonts w:hint="eastAsia" w:ascii="宋体" w:hAnsi="宋体"/>
                <w:lang w:eastAsia="zh-CN"/>
              </w:rPr>
              <w:t>的响应不完全，甲方有权索赔并拒绝验收</w:t>
            </w:r>
          </w:p>
        </w:tc>
        <w:tc>
          <w:tcPr>
            <w:tcW w:w="2125" w:type="dxa"/>
            <w:vAlign w:val="center"/>
          </w:tcPr>
          <w:p>
            <w:pPr>
              <w:jc w:val="center"/>
              <w:rPr>
                <w:szCs w:val="21"/>
                <w:lang w:eastAsia="zh-CN"/>
              </w:rPr>
            </w:pPr>
            <w:r>
              <w:rPr>
                <w:rFonts w:hint="eastAsia"/>
                <w:szCs w:val="21"/>
                <w:lang w:eastAsia="zh-CN"/>
              </w:rPr>
              <w:t>关键</w:t>
            </w:r>
          </w:p>
        </w:tc>
      </w:tr>
      <w:permEnd w:id="52"/>
    </w:tbl>
    <w:p>
      <w:pPr>
        <w:pStyle w:val="45"/>
        <w:numPr>
          <w:ilvl w:val="0"/>
          <w:numId w:val="0"/>
        </w:numPr>
        <w:spacing w:after="158" w:afterLines="50"/>
        <w:ind w:leftChars="-202"/>
        <w:outlineLvl w:val="0"/>
        <w:rPr>
          <w:rFonts w:ascii="Times New Roman" w:hAnsi="Times New Roman"/>
          <w:b/>
        </w:rPr>
      </w:pPr>
      <w:bookmarkStart w:id="45" w:name="_Toc113470723"/>
      <w:bookmarkStart w:id="46" w:name="_Toc522107746"/>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0"/>
        </w:numPr>
        <w:spacing w:after="158" w:afterLines="50"/>
        <w:ind w:leftChars="-202"/>
        <w:outlineLvl w:val="0"/>
        <w:rPr>
          <w:rFonts w:ascii="Times New Roman" w:hAnsi="Times New Roman"/>
          <w:b/>
        </w:rPr>
      </w:pPr>
    </w:p>
    <w:p>
      <w:pPr>
        <w:pStyle w:val="45"/>
        <w:numPr>
          <w:ilvl w:val="0"/>
          <w:numId w:val="3"/>
        </w:numPr>
        <w:spacing w:after="158" w:afterLines="50"/>
        <w:ind w:left="426" w:hanging="426" w:hangingChars="202"/>
        <w:outlineLvl w:val="0"/>
        <w:rPr>
          <w:rFonts w:ascii="Times New Roman" w:hAnsi="Times New Roman"/>
          <w:b/>
        </w:rPr>
      </w:pPr>
      <w:r>
        <w:rPr>
          <w:rFonts w:hint="eastAsia" w:ascii="Times New Roman" w:hAnsi="Times New Roman"/>
          <w:b/>
        </w:rPr>
        <w:t>附件</w:t>
      </w:r>
      <w:bookmarkEnd w:id="28"/>
      <w:bookmarkEnd w:id="29"/>
      <w:bookmarkEnd w:id="30"/>
      <w:bookmarkEnd w:id="31"/>
      <w:bookmarkEnd w:id="32"/>
      <w:bookmarkEnd w:id="33"/>
      <w:bookmarkEnd w:id="34"/>
      <w:bookmarkEnd w:id="35"/>
      <w:bookmarkEnd w:id="36"/>
      <w:bookmarkEnd w:id="37"/>
      <w:bookmarkEnd w:id="38"/>
      <w:bookmarkEnd w:id="39"/>
      <w:bookmarkEnd w:id="45"/>
      <w:bookmarkEnd w:id="46"/>
    </w:p>
    <w:p>
      <w:pPr>
        <w:pStyle w:val="45"/>
        <w:numPr>
          <w:ilvl w:val="0"/>
          <w:numId w:val="0"/>
        </w:numPr>
        <w:spacing w:after="158" w:afterLines="50"/>
        <w:outlineLvl w:val="0"/>
        <w:rPr>
          <w:rFonts w:ascii="Times New Roman" w:hAnsi="Times New Roman"/>
          <w:b/>
        </w:rPr>
      </w:pPr>
      <w:r>
        <w:rPr>
          <w:rFonts w:hint="eastAsia" w:ascii="宋体" w:hAnsi="宋体" w:eastAsia="宋体" w:cs="Times New Roman"/>
          <w:kern w:val="0"/>
          <w:sz w:val="21"/>
          <w:szCs w:val="21"/>
          <w:lang w:val="en-US" w:eastAsia="zh-CN" w:bidi="ar-SA"/>
        </w:rPr>
        <w:t>毓晋楼纯化疫苗分装车间布局图：</w:t>
      </w:r>
      <w:r>
        <w:rPr>
          <w:rFonts w:hint="eastAsia" w:ascii="宋体" w:hAnsi="宋体"/>
          <w:szCs w:val="21"/>
        </w:rPr>
        <w:t>（红色区域为灭菌区域）</w:t>
      </w:r>
    </w:p>
    <w:p>
      <w:pPr>
        <w:rPr>
          <w:rFonts w:hint="eastAsia" w:eastAsia="宋体"/>
          <w:u w:val="single"/>
          <w:lang w:eastAsia="zh-CN"/>
        </w:rPr>
      </w:pPr>
      <w:r>
        <w:rPr>
          <w:rFonts w:hint="eastAsia" w:eastAsia="宋体"/>
          <w:u w:val="single"/>
          <w:lang w:eastAsia="zh-CN"/>
        </w:rPr>
        <w:drawing>
          <wp:inline distT="0" distB="0" distL="114300" distR="114300">
            <wp:extent cx="6564630" cy="4522470"/>
            <wp:effectExtent l="0" t="0" r="7620" b="1905"/>
            <wp:docPr id="3" name="图片 3" descr="截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1"/>
                    <pic:cNvPicPr>
                      <a:picLocks noChangeAspect="1"/>
                    </pic:cNvPicPr>
                  </pic:nvPicPr>
                  <pic:blipFill>
                    <a:blip r:embed="rId5"/>
                    <a:stretch>
                      <a:fillRect/>
                    </a:stretch>
                  </pic:blipFill>
                  <pic:spPr>
                    <a:xfrm>
                      <a:off x="0" y="0"/>
                      <a:ext cx="6564630" cy="4522470"/>
                    </a:xfrm>
                    <a:prstGeom prst="rect">
                      <a:avLst/>
                    </a:prstGeom>
                  </pic:spPr>
                </pic:pic>
              </a:graphicData>
            </a:graphic>
          </wp:inline>
        </w:drawing>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54B36"/>
    <w:multiLevelType w:val="singleLevel"/>
    <w:tmpl w:val="AD954B36"/>
    <w:lvl w:ilvl="0" w:tentative="0">
      <w:start w:val="1"/>
      <w:numFmt w:val="decimal"/>
      <w:lvlText w:val="(%1)"/>
      <w:lvlJc w:val="left"/>
      <w:pPr>
        <w:ind w:left="425" w:hanging="425"/>
      </w:pPr>
      <w:rPr>
        <w:rFonts w:hint="default" w:ascii="宋体" w:hAnsi="宋体" w:eastAsia="宋体"/>
        <w:sz w:val="21"/>
        <w:szCs w:val="21"/>
      </w:rPr>
    </w:lvl>
  </w:abstractNum>
  <w:abstractNum w:abstractNumId="1">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3">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16D341CC"/>
    <w:multiLevelType w:val="multilevel"/>
    <w:tmpl w:val="16D341CC"/>
    <w:lvl w:ilvl="0" w:tentative="0">
      <w:start w:val="1"/>
      <w:numFmt w:val="decimal"/>
      <w:lvlText w:val="URS %1"/>
      <w:lvlJc w:val="left"/>
      <w:pPr>
        <w:ind w:left="846" w:hanging="420"/>
      </w:pPr>
      <w:rPr>
        <w:rFonts w:hint="eastAsia" w:cs="Times New Roman"/>
        <w:color w:val="auto"/>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8">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686546ED"/>
    <w:multiLevelType w:val="multilevel"/>
    <w:tmpl w:val="686546ED"/>
    <w:lvl w:ilvl="0" w:tentative="0">
      <w:start w:val="1"/>
      <w:numFmt w:val="decimal"/>
      <w:pStyle w:val="50"/>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2"/>
  </w:num>
  <w:num w:numId="2">
    <w:abstractNumId w:val="11"/>
  </w:num>
  <w:num w:numId="3">
    <w:abstractNumId w:val="7"/>
  </w:num>
  <w:num w:numId="4">
    <w:abstractNumId w:val="10"/>
  </w:num>
  <w:num w:numId="5">
    <w:abstractNumId w:val="6"/>
  </w:num>
  <w:num w:numId="6">
    <w:abstractNumId w:val="1"/>
  </w:num>
  <w:num w:numId="7">
    <w:abstractNumId w:val="5"/>
  </w:num>
  <w:num w:numId="8">
    <w:abstractNumId w:val="4"/>
  </w:num>
  <w:num w:numId="9">
    <w:abstractNumId w:val="8"/>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0311"/>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35"/>
    <w:rsid w:val="000355F3"/>
    <w:rsid w:val="00037987"/>
    <w:rsid w:val="00037F15"/>
    <w:rsid w:val="00037F55"/>
    <w:rsid w:val="000404F1"/>
    <w:rsid w:val="00041104"/>
    <w:rsid w:val="00041318"/>
    <w:rsid w:val="000419D7"/>
    <w:rsid w:val="00041A2A"/>
    <w:rsid w:val="00041D89"/>
    <w:rsid w:val="00044DFD"/>
    <w:rsid w:val="000467C2"/>
    <w:rsid w:val="00046B5E"/>
    <w:rsid w:val="00047038"/>
    <w:rsid w:val="00047BA8"/>
    <w:rsid w:val="00047CAF"/>
    <w:rsid w:val="0005299A"/>
    <w:rsid w:val="00053A4C"/>
    <w:rsid w:val="00054BB1"/>
    <w:rsid w:val="00055324"/>
    <w:rsid w:val="00055ED6"/>
    <w:rsid w:val="00056478"/>
    <w:rsid w:val="00056AE2"/>
    <w:rsid w:val="00056E9E"/>
    <w:rsid w:val="00057046"/>
    <w:rsid w:val="000576C2"/>
    <w:rsid w:val="00063572"/>
    <w:rsid w:val="00063B90"/>
    <w:rsid w:val="00064A43"/>
    <w:rsid w:val="000662D2"/>
    <w:rsid w:val="00071DD4"/>
    <w:rsid w:val="000721E9"/>
    <w:rsid w:val="00072340"/>
    <w:rsid w:val="00072945"/>
    <w:rsid w:val="00073B81"/>
    <w:rsid w:val="0007673E"/>
    <w:rsid w:val="00077AE1"/>
    <w:rsid w:val="00080EC5"/>
    <w:rsid w:val="000818AC"/>
    <w:rsid w:val="00082C13"/>
    <w:rsid w:val="00083D58"/>
    <w:rsid w:val="000844A8"/>
    <w:rsid w:val="00084F90"/>
    <w:rsid w:val="00086CA0"/>
    <w:rsid w:val="00087002"/>
    <w:rsid w:val="000872FD"/>
    <w:rsid w:val="00091715"/>
    <w:rsid w:val="00092C03"/>
    <w:rsid w:val="00096510"/>
    <w:rsid w:val="00097A7D"/>
    <w:rsid w:val="00097CA2"/>
    <w:rsid w:val="000A0E93"/>
    <w:rsid w:val="000A1D9E"/>
    <w:rsid w:val="000A2664"/>
    <w:rsid w:val="000A2C3C"/>
    <w:rsid w:val="000A41DA"/>
    <w:rsid w:val="000A55CC"/>
    <w:rsid w:val="000A5CEE"/>
    <w:rsid w:val="000A6423"/>
    <w:rsid w:val="000A6661"/>
    <w:rsid w:val="000B02ED"/>
    <w:rsid w:val="000B02FD"/>
    <w:rsid w:val="000B068C"/>
    <w:rsid w:val="000B116E"/>
    <w:rsid w:val="000B417D"/>
    <w:rsid w:val="000B45E0"/>
    <w:rsid w:val="000B4EC4"/>
    <w:rsid w:val="000B5888"/>
    <w:rsid w:val="000C0A41"/>
    <w:rsid w:val="000C0DD3"/>
    <w:rsid w:val="000C0FA5"/>
    <w:rsid w:val="000C3C81"/>
    <w:rsid w:val="000C41B6"/>
    <w:rsid w:val="000C7137"/>
    <w:rsid w:val="000D112B"/>
    <w:rsid w:val="000D1A79"/>
    <w:rsid w:val="000D36AC"/>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531"/>
    <w:rsid w:val="000F706D"/>
    <w:rsid w:val="000F7CA7"/>
    <w:rsid w:val="001003A8"/>
    <w:rsid w:val="00100F65"/>
    <w:rsid w:val="0010110F"/>
    <w:rsid w:val="00102DC9"/>
    <w:rsid w:val="001031DF"/>
    <w:rsid w:val="00103F05"/>
    <w:rsid w:val="00104160"/>
    <w:rsid w:val="0010503D"/>
    <w:rsid w:val="00106124"/>
    <w:rsid w:val="00106571"/>
    <w:rsid w:val="00106B5D"/>
    <w:rsid w:val="00110CF0"/>
    <w:rsid w:val="001120B7"/>
    <w:rsid w:val="0011231F"/>
    <w:rsid w:val="00112670"/>
    <w:rsid w:val="00112DD4"/>
    <w:rsid w:val="00112F30"/>
    <w:rsid w:val="00113186"/>
    <w:rsid w:val="00114353"/>
    <w:rsid w:val="001144F0"/>
    <w:rsid w:val="00115728"/>
    <w:rsid w:val="001163FC"/>
    <w:rsid w:val="00116F39"/>
    <w:rsid w:val="00117A01"/>
    <w:rsid w:val="00121B6E"/>
    <w:rsid w:val="00122051"/>
    <w:rsid w:val="00124244"/>
    <w:rsid w:val="00124AC7"/>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074"/>
    <w:rsid w:val="00182A27"/>
    <w:rsid w:val="00184DDD"/>
    <w:rsid w:val="00184FFD"/>
    <w:rsid w:val="00185449"/>
    <w:rsid w:val="00186314"/>
    <w:rsid w:val="00187B04"/>
    <w:rsid w:val="00190000"/>
    <w:rsid w:val="001929C2"/>
    <w:rsid w:val="00192B8F"/>
    <w:rsid w:val="00193D66"/>
    <w:rsid w:val="00194BB7"/>
    <w:rsid w:val="001A1DE7"/>
    <w:rsid w:val="001A3BB0"/>
    <w:rsid w:val="001A4151"/>
    <w:rsid w:val="001A4947"/>
    <w:rsid w:val="001A64C0"/>
    <w:rsid w:val="001A685F"/>
    <w:rsid w:val="001A7EB6"/>
    <w:rsid w:val="001A7FE4"/>
    <w:rsid w:val="001B0278"/>
    <w:rsid w:val="001B1659"/>
    <w:rsid w:val="001B28C8"/>
    <w:rsid w:val="001B4654"/>
    <w:rsid w:val="001C017B"/>
    <w:rsid w:val="001C239E"/>
    <w:rsid w:val="001C2D7E"/>
    <w:rsid w:val="001C7475"/>
    <w:rsid w:val="001D1FA0"/>
    <w:rsid w:val="001D32D4"/>
    <w:rsid w:val="001D3C96"/>
    <w:rsid w:val="001D4383"/>
    <w:rsid w:val="001D4742"/>
    <w:rsid w:val="001D474B"/>
    <w:rsid w:val="001D48B0"/>
    <w:rsid w:val="001D4DFC"/>
    <w:rsid w:val="001D5549"/>
    <w:rsid w:val="001D55FB"/>
    <w:rsid w:val="001E0376"/>
    <w:rsid w:val="001E13E0"/>
    <w:rsid w:val="001E2B2B"/>
    <w:rsid w:val="001E353E"/>
    <w:rsid w:val="001E3CBE"/>
    <w:rsid w:val="001E51A5"/>
    <w:rsid w:val="001E5657"/>
    <w:rsid w:val="001E5F94"/>
    <w:rsid w:val="001E6BFB"/>
    <w:rsid w:val="001E744F"/>
    <w:rsid w:val="001F065A"/>
    <w:rsid w:val="001F1FE7"/>
    <w:rsid w:val="001F25DD"/>
    <w:rsid w:val="001F3552"/>
    <w:rsid w:val="001F473D"/>
    <w:rsid w:val="001F4BFD"/>
    <w:rsid w:val="001F7405"/>
    <w:rsid w:val="001F7E95"/>
    <w:rsid w:val="0020063E"/>
    <w:rsid w:val="0020132B"/>
    <w:rsid w:val="00201487"/>
    <w:rsid w:val="002035EB"/>
    <w:rsid w:val="00203D68"/>
    <w:rsid w:val="0020539A"/>
    <w:rsid w:val="00205E00"/>
    <w:rsid w:val="00206107"/>
    <w:rsid w:val="002070B2"/>
    <w:rsid w:val="0020756B"/>
    <w:rsid w:val="00210177"/>
    <w:rsid w:val="00212297"/>
    <w:rsid w:val="002129BC"/>
    <w:rsid w:val="00212BD9"/>
    <w:rsid w:val="00213AA9"/>
    <w:rsid w:val="002168FE"/>
    <w:rsid w:val="00216D00"/>
    <w:rsid w:val="00217048"/>
    <w:rsid w:val="002174E3"/>
    <w:rsid w:val="002178C5"/>
    <w:rsid w:val="00220757"/>
    <w:rsid w:val="00222993"/>
    <w:rsid w:val="00223661"/>
    <w:rsid w:val="00224129"/>
    <w:rsid w:val="00225DD2"/>
    <w:rsid w:val="002279A2"/>
    <w:rsid w:val="00227A0D"/>
    <w:rsid w:val="002320D9"/>
    <w:rsid w:val="00233908"/>
    <w:rsid w:val="00234C07"/>
    <w:rsid w:val="002355FF"/>
    <w:rsid w:val="002367A6"/>
    <w:rsid w:val="00236BE9"/>
    <w:rsid w:val="00237E6C"/>
    <w:rsid w:val="00240A09"/>
    <w:rsid w:val="00240B1E"/>
    <w:rsid w:val="00241437"/>
    <w:rsid w:val="002415FB"/>
    <w:rsid w:val="00245088"/>
    <w:rsid w:val="00253242"/>
    <w:rsid w:val="002547BF"/>
    <w:rsid w:val="002548CA"/>
    <w:rsid w:val="0025531B"/>
    <w:rsid w:val="002560F9"/>
    <w:rsid w:val="00257517"/>
    <w:rsid w:val="00257FA9"/>
    <w:rsid w:val="002613F0"/>
    <w:rsid w:val="00261CD0"/>
    <w:rsid w:val="00261F30"/>
    <w:rsid w:val="002637FB"/>
    <w:rsid w:val="00263CB5"/>
    <w:rsid w:val="0026571F"/>
    <w:rsid w:val="0027137F"/>
    <w:rsid w:val="002723D2"/>
    <w:rsid w:val="002732E5"/>
    <w:rsid w:val="002745D9"/>
    <w:rsid w:val="00274823"/>
    <w:rsid w:val="00274DFC"/>
    <w:rsid w:val="0027577D"/>
    <w:rsid w:val="00275F43"/>
    <w:rsid w:val="002810E3"/>
    <w:rsid w:val="00282EAA"/>
    <w:rsid w:val="0028384D"/>
    <w:rsid w:val="002845E4"/>
    <w:rsid w:val="0028525D"/>
    <w:rsid w:val="002860DB"/>
    <w:rsid w:val="002862E8"/>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2C95"/>
    <w:rsid w:val="002B480A"/>
    <w:rsid w:val="002B669E"/>
    <w:rsid w:val="002B67A2"/>
    <w:rsid w:val="002B6854"/>
    <w:rsid w:val="002C1817"/>
    <w:rsid w:val="002C1DAB"/>
    <w:rsid w:val="002C4FCF"/>
    <w:rsid w:val="002C527C"/>
    <w:rsid w:val="002D0253"/>
    <w:rsid w:val="002D03CD"/>
    <w:rsid w:val="002D2477"/>
    <w:rsid w:val="002D2AAB"/>
    <w:rsid w:val="002D2BE7"/>
    <w:rsid w:val="002D691F"/>
    <w:rsid w:val="002D6A50"/>
    <w:rsid w:val="002D6D1C"/>
    <w:rsid w:val="002E1D21"/>
    <w:rsid w:val="002E2798"/>
    <w:rsid w:val="002E3B36"/>
    <w:rsid w:val="002E4F75"/>
    <w:rsid w:val="002E59BF"/>
    <w:rsid w:val="002E63F6"/>
    <w:rsid w:val="002E69A1"/>
    <w:rsid w:val="002F1C5E"/>
    <w:rsid w:val="002F1D63"/>
    <w:rsid w:val="002F2B48"/>
    <w:rsid w:val="002F340E"/>
    <w:rsid w:val="002F4392"/>
    <w:rsid w:val="002F4641"/>
    <w:rsid w:val="002F4B22"/>
    <w:rsid w:val="002F5F64"/>
    <w:rsid w:val="002F61D2"/>
    <w:rsid w:val="00302176"/>
    <w:rsid w:val="00302AF8"/>
    <w:rsid w:val="003030A1"/>
    <w:rsid w:val="00303D24"/>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532"/>
    <w:rsid w:val="00330D16"/>
    <w:rsid w:val="00330FFF"/>
    <w:rsid w:val="00333421"/>
    <w:rsid w:val="00333A6B"/>
    <w:rsid w:val="00333C91"/>
    <w:rsid w:val="0033695C"/>
    <w:rsid w:val="00341B2F"/>
    <w:rsid w:val="00342915"/>
    <w:rsid w:val="00344B04"/>
    <w:rsid w:val="00345847"/>
    <w:rsid w:val="00347576"/>
    <w:rsid w:val="00347772"/>
    <w:rsid w:val="00347A51"/>
    <w:rsid w:val="00347B19"/>
    <w:rsid w:val="003531FA"/>
    <w:rsid w:val="0035416F"/>
    <w:rsid w:val="003549FE"/>
    <w:rsid w:val="00354F65"/>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2C5A"/>
    <w:rsid w:val="00393529"/>
    <w:rsid w:val="00393B6A"/>
    <w:rsid w:val="003946C3"/>
    <w:rsid w:val="00395CE1"/>
    <w:rsid w:val="00395D47"/>
    <w:rsid w:val="00396425"/>
    <w:rsid w:val="003970BE"/>
    <w:rsid w:val="00397C18"/>
    <w:rsid w:val="003A04A8"/>
    <w:rsid w:val="003A1311"/>
    <w:rsid w:val="003A2EC5"/>
    <w:rsid w:val="003A38BC"/>
    <w:rsid w:val="003A3AAC"/>
    <w:rsid w:val="003A4CAE"/>
    <w:rsid w:val="003A6DFE"/>
    <w:rsid w:val="003A6FCD"/>
    <w:rsid w:val="003B096A"/>
    <w:rsid w:val="003B0B6A"/>
    <w:rsid w:val="003B1FF2"/>
    <w:rsid w:val="003B2104"/>
    <w:rsid w:val="003B2160"/>
    <w:rsid w:val="003B354C"/>
    <w:rsid w:val="003B355B"/>
    <w:rsid w:val="003B4A5D"/>
    <w:rsid w:val="003B5047"/>
    <w:rsid w:val="003B6A6F"/>
    <w:rsid w:val="003B6E29"/>
    <w:rsid w:val="003B73AB"/>
    <w:rsid w:val="003C02C6"/>
    <w:rsid w:val="003C03D7"/>
    <w:rsid w:val="003C0712"/>
    <w:rsid w:val="003C5198"/>
    <w:rsid w:val="003C558E"/>
    <w:rsid w:val="003C6ECF"/>
    <w:rsid w:val="003C73BC"/>
    <w:rsid w:val="003D2243"/>
    <w:rsid w:val="003D3C09"/>
    <w:rsid w:val="003D464A"/>
    <w:rsid w:val="003D4EFF"/>
    <w:rsid w:val="003D5F4A"/>
    <w:rsid w:val="003D662C"/>
    <w:rsid w:val="003D77E5"/>
    <w:rsid w:val="003E205E"/>
    <w:rsid w:val="003E49F8"/>
    <w:rsid w:val="003E5109"/>
    <w:rsid w:val="003E60EE"/>
    <w:rsid w:val="003E6B48"/>
    <w:rsid w:val="003E748F"/>
    <w:rsid w:val="003F3F47"/>
    <w:rsid w:val="003F6E0C"/>
    <w:rsid w:val="004003A8"/>
    <w:rsid w:val="00400A96"/>
    <w:rsid w:val="0040240E"/>
    <w:rsid w:val="00402756"/>
    <w:rsid w:val="004058B0"/>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9A2"/>
    <w:rsid w:val="00436C7C"/>
    <w:rsid w:val="00437440"/>
    <w:rsid w:val="00440378"/>
    <w:rsid w:val="00442B53"/>
    <w:rsid w:val="00443039"/>
    <w:rsid w:val="00443256"/>
    <w:rsid w:val="00444D2D"/>
    <w:rsid w:val="00445767"/>
    <w:rsid w:val="004510B1"/>
    <w:rsid w:val="00451C5D"/>
    <w:rsid w:val="00451D74"/>
    <w:rsid w:val="00452E73"/>
    <w:rsid w:val="004541F3"/>
    <w:rsid w:val="004565EF"/>
    <w:rsid w:val="00457A6D"/>
    <w:rsid w:val="00457FA3"/>
    <w:rsid w:val="00457FF9"/>
    <w:rsid w:val="004601ED"/>
    <w:rsid w:val="00460711"/>
    <w:rsid w:val="0046108B"/>
    <w:rsid w:val="00467AE6"/>
    <w:rsid w:val="00467EC9"/>
    <w:rsid w:val="00476DA7"/>
    <w:rsid w:val="00477791"/>
    <w:rsid w:val="00480286"/>
    <w:rsid w:val="00480C3B"/>
    <w:rsid w:val="00480FE3"/>
    <w:rsid w:val="00481C94"/>
    <w:rsid w:val="00484A8D"/>
    <w:rsid w:val="00486A4E"/>
    <w:rsid w:val="00486B09"/>
    <w:rsid w:val="00491225"/>
    <w:rsid w:val="0049139F"/>
    <w:rsid w:val="004926D0"/>
    <w:rsid w:val="00493743"/>
    <w:rsid w:val="004937C7"/>
    <w:rsid w:val="00494F07"/>
    <w:rsid w:val="00496116"/>
    <w:rsid w:val="004965A0"/>
    <w:rsid w:val="00497335"/>
    <w:rsid w:val="004A05A7"/>
    <w:rsid w:val="004A3F98"/>
    <w:rsid w:val="004A5532"/>
    <w:rsid w:val="004A5958"/>
    <w:rsid w:val="004A76DF"/>
    <w:rsid w:val="004B067C"/>
    <w:rsid w:val="004B0A75"/>
    <w:rsid w:val="004B2190"/>
    <w:rsid w:val="004B696A"/>
    <w:rsid w:val="004B69B2"/>
    <w:rsid w:val="004B7507"/>
    <w:rsid w:val="004B7DC4"/>
    <w:rsid w:val="004B7F85"/>
    <w:rsid w:val="004C0219"/>
    <w:rsid w:val="004C099B"/>
    <w:rsid w:val="004C0CFC"/>
    <w:rsid w:val="004C42AE"/>
    <w:rsid w:val="004C49B0"/>
    <w:rsid w:val="004C4F53"/>
    <w:rsid w:val="004C4F7F"/>
    <w:rsid w:val="004C592E"/>
    <w:rsid w:val="004D050F"/>
    <w:rsid w:val="004D0E3A"/>
    <w:rsid w:val="004D1A73"/>
    <w:rsid w:val="004D360D"/>
    <w:rsid w:val="004D48C2"/>
    <w:rsid w:val="004D67B1"/>
    <w:rsid w:val="004D7128"/>
    <w:rsid w:val="004D751D"/>
    <w:rsid w:val="004E05C2"/>
    <w:rsid w:val="004E0B02"/>
    <w:rsid w:val="004E0C0D"/>
    <w:rsid w:val="004E0CA6"/>
    <w:rsid w:val="004E1C74"/>
    <w:rsid w:val="004E255F"/>
    <w:rsid w:val="004E4C2D"/>
    <w:rsid w:val="004F0539"/>
    <w:rsid w:val="004F10A4"/>
    <w:rsid w:val="004F342E"/>
    <w:rsid w:val="004F469C"/>
    <w:rsid w:val="004F4C63"/>
    <w:rsid w:val="004F5AE6"/>
    <w:rsid w:val="004F5C19"/>
    <w:rsid w:val="004F7167"/>
    <w:rsid w:val="004F7B6A"/>
    <w:rsid w:val="004F7ECC"/>
    <w:rsid w:val="0050090F"/>
    <w:rsid w:val="0050208D"/>
    <w:rsid w:val="0050284B"/>
    <w:rsid w:val="00502F99"/>
    <w:rsid w:val="00504B71"/>
    <w:rsid w:val="005072E8"/>
    <w:rsid w:val="00507991"/>
    <w:rsid w:val="00507C94"/>
    <w:rsid w:val="00507EB2"/>
    <w:rsid w:val="00510111"/>
    <w:rsid w:val="00511AB4"/>
    <w:rsid w:val="00512690"/>
    <w:rsid w:val="00512A4E"/>
    <w:rsid w:val="00514EA4"/>
    <w:rsid w:val="00514FD3"/>
    <w:rsid w:val="00516BB4"/>
    <w:rsid w:val="00517A5D"/>
    <w:rsid w:val="00517E1E"/>
    <w:rsid w:val="005217E8"/>
    <w:rsid w:val="005220FE"/>
    <w:rsid w:val="005247DE"/>
    <w:rsid w:val="00525C58"/>
    <w:rsid w:val="00527A49"/>
    <w:rsid w:val="00530B8F"/>
    <w:rsid w:val="00531434"/>
    <w:rsid w:val="00531754"/>
    <w:rsid w:val="00534840"/>
    <w:rsid w:val="00534D08"/>
    <w:rsid w:val="00535984"/>
    <w:rsid w:val="00536973"/>
    <w:rsid w:val="00536C6B"/>
    <w:rsid w:val="005424BC"/>
    <w:rsid w:val="00544652"/>
    <w:rsid w:val="0054625B"/>
    <w:rsid w:val="00551539"/>
    <w:rsid w:val="00551A74"/>
    <w:rsid w:val="00552EFE"/>
    <w:rsid w:val="00554ABB"/>
    <w:rsid w:val="0055552D"/>
    <w:rsid w:val="00555668"/>
    <w:rsid w:val="0055679E"/>
    <w:rsid w:val="0056090D"/>
    <w:rsid w:val="00561E9C"/>
    <w:rsid w:val="00565C7A"/>
    <w:rsid w:val="00567E14"/>
    <w:rsid w:val="005705A7"/>
    <w:rsid w:val="005705C6"/>
    <w:rsid w:val="005712E0"/>
    <w:rsid w:val="0057277E"/>
    <w:rsid w:val="00572F0E"/>
    <w:rsid w:val="00574095"/>
    <w:rsid w:val="00574D60"/>
    <w:rsid w:val="00575318"/>
    <w:rsid w:val="00577142"/>
    <w:rsid w:val="005773E5"/>
    <w:rsid w:val="00580D1F"/>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814"/>
    <w:rsid w:val="00597FCC"/>
    <w:rsid w:val="005A132A"/>
    <w:rsid w:val="005A3067"/>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0AEC"/>
    <w:rsid w:val="00606E32"/>
    <w:rsid w:val="00607170"/>
    <w:rsid w:val="00607408"/>
    <w:rsid w:val="00610AEE"/>
    <w:rsid w:val="00610EE9"/>
    <w:rsid w:val="006111B2"/>
    <w:rsid w:val="00616BAC"/>
    <w:rsid w:val="00620598"/>
    <w:rsid w:val="00620FEC"/>
    <w:rsid w:val="006214DC"/>
    <w:rsid w:val="006215E2"/>
    <w:rsid w:val="0062168F"/>
    <w:rsid w:val="006221A2"/>
    <w:rsid w:val="00625A0E"/>
    <w:rsid w:val="00627113"/>
    <w:rsid w:val="00627B8B"/>
    <w:rsid w:val="00627E72"/>
    <w:rsid w:val="0063106D"/>
    <w:rsid w:val="006312FF"/>
    <w:rsid w:val="00632136"/>
    <w:rsid w:val="006324C1"/>
    <w:rsid w:val="00632C67"/>
    <w:rsid w:val="006331B6"/>
    <w:rsid w:val="00633310"/>
    <w:rsid w:val="00633315"/>
    <w:rsid w:val="0063397D"/>
    <w:rsid w:val="00635E2B"/>
    <w:rsid w:val="006366CC"/>
    <w:rsid w:val="00637C16"/>
    <w:rsid w:val="0064048E"/>
    <w:rsid w:val="00641320"/>
    <w:rsid w:val="00641E74"/>
    <w:rsid w:val="006434E3"/>
    <w:rsid w:val="0064366A"/>
    <w:rsid w:val="00645188"/>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6249"/>
    <w:rsid w:val="00667045"/>
    <w:rsid w:val="00670A00"/>
    <w:rsid w:val="00670C23"/>
    <w:rsid w:val="00671B3F"/>
    <w:rsid w:val="00672B86"/>
    <w:rsid w:val="00673031"/>
    <w:rsid w:val="00673EB3"/>
    <w:rsid w:val="00677894"/>
    <w:rsid w:val="00680BE8"/>
    <w:rsid w:val="006853C1"/>
    <w:rsid w:val="00686409"/>
    <w:rsid w:val="00686D19"/>
    <w:rsid w:val="0068777F"/>
    <w:rsid w:val="00693018"/>
    <w:rsid w:val="00693CFB"/>
    <w:rsid w:val="006A0059"/>
    <w:rsid w:val="006A4D44"/>
    <w:rsid w:val="006A4E99"/>
    <w:rsid w:val="006A56E3"/>
    <w:rsid w:val="006A7425"/>
    <w:rsid w:val="006B058A"/>
    <w:rsid w:val="006B1299"/>
    <w:rsid w:val="006B26D9"/>
    <w:rsid w:val="006B28C8"/>
    <w:rsid w:val="006B310C"/>
    <w:rsid w:val="006B664C"/>
    <w:rsid w:val="006B77C6"/>
    <w:rsid w:val="006C1125"/>
    <w:rsid w:val="006C1C83"/>
    <w:rsid w:val="006C2563"/>
    <w:rsid w:val="006C3E78"/>
    <w:rsid w:val="006C54E6"/>
    <w:rsid w:val="006C5762"/>
    <w:rsid w:val="006C690D"/>
    <w:rsid w:val="006C6F7A"/>
    <w:rsid w:val="006D149F"/>
    <w:rsid w:val="006D21AB"/>
    <w:rsid w:val="006D3396"/>
    <w:rsid w:val="006D5AFF"/>
    <w:rsid w:val="006E050C"/>
    <w:rsid w:val="006E152B"/>
    <w:rsid w:val="006E36D1"/>
    <w:rsid w:val="006E4002"/>
    <w:rsid w:val="006E4DB6"/>
    <w:rsid w:val="006E622E"/>
    <w:rsid w:val="006E7938"/>
    <w:rsid w:val="006E79FB"/>
    <w:rsid w:val="006F229A"/>
    <w:rsid w:val="006F3BB9"/>
    <w:rsid w:val="006F4AA6"/>
    <w:rsid w:val="006F4F1B"/>
    <w:rsid w:val="006F6671"/>
    <w:rsid w:val="006F7AE5"/>
    <w:rsid w:val="007007FA"/>
    <w:rsid w:val="007036CA"/>
    <w:rsid w:val="007041CB"/>
    <w:rsid w:val="00705090"/>
    <w:rsid w:val="00705102"/>
    <w:rsid w:val="00705DDB"/>
    <w:rsid w:val="0070675E"/>
    <w:rsid w:val="00706A0E"/>
    <w:rsid w:val="00707415"/>
    <w:rsid w:val="00710573"/>
    <w:rsid w:val="00710808"/>
    <w:rsid w:val="007116CB"/>
    <w:rsid w:val="0071211E"/>
    <w:rsid w:val="00712B1B"/>
    <w:rsid w:val="0071622D"/>
    <w:rsid w:val="007168CC"/>
    <w:rsid w:val="007176BB"/>
    <w:rsid w:val="00717811"/>
    <w:rsid w:val="00720A17"/>
    <w:rsid w:val="00720D4B"/>
    <w:rsid w:val="007227E6"/>
    <w:rsid w:val="00723A0F"/>
    <w:rsid w:val="00726CB6"/>
    <w:rsid w:val="00727255"/>
    <w:rsid w:val="0072779B"/>
    <w:rsid w:val="00727CCF"/>
    <w:rsid w:val="0073101E"/>
    <w:rsid w:val="0073446D"/>
    <w:rsid w:val="007349FF"/>
    <w:rsid w:val="00734B45"/>
    <w:rsid w:val="00736FFB"/>
    <w:rsid w:val="00740080"/>
    <w:rsid w:val="00741443"/>
    <w:rsid w:val="00741A30"/>
    <w:rsid w:val="00743C0D"/>
    <w:rsid w:val="007504DC"/>
    <w:rsid w:val="0075142F"/>
    <w:rsid w:val="00751965"/>
    <w:rsid w:val="007524EF"/>
    <w:rsid w:val="00752689"/>
    <w:rsid w:val="00755309"/>
    <w:rsid w:val="00756C4D"/>
    <w:rsid w:val="00756D1D"/>
    <w:rsid w:val="00757C5D"/>
    <w:rsid w:val="00760886"/>
    <w:rsid w:val="007615CA"/>
    <w:rsid w:val="00761ADD"/>
    <w:rsid w:val="00762B3A"/>
    <w:rsid w:val="00765D6E"/>
    <w:rsid w:val="00765D7E"/>
    <w:rsid w:val="007674B6"/>
    <w:rsid w:val="00770E90"/>
    <w:rsid w:val="00772C42"/>
    <w:rsid w:val="0077302F"/>
    <w:rsid w:val="00773661"/>
    <w:rsid w:val="00774A61"/>
    <w:rsid w:val="00774CCA"/>
    <w:rsid w:val="00774E08"/>
    <w:rsid w:val="00774E72"/>
    <w:rsid w:val="0077746F"/>
    <w:rsid w:val="007775FE"/>
    <w:rsid w:val="00780A5F"/>
    <w:rsid w:val="00784913"/>
    <w:rsid w:val="00785B90"/>
    <w:rsid w:val="0078639C"/>
    <w:rsid w:val="0078768D"/>
    <w:rsid w:val="007913D3"/>
    <w:rsid w:val="0079790C"/>
    <w:rsid w:val="007A102A"/>
    <w:rsid w:val="007A15E6"/>
    <w:rsid w:val="007A194B"/>
    <w:rsid w:val="007A4BCD"/>
    <w:rsid w:val="007A5714"/>
    <w:rsid w:val="007A5EFA"/>
    <w:rsid w:val="007A6821"/>
    <w:rsid w:val="007A75EF"/>
    <w:rsid w:val="007B03B6"/>
    <w:rsid w:val="007B03BB"/>
    <w:rsid w:val="007B1257"/>
    <w:rsid w:val="007B3012"/>
    <w:rsid w:val="007B33CC"/>
    <w:rsid w:val="007B37C2"/>
    <w:rsid w:val="007B4133"/>
    <w:rsid w:val="007B4838"/>
    <w:rsid w:val="007B49F4"/>
    <w:rsid w:val="007B7021"/>
    <w:rsid w:val="007B7AB4"/>
    <w:rsid w:val="007C2405"/>
    <w:rsid w:val="007C2A54"/>
    <w:rsid w:val="007C2B69"/>
    <w:rsid w:val="007C2DC1"/>
    <w:rsid w:val="007C3B05"/>
    <w:rsid w:val="007C3D25"/>
    <w:rsid w:val="007C4998"/>
    <w:rsid w:val="007C668F"/>
    <w:rsid w:val="007C723F"/>
    <w:rsid w:val="007C778D"/>
    <w:rsid w:val="007D07D6"/>
    <w:rsid w:val="007D0C6A"/>
    <w:rsid w:val="007D18A6"/>
    <w:rsid w:val="007D1CA0"/>
    <w:rsid w:val="007D2DF5"/>
    <w:rsid w:val="007D4994"/>
    <w:rsid w:val="007D4BB3"/>
    <w:rsid w:val="007D4F6E"/>
    <w:rsid w:val="007D5358"/>
    <w:rsid w:val="007D5ECD"/>
    <w:rsid w:val="007D61CA"/>
    <w:rsid w:val="007D6DCF"/>
    <w:rsid w:val="007D6F0D"/>
    <w:rsid w:val="007D7963"/>
    <w:rsid w:val="007E1DC9"/>
    <w:rsid w:val="007E3532"/>
    <w:rsid w:val="007E5FE3"/>
    <w:rsid w:val="007E64DF"/>
    <w:rsid w:val="007E657D"/>
    <w:rsid w:val="007E7119"/>
    <w:rsid w:val="007E71BB"/>
    <w:rsid w:val="007E7B90"/>
    <w:rsid w:val="007E7C13"/>
    <w:rsid w:val="007F0E29"/>
    <w:rsid w:val="007F2464"/>
    <w:rsid w:val="007F450B"/>
    <w:rsid w:val="007F4A64"/>
    <w:rsid w:val="007F4ADE"/>
    <w:rsid w:val="007F5A5A"/>
    <w:rsid w:val="007F5EDC"/>
    <w:rsid w:val="00800AFD"/>
    <w:rsid w:val="00800C1B"/>
    <w:rsid w:val="0080239D"/>
    <w:rsid w:val="008034FB"/>
    <w:rsid w:val="00803CF3"/>
    <w:rsid w:val="00806EAB"/>
    <w:rsid w:val="00810E52"/>
    <w:rsid w:val="00811CA7"/>
    <w:rsid w:val="0081636E"/>
    <w:rsid w:val="008168DA"/>
    <w:rsid w:val="0082112E"/>
    <w:rsid w:val="00822F2B"/>
    <w:rsid w:val="00823D9A"/>
    <w:rsid w:val="00827EA4"/>
    <w:rsid w:val="008301D6"/>
    <w:rsid w:val="008305B7"/>
    <w:rsid w:val="00830C78"/>
    <w:rsid w:val="00830FB9"/>
    <w:rsid w:val="00834968"/>
    <w:rsid w:val="00834B53"/>
    <w:rsid w:val="00840298"/>
    <w:rsid w:val="00841BE4"/>
    <w:rsid w:val="00844060"/>
    <w:rsid w:val="00845A53"/>
    <w:rsid w:val="00847E8C"/>
    <w:rsid w:val="00847FDB"/>
    <w:rsid w:val="008505E1"/>
    <w:rsid w:val="00850B19"/>
    <w:rsid w:val="00852488"/>
    <w:rsid w:val="0085405E"/>
    <w:rsid w:val="00855E7C"/>
    <w:rsid w:val="008571DD"/>
    <w:rsid w:val="0085772E"/>
    <w:rsid w:val="00860344"/>
    <w:rsid w:val="00860E2C"/>
    <w:rsid w:val="00862E5F"/>
    <w:rsid w:val="0086446B"/>
    <w:rsid w:val="00864BC6"/>
    <w:rsid w:val="00865EE6"/>
    <w:rsid w:val="008661B7"/>
    <w:rsid w:val="00870D23"/>
    <w:rsid w:val="00872B72"/>
    <w:rsid w:val="00873022"/>
    <w:rsid w:val="00876468"/>
    <w:rsid w:val="008767E1"/>
    <w:rsid w:val="00876CC7"/>
    <w:rsid w:val="008823E4"/>
    <w:rsid w:val="008837C4"/>
    <w:rsid w:val="00883C17"/>
    <w:rsid w:val="008849F3"/>
    <w:rsid w:val="00884E78"/>
    <w:rsid w:val="0088673B"/>
    <w:rsid w:val="00887265"/>
    <w:rsid w:val="00887500"/>
    <w:rsid w:val="00887575"/>
    <w:rsid w:val="008905AD"/>
    <w:rsid w:val="00891CCB"/>
    <w:rsid w:val="008920F2"/>
    <w:rsid w:val="0089348A"/>
    <w:rsid w:val="00894680"/>
    <w:rsid w:val="00894E9F"/>
    <w:rsid w:val="00895424"/>
    <w:rsid w:val="00896CEC"/>
    <w:rsid w:val="008A06BC"/>
    <w:rsid w:val="008A0A03"/>
    <w:rsid w:val="008A0AA3"/>
    <w:rsid w:val="008A0EAA"/>
    <w:rsid w:val="008A149F"/>
    <w:rsid w:val="008A19FD"/>
    <w:rsid w:val="008A1A25"/>
    <w:rsid w:val="008A4E05"/>
    <w:rsid w:val="008A56DB"/>
    <w:rsid w:val="008A6CFC"/>
    <w:rsid w:val="008B2125"/>
    <w:rsid w:val="008B25D4"/>
    <w:rsid w:val="008B38E5"/>
    <w:rsid w:val="008B5267"/>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1486"/>
    <w:rsid w:val="008D2BAE"/>
    <w:rsid w:val="008D2C9E"/>
    <w:rsid w:val="008D41F5"/>
    <w:rsid w:val="008D521F"/>
    <w:rsid w:val="008D5C06"/>
    <w:rsid w:val="008D6227"/>
    <w:rsid w:val="008D7A8B"/>
    <w:rsid w:val="008E41D3"/>
    <w:rsid w:val="008E43F1"/>
    <w:rsid w:val="008E594F"/>
    <w:rsid w:val="008E6934"/>
    <w:rsid w:val="008E7312"/>
    <w:rsid w:val="008E745A"/>
    <w:rsid w:val="008F297F"/>
    <w:rsid w:val="008F447E"/>
    <w:rsid w:val="00904BA9"/>
    <w:rsid w:val="00904E7E"/>
    <w:rsid w:val="0091086B"/>
    <w:rsid w:val="00911129"/>
    <w:rsid w:val="00912EA3"/>
    <w:rsid w:val="00914B6E"/>
    <w:rsid w:val="009156A2"/>
    <w:rsid w:val="0091579A"/>
    <w:rsid w:val="0091615D"/>
    <w:rsid w:val="00923F7E"/>
    <w:rsid w:val="009243BA"/>
    <w:rsid w:val="00924C96"/>
    <w:rsid w:val="00925030"/>
    <w:rsid w:val="00925B32"/>
    <w:rsid w:val="00930088"/>
    <w:rsid w:val="00930A64"/>
    <w:rsid w:val="00930BE5"/>
    <w:rsid w:val="00931403"/>
    <w:rsid w:val="00934991"/>
    <w:rsid w:val="009351A7"/>
    <w:rsid w:val="009418EB"/>
    <w:rsid w:val="009426B9"/>
    <w:rsid w:val="009430F9"/>
    <w:rsid w:val="00944E85"/>
    <w:rsid w:val="0094634C"/>
    <w:rsid w:val="009463AB"/>
    <w:rsid w:val="0094721C"/>
    <w:rsid w:val="00950239"/>
    <w:rsid w:val="00950332"/>
    <w:rsid w:val="00950608"/>
    <w:rsid w:val="00955899"/>
    <w:rsid w:val="00955A03"/>
    <w:rsid w:val="00957A28"/>
    <w:rsid w:val="0096203D"/>
    <w:rsid w:val="0096224A"/>
    <w:rsid w:val="00963289"/>
    <w:rsid w:val="00964A78"/>
    <w:rsid w:val="009656B4"/>
    <w:rsid w:val="00966CA0"/>
    <w:rsid w:val="00966D74"/>
    <w:rsid w:val="00967F9D"/>
    <w:rsid w:val="00970275"/>
    <w:rsid w:val="00970ABF"/>
    <w:rsid w:val="009710E2"/>
    <w:rsid w:val="009711C5"/>
    <w:rsid w:val="00972E9C"/>
    <w:rsid w:val="00973892"/>
    <w:rsid w:val="0097391E"/>
    <w:rsid w:val="00973DF3"/>
    <w:rsid w:val="009742DA"/>
    <w:rsid w:val="009743BE"/>
    <w:rsid w:val="009753A0"/>
    <w:rsid w:val="00977437"/>
    <w:rsid w:val="00977C89"/>
    <w:rsid w:val="00980AB3"/>
    <w:rsid w:val="0098108B"/>
    <w:rsid w:val="00982BA0"/>
    <w:rsid w:val="009848CB"/>
    <w:rsid w:val="00984D10"/>
    <w:rsid w:val="0098600B"/>
    <w:rsid w:val="009861C1"/>
    <w:rsid w:val="00987177"/>
    <w:rsid w:val="00987F11"/>
    <w:rsid w:val="0099128D"/>
    <w:rsid w:val="009917F1"/>
    <w:rsid w:val="00991E37"/>
    <w:rsid w:val="00991E74"/>
    <w:rsid w:val="009926A6"/>
    <w:rsid w:val="0099415E"/>
    <w:rsid w:val="009948BF"/>
    <w:rsid w:val="00994D90"/>
    <w:rsid w:val="00997844"/>
    <w:rsid w:val="009978C2"/>
    <w:rsid w:val="009A345F"/>
    <w:rsid w:val="009A4AE5"/>
    <w:rsid w:val="009A5218"/>
    <w:rsid w:val="009A6806"/>
    <w:rsid w:val="009B1717"/>
    <w:rsid w:val="009B1E5E"/>
    <w:rsid w:val="009B22D2"/>
    <w:rsid w:val="009B2839"/>
    <w:rsid w:val="009B4C17"/>
    <w:rsid w:val="009B5BF6"/>
    <w:rsid w:val="009C1C79"/>
    <w:rsid w:val="009C2424"/>
    <w:rsid w:val="009C30D1"/>
    <w:rsid w:val="009C339C"/>
    <w:rsid w:val="009C33B8"/>
    <w:rsid w:val="009D07A0"/>
    <w:rsid w:val="009D107D"/>
    <w:rsid w:val="009D1871"/>
    <w:rsid w:val="009D2672"/>
    <w:rsid w:val="009D2985"/>
    <w:rsid w:val="009D3033"/>
    <w:rsid w:val="009D3E65"/>
    <w:rsid w:val="009D5770"/>
    <w:rsid w:val="009D6365"/>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6B18"/>
    <w:rsid w:val="00A21225"/>
    <w:rsid w:val="00A2139C"/>
    <w:rsid w:val="00A218F9"/>
    <w:rsid w:val="00A21E37"/>
    <w:rsid w:val="00A23314"/>
    <w:rsid w:val="00A235BB"/>
    <w:rsid w:val="00A23F10"/>
    <w:rsid w:val="00A23F72"/>
    <w:rsid w:val="00A24F2D"/>
    <w:rsid w:val="00A2672A"/>
    <w:rsid w:val="00A26AB8"/>
    <w:rsid w:val="00A3180E"/>
    <w:rsid w:val="00A322BF"/>
    <w:rsid w:val="00A3373F"/>
    <w:rsid w:val="00A33F51"/>
    <w:rsid w:val="00A349DF"/>
    <w:rsid w:val="00A3680D"/>
    <w:rsid w:val="00A40311"/>
    <w:rsid w:val="00A41032"/>
    <w:rsid w:val="00A4106C"/>
    <w:rsid w:val="00A41AC8"/>
    <w:rsid w:val="00A428E7"/>
    <w:rsid w:val="00A43E49"/>
    <w:rsid w:val="00A44018"/>
    <w:rsid w:val="00A45DE9"/>
    <w:rsid w:val="00A47471"/>
    <w:rsid w:val="00A47A1E"/>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20C"/>
    <w:rsid w:val="00A66342"/>
    <w:rsid w:val="00A665C8"/>
    <w:rsid w:val="00A6749E"/>
    <w:rsid w:val="00A67AD5"/>
    <w:rsid w:val="00A70D88"/>
    <w:rsid w:val="00A71142"/>
    <w:rsid w:val="00A72895"/>
    <w:rsid w:val="00A74589"/>
    <w:rsid w:val="00A74E1B"/>
    <w:rsid w:val="00A7513A"/>
    <w:rsid w:val="00A75AC9"/>
    <w:rsid w:val="00A75B25"/>
    <w:rsid w:val="00A76AEE"/>
    <w:rsid w:val="00A801B4"/>
    <w:rsid w:val="00A82075"/>
    <w:rsid w:val="00A82192"/>
    <w:rsid w:val="00A857AB"/>
    <w:rsid w:val="00A85B41"/>
    <w:rsid w:val="00A90009"/>
    <w:rsid w:val="00A91899"/>
    <w:rsid w:val="00A927A4"/>
    <w:rsid w:val="00A94CC0"/>
    <w:rsid w:val="00A9534A"/>
    <w:rsid w:val="00A957FA"/>
    <w:rsid w:val="00A967ED"/>
    <w:rsid w:val="00A968DC"/>
    <w:rsid w:val="00A977BA"/>
    <w:rsid w:val="00AA0CDE"/>
    <w:rsid w:val="00AA1A89"/>
    <w:rsid w:val="00AA346E"/>
    <w:rsid w:val="00AA3770"/>
    <w:rsid w:val="00AA3CFA"/>
    <w:rsid w:val="00AA41C3"/>
    <w:rsid w:val="00AA423C"/>
    <w:rsid w:val="00AA53E2"/>
    <w:rsid w:val="00AA73FD"/>
    <w:rsid w:val="00AB1BFC"/>
    <w:rsid w:val="00AB2F87"/>
    <w:rsid w:val="00AB32C3"/>
    <w:rsid w:val="00AB5E2B"/>
    <w:rsid w:val="00AB6069"/>
    <w:rsid w:val="00AB6467"/>
    <w:rsid w:val="00AC0575"/>
    <w:rsid w:val="00AC0758"/>
    <w:rsid w:val="00AC0934"/>
    <w:rsid w:val="00AC1751"/>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03AE"/>
    <w:rsid w:val="00AF26DC"/>
    <w:rsid w:val="00AF32EA"/>
    <w:rsid w:val="00AF3DED"/>
    <w:rsid w:val="00AF48B1"/>
    <w:rsid w:val="00AF4FB8"/>
    <w:rsid w:val="00AF6713"/>
    <w:rsid w:val="00AF6BD6"/>
    <w:rsid w:val="00AF753A"/>
    <w:rsid w:val="00B021ED"/>
    <w:rsid w:val="00B0250D"/>
    <w:rsid w:val="00B032B1"/>
    <w:rsid w:val="00B03F46"/>
    <w:rsid w:val="00B057D8"/>
    <w:rsid w:val="00B059B8"/>
    <w:rsid w:val="00B07418"/>
    <w:rsid w:val="00B11547"/>
    <w:rsid w:val="00B11EF0"/>
    <w:rsid w:val="00B1226C"/>
    <w:rsid w:val="00B14F05"/>
    <w:rsid w:val="00B15D01"/>
    <w:rsid w:val="00B20EBF"/>
    <w:rsid w:val="00B216D8"/>
    <w:rsid w:val="00B24F44"/>
    <w:rsid w:val="00B25428"/>
    <w:rsid w:val="00B255BB"/>
    <w:rsid w:val="00B25E24"/>
    <w:rsid w:val="00B2609A"/>
    <w:rsid w:val="00B26B9E"/>
    <w:rsid w:val="00B301B1"/>
    <w:rsid w:val="00B323A5"/>
    <w:rsid w:val="00B353E7"/>
    <w:rsid w:val="00B35759"/>
    <w:rsid w:val="00B3619A"/>
    <w:rsid w:val="00B365B7"/>
    <w:rsid w:val="00B405F9"/>
    <w:rsid w:val="00B40BCA"/>
    <w:rsid w:val="00B4308D"/>
    <w:rsid w:val="00B440DA"/>
    <w:rsid w:val="00B4415A"/>
    <w:rsid w:val="00B503CD"/>
    <w:rsid w:val="00B548AB"/>
    <w:rsid w:val="00B54BBE"/>
    <w:rsid w:val="00B553F8"/>
    <w:rsid w:val="00B560B6"/>
    <w:rsid w:val="00B5630E"/>
    <w:rsid w:val="00B56C61"/>
    <w:rsid w:val="00B622E7"/>
    <w:rsid w:val="00B62FB6"/>
    <w:rsid w:val="00B635BF"/>
    <w:rsid w:val="00B7050A"/>
    <w:rsid w:val="00B70904"/>
    <w:rsid w:val="00B70A42"/>
    <w:rsid w:val="00B74791"/>
    <w:rsid w:val="00B76AF9"/>
    <w:rsid w:val="00B8115B"/>
    <w:rsid w:val="00B81AE2"/>
    <w:rsid w:val="00B82D30"/>
    <w:rsid w:val="00B873FE"/>
    <w:rsid w:val="00B87F62"/>
    <w:rsid w:val="00B914A4"/>
    <w:rsid w:val="00B92497"/>
    <w:rsid w:val="00B92D41"/>
    <w:rsid w:val="00B93679"/>
    <w:rsid w:val="00B9422D"/>
    <w:rsid w:val="00B95A1D"/>
    <w:rsid w:val="00B961D4"/>
    <w:rsid w:val="00B9634B"/>
    <w:rsid w:val="00BA0F2A"/>
    <w:rsid w:val="00BA5072"/>
    <w:rsid w:val="00BA5B65"/>
    <w:rsid w:val="00BA7BFE"/>
    <w:rsid w:val="00BB0ECA"/>
    <w:rsid w:val="00BB1987"/>
    <w:rsid w:val="00BB246B"/>
    <w:rsid w:val="00BB4F49"/>
    <w:rsid w:val="00BB5EFD"/>
    <w:rsid w:val="00BB60F7"/>
    <w:rsid w:val="00BB6B2D"/>
    <w:rsid w:val="00BB7375"/>
    <w:rsid w:val="00BC0500"/>
    <w:rsid w:val="00BC44F5"/>
    <w:rsid w:val="00BC500B"/>
    <w:rsid w:val="00BC547C"/>
    <w:rsid w:val="00BC6B29"/>
    <w:rsid w:val="00BC798C"/>
    <w:rsid w:val="00BC7D11"/>
    <w:rsid w:val="00BD00FD"/>
    <w:rsid w:val="00BD109D"/>
    <w:rsid w:val="00BD15A2"/>
    <w:rsid w:val="00BD2153"/>
    <w:rsid w:val="00BD337A"/>
    <w:rsid w:val="00BD558D"/>
    <w:rsid w:val="00BD5CC3"/>
    <w:rsid w:val="00BE1F47"/>
    <w:rsid w:val="00BE24AD"/>
    <w:rsid w:val="00BE2787"/>
    <w:rsid w:val="00BE51BB"/>
    <w:rsid w:val="00BE7ECD"/>
    <w:rsid w:val="00BF1682"/>
    <w:rsid w:val="00BF1B84"/>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2B1"/>
    <w:rsid w:val="00C274A6"/>
    <w:rsid w:val="00C312DB"/>
    <w:rsid w:val="00C32C50"/>
    <w:rsid w:val="00C33D76"/>
    <w:rsid w:val="00C34201"/>
    <w:rsid w:val="00C35A38"/>
    <w:rsid w:val="00C35EC9"/>
    <w:rsid w:val="00C36807"/>
    <w:rsid w:val="00C37392"/>
    <w:rsid w:val="00C379B4"/>
    <w:rsid w:val="00C41545"/>
    <w:rsid w:val="00C4209D"/>
    <w:rsid w:val="00C432B3"/>
    <w:rsid w:val="00C4771E"/>
    <w:rsid w:val="00C47D15"/>
    <w:rsid w:val="00C50279"/>
    <w:rsid w:val="00C505EC"/>
    <w:rsid w:val="00C51489"/>
    <w:rsid w:val="00C5165A"/>
    <w:rsid w:val="00C52841"/>
    <w:rsid w:val="00C5489E"/>
    <w:rsid w:val="00C54FC6"/>
    <w:rsid w:val="00C56F88"/>
    <w:rsid w:val="00C57B7E"/>
    <w:rsid w:val="00C60217"/>
    <w:rsid w:val="00C6599F"/>
    <w:rsid w:val="00C66D15"/>
    <w:rsid w:val="00C671D0"/>
    <w:rsid w:val="00C70449"/>
    <w:rsid w:val="00C7071B"/>
    <w:rsid w:val="00C73904"/>
    <w:rsid w:val="00C73BAE"/>
    <w:rsid w:val="00C73F7B"/>
    <w:rsid w:val="00C74055"/>
    <w:rsid w:val="00C7421D"/>
    <w:rsid w:val="00C7525E"/>
    <w:rsid w:val="00C76481"/>
    <w:rsid w:val="00C76812"/>
    <w:rsid w:val="00C83D88"/>
    <w:rsid w:val="00C84961"/>
    <w:rsid w:val="00C84B06"/>
    <w:rsid w:val="00C87100"/>
    <w:rsid w:val="00C8740B"/>
    <w:rsid w:val="00C87CAC"/>
    <w:rsid w:val="00C913A1"/>
    <w:rsid w:val="00C950D6"/>
    <w:rsid w:val="00C960FA"/>
    <w:rsid w:val="00C97646"/>
    <w:rsid w:val="00C97672"/>
    <w:rsid w:val="00CA0E81"/>
    <w:rsid w:val="00CA55BD"/>
    <w:rsid w:val="00CA7073"/>
    <w:rsid w:val="00CB0837"/>
    <w:rsid w:val="00CB2BFA"/>
    <w:rsid w:val="00CB3888"/>
    <w:rsid w:val="00CB3CDB"/>
    <w:rsid w:val="00CB400E"/>
    <w:rsid w:val="00CB48F6"/>
    <w:rsid w:val="00CB5F04"/>
    <w:rsid w:val="00CB67F1"/>
    <w:rsid w:val="00CB7DC8"/>
    <w:rsid w:val="00CC0B24"/>
    <w:rsid w:val="00CC0EC0"/>
    <w:rsid w:val="00CC1E2B"/>
    <w:rsid w:val="00CC34DB"/>
    <w:rsid w:val="00CC51AC"/>
    <w:rsid w:val="00CC609D"/>
    <w:rsid w:val="00CC7044"/>
    <w:rsid w:val="00CD11FF"/>
    <w:rsid w:val="00CD15E7"/>
    <w:rsid w:val="00CD3B94"/>
    <w:rsid w:val="00CD58BD"/>
    <w:rsid w:val="00CE07A9"/>
    <w:rsid w:val="00CE1012"/>
    <w:rsid w:val="00CE29D9"/>
    <w:rsid w:val="00CE419E"/>
    <w:rsid w:val="00CE426D"/>
    <w:rsid w:val="00CE5011"/>
    <w:rsid w:val="00CE574A"/>
    <w:rsid w:val="00CE5883"/>
    <w:rsid w:val="00CE5DC5"/>
    <w:rsid w:val="00CE629E"/>
    <w:rsid w:val="00CE66CE"/>
    <w:rsid w:val="00CE77AA"/>
    <w:rsid w:val="00CE7B59"/>
    <w:rsid w:val="00CF2B9F"/>
    <w:rsid w:val="00CF352C"/>
    <w:rsid w:val="00CF4570"/>
    <w:rsid w:val="00CF58EE"/>
    <w:rsid w:val="00D00811"/>
    <w:rsid w:val="00D009E4"/>
    <w:rsid w:val="00D02A43"/>
    <w:rsid w:val="00D04518"/>
    <w:rsid w:val="00D05489"/>
    <w:rsid w:val="00D05CA1"/>
    <w:rsid w:val="00D061CB"/>
    <w:rsid w:val="00D0796C"/>
    <w:rsid w:val="00D07B7D"/>
    <w:rsid w:val="00D11A35"/>
    <w:rsid w:val="00D13130"/>
    <w:rsid w:val="00D146D4"/>
    <w:rsid w:val="00D14B3C"/>
    <w:rsid w:val="00D14BA5"/>
    <w:rsid w:val="00D16580"/>
    <w:rsid w:val="00D173C9"/>
    <w:rsid w:val="00D20E20"/>
    <w:rsid w:val="00D21C3A"/>
    <w:rsid w:val="00D228DA"/>
    <w:rsid w:val="00D22E01"/>
    <w:rsid w:val="00D238A5"/>
    <w:rsid w:val="00D24621"/>
    <w:rsid w:val="00D2600F"/>
    <w:rsid w:val="00D30EEA"/>
    <w:rsid w:val="00D31534"/>
    <w:rsid w:val="00D32C1F"/>
    <w:rsid w:val="00D3357A"/>
    <w:rsid w:val="00D33FC2"/>
    <w:rsid w:val="00D34D30"/>
    <w:rsid w:val="00D36664"/>
    <w:rsid w:val="00D37394"/>
    <w:rsid w:val="00D442F8"/>
    <w:rsid w:val="00D464B6"/>
    <w:rsid w:val="00D46699"/>
    <w:rsid w:val="00D47345"/>
    <w:rsid w:val="00D5073F"/>
    <w:rsid w:val="00D51573"/>
    <w:rsid w:val="00D5399A"/>
    <w:rsid w:val="00D5444F"/>
    <w:rsid w:val="00D54E0D"/>
    <w:rsid w:val="00D54F7D"/>
    <w:rsid w:val="00D55A9F"/>
    <w:rsid w:val="00D565AF"/>
    <w:rsid w:val="00D57528"/>
    <w:rsid w:val="00D602CA"/>
    <w:rsid w:val="00D60DD8"/>
    <w:rsid w:val="00D64C6C"/>
    <w:rsid w:val="00D66D42"/>
    <w:rsid w:val="00D679F8"/>
    <w:rsid w:val="00D71734"/>
    <w:rsid w:val="00D7244A"/>
    <w:rsid w:val="00D72BCC"/>
    <w:rsid w:val="00D746C0"/>
    <w:rsid w:val="00D74723"/>
    <w:rsid w:val="00D76091"/>
    <w:rsid w:val="00D76B9C"/>
    <w:rsid w:val="00D76D82"/>
    <w:rsid w:val="00D77D65"/>
    <w:rsid w:val="00D80448"/>
    <w:rsid w:val="00D807F8"/>
    <w:rsid w:val="00D80C4F"/>
    <w:rsid w:val="00D8149F"/>
    <w:rsid w:val="00D814FB"/>
    <w:rsid w:val="00D83D95"/>
    <w:rsid w:val="00D84614"/>
    <w:rsid w:val="00D90293"/>
    <w:rsid w:val="00D90496"/>
    <w:rsid w:val="00D917BC"/>
    <w:rsid w:val="00D942DE"/>
    <w:rsid w:val="00D9491E"/>
    <w:rsid w:val="00DA070D"/>
    <w:rsid w:val="00DA3B2F"/>
    <w:rsid w:val="00DA46CA"/>
    <w:rsid w:val="00DA4731"/>
    <w:rsid w:val="00DA5040"/>
    <w:rsid w:val="00DA7D5F"/>
    <w:rsid w:val="00DB053E"/>
    <w:rsid w:val="00DB11B2"/>
    <w:rsid w:val="00DB161E"/>
    <w:rsid w:val="00DB23D7"/>
    <w:rsid w:val="00DB31B5"/>
    <w:rsid w:val="00DB4555"/>
    <w:rsid w:val="00DB5BBA"/>
    <w:rsid w:val="00DC03DB"/>
    <w:rsid w:val="00DC052F"/>
    <w:rsid w:val="00DC1206"/>
    <w:rsid w:val="00DC1C5D"/>
    <w:rsid w:val="00DC2BE8"/>
    <w:rsid w:val="00DC2BEC"/>
    <w:rsid w:val="00DC3256"/>
    <w:rsid w:val="00DC35A6"/>
    <w:rsid w:val="00DD090A"/>
    <w:rsid w:val="00DD195E"/>
    <w:rsid w:val="00DD2421"/>
    <w:rsid w:val="00DD3222"/>
    <w:rsid w:val="00DD3D81"/>
    <w:rsid w:val="00DD4D3A"/>
    <w:rsid w:val="00DD571C"/>
    <w:rsid w:val="00DD64E1"/>
    <w:rsid w:val="00DE039A"/>
    <w:rsid w:val="00DE0403"/>
    <w:rsid w:val="00DE4811"/>
    <w:rsid w:val="00DE5458"/>
    <w:rsid w:val="00DE5EE6"/>
    <w:rsid w:val="00DE731D"/>
    <w:rsid w:val="00DE77EA"/>
    <w:rsid w:val="00DF066E"/>
    <w:rsid w:val="00DF0ABA"/>
    <w:rsid w:val="00DF1EEE"/>
    <w:rsid w:val="00DF6C58"/>
    <w:rsid w:val="00E001C1"/>
    <w:rsid w:val="00E039F3"/>
    <w:rsid w:val="00E03C30"/>
    <w:rsid w:val="00E05EBF"/>
    <w:rsid w:val="00E06E6B"/>
    <w:rsid w:val="00E078BD"/>
    <w:rsid w:val="00E078F8"/>
    <w:rsid w:val="00E1142B"/>
    <w:rsid w:val="00E11F10"/>
    <w:rsid w:val="00E148AE"/>
    <w:rsid w:val="00E14920"/>
    <w:rsid w:val="00E1536F"/>
    <w:rsid w:val="00E157E4"/>
    <w:rsid w:val="00E15950"/>
    <w:rsid w:val="00E159BF"/>
    <w:rsid w:val="00E16522"/>
    <w:rsid w:val="00E1750C"/>
    <w:rsid w:val="00E178A6"/>
    <w:rsid w:val="00E20545"/>
    <w:rsid w:val="00E223C6"/>
    <w:rsid w:val="00E2341B"/>
    <w:rsid w:val="00E2443D"/>
    <w:rsid w:val="00E24789"/>
    <w:rsid w:val="00E26615"/>
    <w:rsid w:val="00E26F37"/>
    <w:rsid w:val="00E3390E"/>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201"/>
    <w:rsid w:val="00E53A9F"/>
    <w:rsid w:val="00E549AF"/>
    <w:rsid w:val="00E5775F"/>
    <w:rsid w:val="00E60540"/>
    <w:rsid w:val="00E61C74"/>
    <w:rsid w:val="00E63D8F"/>
    <w:rsid w:val="00E705CE"/>
    <w:rsid w:val="00E706B6"/>
    <w:rsid w:val="00E75BF3"/>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771"/>
    <w:rsid w:val="00E967FC"/>
    <w:rsid w:val="00E96D30"/>
    <w:rsid w:val="00EA1327"/>
    <w:rsid w:val="00EA623C"/>
    <w:rsid w:val="00EA6395"/>
    <w:rsid w:val="00EB0247"/>
    <w:rsid w:val="00EB044B"/>
    <w:rsid w:val="00EB067C"/>
    <w:rsid w:val="00EB197F"/>
    <w:rsid w:val="00EB3C66"/>
    <w:rsid w:val="00EB4B03"/>
    <w:rsid w:val="00EB5DEE"/>
    <w:rsid w:val="00EB64CB"/>
    <w:rsid w:val="00EB6D46"/>
    <w:rsid w:val="00EC07F3"/>
    <w:rsid w:val="00EC3194"/>
    <w:rsid w:val="00EC32E4"/>
    <w:rsid w:val="00EC518D"/>
    <w:rsid w:val="00EC6214"/>
    <w:rsid w:val="00EC646E"/>
    <w:rsid w:val="00EC64E7"/>
    <w:rsid w:val="00EC71D3"/>
    <w:rsid w:val="00ED02FE"/>
    <w:rsid w:val="00ED1EC9"/>
    <w:rsid w:val="00ED32BC"/>
    <w:rsid w:val="00ED3737"/>
    <w:rsid w:val="00ED3856"/>
    <w:rsid w:val="00ED3E2E"/>
    <w:rsid w:val="00ED4CC8"/>
    <w:rsid w:val="00ED6A08"/>
    <w:rsid w:val="00ED7F1F"/>
    <w:rsid w:val="00EE05EE"/>
    <w:rsid w:val="00EE0AE2"/>
    <w:rsid w:val="00EE35B4"/>
    <w:rsid w:val="00EE4881"/>
    <w:rsid w:val="00EE5643"/>
    <w:rsid w:val="00EE7CEC"/>
    <w:rsid w:val="00EF056E"/>
    <w:rsid w:val="00EF09B3"/>
    <w:rsid w:val="00EF0A3E"/>
    <w:rsid w:val="00EF5EC6"/>
    <w:rsid w:val="00EF646F"/>
    <w:rsid w:val="00EF791E"/>
    <w:rsid w:val="00EF7A63"/>
    <w:rsid w:val="00EF7C2F"/>
    <w:rsid w:val="00F00D58"/>
    <w:rsid w:val="00F0226C"/>
    <w:rsid w:val="00F02522"/>
    <w:rsid w:val="00F02AE0"/>
    <w:rsid w:val="00F02BFF"/>
    <w:rsid w:val="00F034DC"/>
    <w:rsid w:val="00F03953"/>
    <w:rsid w:val="00F04841"/>
    <w:rsid w:val="00F0579A"/>
    <w:rsid w:val="00F05FC6"/>
    <w:rsid w:val="00F0674D"/>
    <w:rsid w:val="00F10287"/>
    <w:rsid w:val="00F10C82"/>
    <w:rsid w:val="00F13B2E"/>
    <w:rsid w:val="00F142B4"/>
    <w:rsid w:val="00F176A0"/>
    <w:rsid w:val="00F20174"/>
    <w:rsid w:val="00F22098"/>
    <w:rsid w:val="00F223BC"/>
    <w:rsid w:val="00F23780"/>
    <w:rsid w:val="00F26185"/>
    <w:rsid w:val="00F3178C"/>
    <w:rsid w:val="00F33DE5"/>
    <w:rsid w:val="00F34B8F"/>
    <w:rsid w:val="00F350B3"/>
    <w:rsid w:val="00F366FB"/>
    <w:rsid w:val="00F36D7F"/>
    <w:rsid w:val="00F37186"/>
    <w:rsid w:val="00F41C4C"/>
    <w:rsid w:val="00F42FCF"/>
    <w:rsid w:val="00F44A83"/>
    <w:rsid w:val="00F51743"/>
    <w:rsid w:val="00F529D4"/>
    <w:rsid w:val="00F530C2"/>
    <w:rsid w:val="00F533EB"/>
    <w:rsid w:val="00F54855"/>
    <w:rsid w:val="00F54F27"/>
    <w:rsid w:val="00F55B05"/>
    <w:rsid w:val="00F55FC8"/>
    <w:rsid w:val="00F604E3"/>
    <w:rsid w:val="00F610E6"/>
    <w:rsid w:val="00F61FCC"/>
    <w:rsid w:val="00F647F2"/>
    <w:rsid w:val="00F66036"/>
    <w:rsid w:val="00F661CB"/>
    <w:rsid w:val="00F6689D"/>
    <w:rsid w:val="00F67E23"/>
    <w:rsid w:val="00F71601"/>
    <w:rsid w:val="00F72C75"/>
    <w:rsid w:val="00F72CC6"/>
    <w:rsid w:val="00F74033"/>
    <w:rsid w:val="00F759EB"/>
    <w:rsid w:val="00F772F7"/>
    <w:rsid w:val="00F81334"/>
    <w:rsid w:val="00F81A81"/>
    <w:rsid w:val="00F81CC5"/>
    <w:rsid w:val="00F84E41"/>
    <w:rsid w:val="00F8760D"/>
    <w:rsid w:val="00F87AAD"/>
    <w:rsid w:val="00F9174C"/>
    <w:rsid w:val="00F91D5C"/>
    <w:rsid w:val="00F92097"/>
    <w:rsid w:val="00F922E9"/>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CD1"/>
    <w:rsid w:val="00FB676C"/>
    <w:rsid w:val="00FB67CC"/>
    <w:rsid w:val="00FB728E"/>
    <w:rsid w:val="00FB7DC4"/>
    <w:rsid w:val="00FC0ADE"/>
    <w:rsid w:val="00FC0FF1"/>
    <w:rsid w:val="00FC1FDF"/>
    <w:rsid w:val="00FC2C33"/>
    <w:rsid w:val="00FC3360"/>
    <w:rsid w:val="00FC3E27"/>
    <w:rsid w:val="00FC493B"/>
    <w:rsid w:val="00FC63E5"/>
    <w:rsid w:val="00FD0E54"/>
    <w:rsid w:val="00FD2B71"/>
    <w:rsid w:val="00FD3576"/>
    <w:rsid w:val="00FD52D6"/>
    <w:rsid w:val="00FD56FC"/>
    <w:rsid w:val="00FD62DD"/>
    <w:rsid w:val="00FD752B"/>
    <w:rsid w:val="00FD7DD7"/>
    <w:rsid w:val="00FD7EB3"/>
    <w:rsid w:val="00FE033E"/>
    <w:rsid w:val="00FE0D2F"/>
    <w:rsid w:val="00FE180A"/>
    <w:rsid w:val="00FE182F"/>
    <w:rsid w:val="00FE31C6"/>
    <w:rsid w:val="00FE3F96"/>
    <w:rsid w:val="00FE4A65"/>
    <w:rsid w:val="00FE51E8"/>
    <w:rsid w:val="00FE602F"/>
    <w:rsid w:val="00FE7611"/>
    <w:rsid w:val="00FF0769"/>
    <w:rsid w:val="00FF0DB8"/>
    <w:rsid w:val="00FF1A76"/>
    <w:rsid w:val="00FF1C1D"/>
    <w:rsid w:val="00FF1DC4"/>
    <w:rsid w:val="00FF2231"/>
    <w:rsid w:val="00FF3330"/>
    <w:rsid w:val="00FF38E8"/>
    <w:rsid w:val="00FF4080"/>
    <w:rsid w:val="00FF40A5"/>
    <w:rsid w:val="00FF48DA"/>
    <w:rsid w:val="00FF5E19"/>
    <w:rsid w:val="00FF61AD"/>
    <w:rsid w:val="00FF76BD"/>
    <w:rsid w:val="0284685F"/>
    <w:rsid w:val="07F46D73"/>
    <w:rsid w:val="0AB015B5"/>
    <w:rsid w:val="0AEB1929"/>
    <w:rsid w:val="20222F6B"/>
    <w:rsid w:val="20C26206"/>
    <w:rsid w:val="26D8736F"/>
    <w:rsid w:val="28807F05"/>
    <w:rsid w:val="3345098C"/>
    <w:rsid w:val="35D310D7"/>
    <w:rsid w:val="3696118B"/>
    <w:rsid w:val="39577A3F"/>
    <w:rsid w:val="4E1315AB"/>
    <w:rsid w:val="50461586"/>
    <w:rsid w:val="50D17763"/>
    <w:rsid w:val="63397856"/>
    <w:rsid w:val="647B478A"/>
    <w:rsid w:val="66197592"/>
    <w:rsid w:val="73966C53"/>
    <w:rsid w:val="764E564D"/>
    <w:rsid w:val="7F483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99" w:semiHidden="0" w:name="toc 2"/>
    <w:lsdException w:qFormat="1" w:unhideWhenUsed="0" w:uiPriority="9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6"/>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7"/>
    <w:qFormat/>
    <w:uiPriority w:val="99"/>
    <w:pPr>
      <w:keepNext/>
      <w:keepLines/>
      <w:spacing w:line="360" w:lineRule="auto"/>
      <w:outlineLvl w:val="1"/>
    </w:pPr>
    <w:rPr>
      <w:bCs/>
      <w:sz w:val="22"/>
      <w:szCs w:val="32"/>
    </w:rPr>
  </w:style>
  <w:style w:type="paragraph" w:styleId="4">
    <w:name w:val="heading 3"/>
    <w:basedOn w:val="1"/>
    <w:next w:val="1"/>
    <w:link w:val="28"/>
    <w:qFormat/>
    <w:uiPriority w:val="99"/>
    <w:pPr>
      <w:keepNext/>
      <w:spacing w:line="360" w:lineRule="auto"/>
      <w:outlineLvl w:val="2"/>
    </w:pPr>
    <w:rPr>
      <w:sz w:val="22"/>
    </w:rPr>
  </w:style>
  <w:style w:type="paragraph" w:styleId="5">
    <w:name w:val="heading 4"/>
    <w:basedOn w:val="1"/>
    <w:next w:val="1"/>
    <w:link w:val="29"/>
    <w:qFormat/>
    <w:uiPriority w:val="99"/>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semiHidden/>
    <w:qFormat/>
    <w:uiPriority w:val="99"/>
    <w:rPr>
      <w:sz w:val="24"/>
    </w:rPr>
  </w:style>
  <w:style w:type="paragraph" w:styleId="7">
    <w:name w:val="Body Text 3"/>
    <w:basedOn w:val="1"/>
    <w:link w:val="31"/>
    <w:qFormat/>
    <w:uiPriority w:val="99"/>
    <w:pPr>
      <w:spacing w:after="120"/>
    </w:pPr>
    <w:rPr>
      <w:sz w:val="16"/>
      <w:szCs w:val="16"/>
    </w:rPr>
  </w:style>
  <w:style w:type="paragraph" w:styleId="8">
    <w:name w:val="Body Text"/>
    <w:basedOn w:val="1"/>
    <w:link w:val="32"/>
    <w:qFormat/>
    <w:uiPriority w:val="99"/>
    <w:pPr>
      <w:ind w:right="56"/>
    </w:pPr>
    <w:rPr>
      <w:b/>
      <w:sz w:val="22"/>
    </w:rPr>
  </w:style>
  <w:style w:type="paragraph" w:styleId="9">
    <w:name w:val="Body Text Indent"/>
    <w:basedOn w:val="1"/>
    <w:link w:val="33"/>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4"/>
    <w:qFormat/>
    <w:uiPriority w:val="99"/>
    <w:pPr>
      <w:spacing w:after="120" w:line="480" w:lineRule="auto"/>
      <w:ind w:left="420" w:leftChars="200"/>
    </w:pPr>
  </w:style>
  <w:style w:type="paragraph" w:styleId="12">
    <w:name w:val="Balloon Text"/>
    <w:basedOn w:val="1"/>
    <w:link w:val="35"/>
    <w:semiHidden/>
    <w:qFormat/>
    <w:uiPriority w:val="99"/>
    <w:rPr>
      <w:sz w:val="18"/>
      <w:szCs w:val="18"/>
    </w:rPr>
  </w:style>
  <w:style w:type="paragraph" w:styleId="13">
    <w:name w:val="footer"/>
    <w:basedOn w:val="1"/>
    <w:link w:val="47"/>
    <w:qFormat/>
    <w:uiPriority w:val="99"/>
    <w:pPr>
      <w:tabs>
        <w:tab w:val="center" w:pos="4320"/>
        <w:tab w:val="right" w:pos="8640"/>
      </w:tabs>
    </w:pPr>
    <w:rPr>
      <w:sz w:val="24"/>
    </w:rPr>
  </w:style>
  <w:style w:type="paragraph" w:styleId="14">
    <w:name w:val="header"/>
    <w:basedOn w:val="1"/>
    <w:link w:val="37"/>
    <w:qFormat/>
    <w:uiPriority w:val="99"/>
    <w:pPr>
      <w:tabs>
        <w:tab w:val="center" w:pos="4320"/>
        <w:tab w:val="right" w:pos="8640"/>
      </w:tabs>
    </w:pPr>
    <w:rPr>
      <w:sz w:val="24"/>
    </w:r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8">
    <w:name w:val="Title"/>
    <w:basedOn w:val="1"/>
    <w:next w:val="1"/>
    <w:link w:val="38"/>
    <w:qFormat/>
    <w:uiPriority w:val="99"/>
    <w:pPr>
      <w:spacing w:before="240" w:after="60"/>
      <w:jc w:val="center"/>
      <w:outlineLvl w:val="0"/>
    </w:pPr>
    <w:rPr>
      <w:rFonts w:ascii="Calibri Light" w:hAnsi="Calibri Light"/>
      <w:b/>
      <w:bCs/>
      <w:sz w:val="32"/>
      <w:szCs w:val="32"/>
    </w:rPr>
  </w:style>
  <w:style w:type="paragraph" w:styleId="19">
    <w:name w:val="annotation subject"/>
    <w:basedOn w:val="6"/>
    <w:next w:val="6"/>
    <w:link w:val="39"/>
    <w:semiHidden/>
    <w:qFormat/>
    <w:uiPriority w:val="99"/>
    <w:rPr>
      <w:b/>
      <w:bCs/>
    </w:rPr>
  </w:style>
  <w:style w:type="table" w:styleId="21">
    <w:name w:val="Table Grid"/>
    <w:basedOn w:val="20"/>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99"/>
    <w:rPr>
      <w:rFonts w:cs="Times New Roman"/>
    </w:rPr>
  </w:style>
  <w:style w:type="character" w:styleId="24">
    <w:name w:val="Hyperlink"/>
    <w:qFormat/>
    <w:uiPriority w:val="99"/>
    <w:rPr>
      <w:rFonts w:cs="Times New Roman"/>
      <w:color w:val="0000FF"/>
      <w:u w:val="single"/>
    </w:rPr>
  </w:style>
  <w:style w:type="character" w:styleId="25">
    <w:name w:val="annotation reference"/>
    <w:semiHidden/>
    <w:qFormat/>
    <w:uiPriority w:val="99"/>
    <w:rPr>
      <w:rFonts w:cs="Times New Roman"/>
      <w:sz w:val="21"/>
    </w:rPr>
  </w:style>
  <w:style w:type="character" w:customStyle="1" w:styleId="26">
    <w:name w:val="标题 1 字符"/>
    <w:link w:val="2"/>
    <w:qFormat/>
    <w:uiPriority w:val="9"/>
    <w:rPr>
      <w:b/>
      <w:bCs/>
      <w:kern w:val="44"/>
      <w:sz w:val="44"/>
      <w:szCs w:val="44"/>
      <w:lang w:val="en-GB" w:eastAsia="en-US"/>
    </w:rPr>
  </w:style>
  <w:style w:type="character" w:customStyle="1" w:styleId="27">
    <w:name w:val="标题 2 字符"/>
    <w:link w:val="3"/>
    <w:semiHidden/>
    <w:qFormat/>
    <w:uiPriority w:val="9"/>
    <w:rPr>
      <w:rFonts w:ascii="Cambria" w:hAnsi="Cambria" w:eastAsia="宋体" w:cs="Times New Roman"/>
      <w:b/>
      <w:bCs/>
      <w:kern w:val="0"/>
      <w:sz w:val="32"/>
      <w:szCs w:val="32"/>
      <w:lang w:val="en-GB" w:eastAsia="en-US"/>
    </w:rPr>
  </w:style>
  <w:style w:type="character" w:customStyle="1" w:styleId="28">
    <w:name w:val="标题 3 字符"/>
    <w:link w:val="4"/>
    <w:semiHidden/>
    <w:qFormat/>
    <w:uiPriority w:val="9"/>
    <w:rPr>
      <w:b/>
      <w:bCs/>
      <w:kern w:val="0"/>
      <w:sz w:val="32"/>
      <w:szCs w:val="32"/>
      <w:lang w:val="en-GB" w:eastAsia="en-US"/>
    </w:rPr>
  </w:style>
  <w:style w:type="character" w:customStyle="1" w:styleId="29">
    <w:name w:val="标题 4 字符"/>
    <w:link w:val="5"/>
    <w:semiHidden/>
    <w:qFormat/>
    <w:uiPriority w:val="9"/>
    <w:rPr>
      <w:rFonts w:ascii="Cambria" w:hAnsi="Cambria" w:eastAsia="宋体" w:cs="Times New Roman"/>
      <w:b/>
      <w:bCs/>
      <w:kern w:val="0"/>
      <w:sz w:val="28"/>
      <w:szCs w:val="28"/>
      <w:lang w:val="en-GB" w:eastAsia="en-US"/>
    </w:rPr>
  </w:style>
  <w:style w:type="character" w:customStyle="1" w:styleId="30">
    <w:name w:val="批注文字 字符"/>
    <w:link w:val="6"/>
    <w:semiHidden/>
    <w:qFormat/>
    <w:locked/>
    <w:uiPriority w:val="99"/>
    <w:rPr>
      <w:sz w:val="24"/>
      <w:lang w:val="en-GB" w:eastAsia="en-US"/>
    </w:rPr>
  </w:style>
  <w:style w:type="character" w:customStyle="1" w:styleId="31">
    <w:name w:val="正文文本 3 字符"/>
    <w:link w:val="7"/>
    <w:semiHidden/>
    <w:qFormat/>
    <w:uiPriority w:val="99"/>
    <w:rPr>
      <w:kern w:val="0"/>
      <w:sz w:val="16"/>
      <w:szCs w:val="16"/>
      <w:lang w:val="en-GB" w:eastAsia="en-US"/>
    </w:rPr>
  </w:style>
  <w:style w:type="character" w:customStyle="1" w:styleId="32">
    <w:name w:val="正文文本 字符"/>
    <w:link w:val="8"/>
    <w:semiHidden/>
    <w:qFormat/>
    <w:uiPriority w:val="99"/>
    <w:rPr>
      <w:kern w:val="0"/>
      <w:szCs w:val="20"/>
      <w:lang w:val="en-GB" w:eastAsia="en-US"/>
    </w:rPr>
  </w:style>
  <w:style w:type="character" w:customStyle="1" w:styleId="33">
    <w:name w:val="正文文本缩进 字符"/>
    <w:link w:val="9"/>
    <w:semiHidden/>
    <w:qFormat/>
    <w:uiPriority w:val="99"/>
    <w:rPr>
      <w:kern w:val="0"/>
      <w:szCs w:val="20"/>
      <w:lang w:val="en-GB" w:eastAsia="en-US"/>
    </w:rPr>
  </w:style>
  <w:style w:type="character" w:customStyle="1" w:styleId="34">
    <w:name w:val="正文文本缩进 2 字符"/>
    <w:link w:val="11"/>
    <w:semiHidden/>
    <w:qFormat/>
    <w:uiPriority w:val="99"/>
    <w:rPr>
      <w:kern w:val="0"/>
      <w:szCs w:val="20"/>
      <w:lang w:val="en-GB" w:eastAsia="en-US"/>
    </w:rPr>
  </w:style>
  <w:style w:type="character" w:customStyle="1" w:styleId="35">
    <w:name w:val="批注框文本 字符"/>
    <w:link w:val="12"/>
    <w:semiHidden/>
    <w:qFormat/>
    <w:uiPriority w:val="99"/>
    <w:rPr>
      <w:kern w:val="0"/>
      <w:sz w:val="0"/>
      <w:szCs w:val="0"/>
      <w:lang w:val="en-GB" w:eastAsia="en-US"/>
    </w:rPr>
  </w:style>
  <w:style w:type="character" w:customStyle="1" w:styleId="36">
    <w:name w:val="Footer Char"/>
    <w:semiHidden/>
    <w:qFormat/>
    <w:locked/>
    <w:uiPriority w:val="99"/>
    <w:rPr>
      <w:rFonts w:cs="Times New Roman"/>
      <w:sz w:val="18"/>
      <w:szCs w:val="18"/>
    </w:rPr>
  </w:style>
  <w:style w:type="character" w:customStyle="1" w:styleId="37">
    <w:name w:val="页眉 字符"/>
    <w:link w:val="14"/>
    <w:qFormat/>
    <w:locked/>
    <w:uiPriority w:val="99"/>
    <w:rPr>
      <w:rFonts w:eastAsia="宋体"/>
      <w:sz w:val="24"/>
      <w:lang w:val="en-GB" w:eastAsia="en-US"/>
    </w:rPr>
  </w:style>
  <w:style w:type="character" w:customStyle="1" w:styleId="38">
    <w:name w:val="标题 字符"/>
    <w:link w:val="18"/>
    <w:qFormat/>
    <w:locked/>
    <w:uiPriority w:val="99"/>
    <w:rPr>
      <w:rFonts w:ascii="Calibri Light" w:hAnsi="Calibri Light"/>
      <w:b/>
      <w:sz w:val="32"/>
      <w:lang w:val="en-GB" w:eastAsia="en-US"/>
    </w:rPr>
  </w:style>
  <w:style w:type="character" w:customStyle="1" w:styleId="39">
    <w:name w:val="批注主题 字符"/>
    <w:link w:val="19"/>
    <w:semiHidden/>
    <w:qFormat/>
    <w:uiPriority w:val="99"/>
    <w:rPr>
      <w:b/>
      <w:bCs/>
      <w:kern w:val="0"/>
      <w:sz w:val="24"/>
      <w:szCs w:val="20"/>
      <w:lang w:val="en-GB" w:eastAsia="en-US"/>
    </w:rPr>
  </w:style>
  <w:style w:type="paragraph" w:customStyle="1" w:styleId="40">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1">
    <w:name w:val="Default Text"/>
    <w:basedOn w:val="1"/>
    <w:qFormat/>
    <w:uiPriority w:val="99"/>
    <w:pPr>
      <w:overflowPunct/>
      <w:textAlignment w:val="auto"/>
    </w:pPr>
    <w:rPr>
      <w:rFonts w:ascii="Arial" w:hAnsi="Arial"/>
      <w:szCs w:val="24"/>
      <w:lang w:val="en-US"/>
    </w:rPr>
  </w:style>
  <w:style w:type="paragraph" w:customStyle="1" w:styleId="42">
    <w:name w:val="Style"/>
    <w:basedOn w:val="1"/>
    <w:qFormat/>
    <w:uiPriority w:val="99"/>
    <w:pPr>
      <w:overflowPunct/>
      <w:textAlignment w:val="auto"/>
    </w:pPr>
    <w:rPr>
      <w:rFonts w:ascii="Arial" w:hAnsi="Arial"/>
      <w:szCs w:val="24"/>
      <w:lang w:val="en-US"/>
    </w:rPr>
  </w:style>
  <w:style w:type="paragraph" w:customStyle="1" w:styleId="43">
    <w:name w:val="正文1"/>
    <w:basedOn w:val="1"/>
    <w:qFormat/>
    <w:uiPriority w:val="99"/>
    <w:pPr>
      <w:overflowPunct/>
      <w:textAlignment w:val="auto"/>
    </w:pPr>
    <w:rPr>
      <w:rFonts w:ascii="Arial" w:hAnsi="Arial"/>
      <w:sz w:val="20"/>
      <w:lang w:val="en-US"/>
    </w:rPr>
  </w:style>
  <w:style w:type="paragraph" w:customStyle="1" w:styleId="44">
    <w:name w:val="Revision1"/>
    <w:hidden/>
    <w:semiHidden/>
    <w:qFormat/>
    <w:uiPriority w:val="99"/>
    <w:rPr>
      <w:rFonts w:ascii="Times New Roman" w:hAnsi="Times New Roman" w:eastAsia="宋体" w:cs="Times New Roman"/>
      <w:sz w:val="24"/>
      <w:lang w:val="en-GB" w:eastAsia="en-US" w:bidi="ar-SA"/>
    </w:rPr>
  </w:style>
  <w:style w:type="paragraph" w:styleId="45">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6">
    <w:name w:val="TOC Heading1"/>
    <w:basedOn w:val="2"/>
    <w:next w:val="1"/>
    <w:qFormat/>
    <w:uiPriority w:val="99"/>
    <w:pPr>
      <w:numPr>
        <w:numId w:val="0"/>
      </w:numPr>
      <w:outlineLvl w:val="9"/>
    </w:pPr>
  </w:style>
  <w:style w:type="character" w:customStyle="1" w:styleId="47">
    <w:name w:val="页脚 字符"/>
    <w:link w:val="13"/>
    <w:qFormat/>
    <w:locked/>
    <w:uiPriority w:val="99"/>
    <w:rPr>
      <w:sz w:val="24"/>
      <w:lang w:val="en-GB" w:eastAsia="en-US"/>
    </w:rPr>
  </w:style>
  <w:style w:type="character" w:customStyle="1" w:styleId="48">
    <w:name w:val="instruction standard blue"/>
    <w:qFormat/>
    <w:uiPriority w:val="99"/>
    <w:rPr>
      <w:i/>
      <w:color w:val="0070C0"/>
    </w:rPr>
  </w:style>
  <w:style w:type="character" w:customStyle="1" w:styleId="49">
    <w:name w:val="keyword"/>
    <w:qFormat/>
    <w:uiPriority w:val="99"/>
    <w:rPr>
      <w:rFonts w:cs="Times New Roman"/>
    </w:rPr>
  </w:style>
  <w:style w:type="paragraph" w:customStyle="1" w:styleId="50">
    <w:name w:val="numbering blue"/>
    <w:basedOn w:val="1"/>
    <w:link w:val="51"/>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1">
    <w:name w:val="numbering blue Zchn"/>
    <w:link w:val="50"/>
    <w:qFormat/>
    <w:locked/>
    <w:uiPriority w:val="99"/>
    <w:rPr>
      <w:rFonts w:ascii="Arial" w:hAnsi="Arial" w:eastAsia="PMingLiUfalt"/>
      <w:color w:val="0070C0"/>
      <w:lang w:eastAsia="zh-TW"/>
    </w:rPr>
  </w:style>
  <w:style w:type="paragraph" w:customStyle="1" w:styleId="52">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3">
    <w:name w:val="Text Char"/>
    <w:link w:val="54"/>
    <w:qFormat/>
    <w:locked/>
    <w:uiPriority w:val="99"/>
    <w:rPr>
      <w:sz w:val="24"/>
      <w:lang w:eastAsia="en-US"/>
    </w:rPr>
  </w:style>
  <w:style w:type="paragraph" w:customStyle="1" w:styleId="54">
    <w:name w:val="Text"/>
    <w:basedOn w:val="1"/>
    <w:link w:val="53"/>
    <w:qFormat/>
    <w:uiPriority w:val="99"/>
    <w:pPr>
      <w:overflowPunct/>
      <w:autoSpaceDE/>
      <w:autoSpaceDN/>
      <w:adjustRightInd/>
      <w:spacing w:before="120"/>
      <w:jc w:val="both"/>
      <w:textAlignment w:val="auto"/>
    </w:pPr>
    <w:rPr>
      <w:sz w:val="24"/>
      <w:lang w:val="en-US"/>
    </w:rPr>
  </w:style>
  <w:style w:type="character" w:customStyle="1" w:styleId="55">
    <w:name w:val="ordinary-span-edit2"/>
    <w:qFormat/>
    <w:uiPriority w:val="99"/>
  </w:style>
  <w:style w:type="character" w:customStyle="1" w:styleId="56">
    <w:name w:val="apple-converted-space"/>
    <w:qFormat/>
    <w:uiPriority w:val="99"/>
    <w:rPr>
      <w:rFonts w:cs="Times New Roman"/>
    </w:rPr>
  </w:style>
  <w:style w:type="paragraph" w:customStyle="1" w:styleId="57">
    <w:name w:val="Table text"/>
    <w:basedOn w:val="1"/>
    <w:qFormat/>
    <w:uiPriority w:val="99"/>
    <w:pPr>
      <w:overflowPunct/>
      <w:autoSpaceDE/>
      <w:autoSpaceDN/>
      <w:adjustRightInd/>
      <w:spacing w:before="120" w:after="120"/>
      <w:jc w:val="both"/>
      <w:textAlignment w:val="auto"/>
    </w:pPr>
    <w:rPr>
      <w:lang w:val="en-US"/>
    </w:rPr>
  </w:style>
  <w:style w:type="character" w:customStyle="1" w:styleId="58">
    <w:name w:val="Char Char2"/>
    <w:semiHidden/>
    <w:qFormat/>
    <w:uiPriority w:val="99"/>
    <w:rPr>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09D11-F1F3-4848-B07E-5162F31878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1408</Words>
  <Characters>8026</Characters>
  <Lines>66</Lines>
  <Paragraphs>18</Paragraphs>
  <TotalTime>3</TotalTime>
  <ScaleCrop>false</ScaleCrop>
  <LinksUpToDate>false</LinksUpToDate>
  <CharactersWithSpaces>9416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2022-06-30T06:07:00Z</dcterms:created>
  <dc:creator>Lilly</dc:creator>
  <cp:lastModifiedBy>汪洋</cp:lastModifiedBy>
  <cp:lastPrinted>2019-11-07T07:46:00Z</cp:lastPrinted>
  <dcterms:modified xsi:type="dcterms:W3CDTF">2022-09-30T07:32:55Z</dcterms:modified>
  <dc:title>生效期：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76483D60FAEA407495E44972C73286BD</vt:lpwstr>
  </property>
</Properties>
</file>