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227223"/>
      <w:bookmarkStart w:id="2" w:name="_Toc483400307"/>
      <w:bookmarkStart w:id="3" w:name="_Toc484532399"/>
      <w:bookmarkStart w:id="4" w:name="_Toc482717189"/>
    </w:p>
    <w:p>
      <w:pPr>
        <w:spacing w:after="158" w:afterLines="50"/>
        <w:jc w:val="center"/>
        <w:rPr>
          <w:b/>
          <w:szCs w:val="21"/>
          <w:lang w:eastAsia="zh-CN"/>
        </w:rPr>
      </w:pPr>
      <w:permStart w:id="0" w:edGrp="everyone"/>
      <w:r>
        <w:rPr>
          <w:rFonts w:hint="eastAsia"/>
          <w:b/>
          <w:sz w:val="28"/>
          <w:szCs w:val="28"/>
          <w:lang w:eastAsia="zh-CN"/>
        </w:rPr>
        <w:t>流感疫苗楼流感疫苗车间</w:t>
      </w:r>
      <w:r>
        <w:rPr>
          <w:rFonts w:hint="eastAsia"/>
          <w:b/>
          <w:sz w:val="28"/>
          <w:szCs w:val="28"/>
          <w:lang w:val="en-US" w:eastAsia="zh-CN"/>
        </w:rPr>
        <w:t>储液袋转存系统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rFonts w:ascii="Calibri" w:hAnsi="Calibri"/>
          <w:b w:val="0"/>
          <w:bCs w:val="0"/>
          <w:caps w:val="0"/>
          <w:szCs w:val="22"/>
        </w:rPr>
      </w:pPr>
      <w:permStart w:id="2" w:edGrp="everyone"/>
      <w:r>
        <w:fldChar w:fldCharType="begin"/>
      </w:r>
      <w:r>
        <w:instrText xml:space="preserve"> TOC \o "1-2" \h \z \u </w:instrText>
      </w:r>
      <w:r>
        <w:fldChar w:fldCharType="separate"/>
      </w:r>
      <w:r>
        <w:fldChar w:fldCharType="begin"/>
      </w:r>
      <w:r>
        <w:rPr>
          <w:rStyle w:val="23"/>
        </w:rPr>
        <w:instrText xml:space="preserve"> </w:instrText>
      </w:r>
      <w:r>
        <w:instrText xml:space="preserve">HYPERLINK \l "_Toc3540083"</w:instrText>
      </w:r>
      <w:r>
        <w:rPr>
          <w:rStyle w:val="23"/>
        </w:rPr>
        <w:instrText xml:space="preserve"> </w:instrText>
      </w:r>
      <w:r>
        <w:fldChar w:fldCharType="separate"/>
      </w:r>
      <w:r>
        <w:rPr>
          <w:rStyle w:val="23"/>
          <w:rFonts w:hint="eastAsia"/>
        </w:rPr>
        <w:t>修订历史</w:t>
      </w:r>
      <w:r>
        <w:tab/>
      </w:r>
      <w:r>
        <w:fldChar w:fldCharType="begin"/>
      </w:r>
      <w:r>
        <w:instrText xml:space="preserve"> PAGEREF _Toc3540083 \h </w:instrText>
      </w:r>
      <w:r>
        <w:fldChar w:fldCharType="separate"/>
      </w:r>
      <w:r>
        <w:t>3</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"_Toc3540084"</w:instrText>
      </w:r>
      <w:r>
        <w:rPr>
          <w:rStyle w:val="23"/>
        </w:rPr>
        <w:instrText xml:space="preserve"> </w:instrText>
      </w:r>
      <w:r>
        <w:fldChar w:fldCharType="separate"/>
      </w:r>
      <w:r>
        <w:rPr>
          <w:rStyle w:val="23"/>
        </w:rPr>
        <w:t>1</w:t>
      </w:r>
      <w:r>
        <w:rPr>
          <w:rFonts w:ascii="Calibri" w:hAnsi="Calibri"/>
          <w:b w:val="0"/>
          <w:bCs w:val="0"/>
          <w:caps w:val="0"/>
          <w:szCs w:val="22"/>
        </w:rPr>
        <w:tab/>
      </w:r>
      <w:r>
        <w:rPr>
          <w:rStyle w:val="23"/>
          <w:rFonts w:hint="eastAsia"/>
        </w:rPr>
        <w:t>目的</w:t>
      </w:r>
      <w:r>
        <w:tab/>
      </w:r>
      <w:r>
        <w:fldChar w:fldCharType="begin"/>
      </w:r>
      <w:r>
        <w:instrText xml:space="preserve"> PAGEREF _Toc3540084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"_Toc3540085"</w:instrText>
      </w:r>
      <w:r>
        <w:rPr>
          <w:rStyle w:val="23"/>
        </w:rPr>
        <w:instrText xml:space="preserve"> </w:instrText>
      </w:r>
      <w:r>
        <w:fldChar w:fldCharType="separate"/>
      </w:r>
      <w:r>
        <w:rPr>
          <w:rStyle w:val="23"/>
        </w:rPr>
        <w:t>2</w:t>
      </w:r>
      <w:r>
        <w:rPr>
          <w:rFonts w:ascii="Calibri" w:hAnsi="Calibri"/>
          <w:b w:val="0"/>
          <w:bCs w:val="0"/>
          <w:caps w:val="0"/>
          <w:szCs w:val="22"/>
        </w:rPr>
        <w:tab/>
      </w:r>
      <w:r>
        <w:rPr>
          <w:rStyle w:val="23"/>
          <w:rFonts w:hint="eastAsia"/>
        </w:rPr>
        <w:t>范围</w:t>
      </w:r>
      <w:r>
        <w:tab/>
      </w:r>
      <w:r>
        <w:fldChar w:fldCharType="begin"/>
      </w:r>
      <w:r>
        <w:instrText xml:space="preserve"> PAGEREF _Toc3540085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"_Toc3540086"</w:instrText>
      </w:r>
      <w:r>
        <w:rPr>
          <w:rStyle w:val="23"/>
        </w:rPr>
        <w:instrText xml:space="preserve"> </w:instrText>
      </w:r>
      <w:r>
        <w:fldChar w:fldCharType="separate"/>
      </w:r>
      <w:r>
        <w:rPr>
          <w:rStyle w:val="23"/>
        </w:rPr>
        <w:t>3</w:t>
      </w:r>
      <w:r>
        <w:rPr>
          <w:rFonts w:ascii="Calibri" w:hAnsi="Calibri"/>
          <w:b w:val="0"/>
          <w:bCs w:val="0"/>
          <w:caps w:val="0"/>
          <w:szCs w:val="22"/>
        </w:rPr>
        <w:tab/>
      </w:r>
      <w:r>
        <w:rPr>
          <w:rStyle w:val="23"/>
          <w:rFonts w:hint="eastAsia"/>
        </w:rPr>
        <w:t>参考文件</w:t>
      </w:r>
      <w:r>
        <w:tab/>
      </w:r>
      <w:r>
        <w:fldChar w:fldCharType="begin"/>
      </w:r>
      <w:r>
        <w:instrText xml:space="preserve"> PAGEREF _Toc3540086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"_Toc3540087"</w:instrText>
      </w:r>
      <w:r>
        <w:rPr>
          <w:rStyle w:val="23"/>
        </w:rPr>
        <w:instrText xml:space="preserve"> </w:instrText>
      </w:r>
      <w:r>
        <w:fldChar w:fldCharType="separate"/>
      </w:r>
      <w:r>
        <w:rPr>
          <w:rStyle w:val="23"/>
        </w:rPr>
        <w:t>4</w:t>
      </w:r>
      <w:r>
        <w:rPr>
          <w:rFonts w:ascii="Calibri" w:hAnsi="Calibri"/>
          <w:b w:val="0"/>
          <w:bCs w:val="0"/>
          <w:caps w:val="0"/>
          <w:szCs w:val="22"/>
        </w:rPr>
        <w:tab/>
      </w:r>
      <w:r>
        <w:rPr>
          <w:rStyle w:val="23"/>
          <w:rFonts w:hint="eastAsia"/>
        </w:rPr>
        <w:t>职责</w:t>
      </w:r>
      <w:r>
        <w:tab/>
      </w:r>
      <w:r>
        <w:fldChar w:fldCharType="begin"/>
      </w:r>
      <w:r>
        <w:instrText xml:space="preserve"> PAGEREF _Toc3540087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"_Toc3540088"</w:instrText>
      </w:r>
      <w:r>
        <w:rPr>
          <w:rStyle w:val="23"/>
        </w:rPr>
        <w:instrText xml:space="preserve"> </w:instrText>
      </w:r>
      <w:r>
        <w:fldChar w:fldCharType="separate"/>
      </w:r>
      <w:r>
        <w:rPr>
          <w:rStyle w:val="23"/>
        </w:rPr>
        <w:t>5</w:t>
      </w:r>
      <w:r>
        <w:rPr>
          <w:rFonts w:ascii="Calibri" w:hAnsi="Calibri"/>
          <w:b w:val="0"/>
          <w:bCs w:val="0"/>
          <w:caps w:val="0"/>
          <w:szCs w:val="22"/>
        </w:rPr>
        <w:tab/>
      </w:r>
      <w:r>
        <w:rPr>
          <w:rStyle w:val="23"/>
          <w:rFonts w:hint="eastAsia"/>
        </w:rPr>
        <w:t>系统描述</w:t>
      </w:r>
      <w:r>
        <w:tab/>
      </w:r>
      <w:r>
        <w:fldChar w:fldCharType="begin"/>
      </w:r>
      <w:r>
        <w:instrText xml:space="preserve"> PAGEREF _Toc3540088 \h </w:instrText>
      </w:r>
      <w:r>
        <w:fldChar w:fldCharType="separate"/>
      </w:r>
      <w:r>
        <w:t>4</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"_Toc3540089"</w:instrText>
      </w:r>
      <w:r>
        <w:rPr>
          <w:rStyle w:val="23"/>
        </w:rPr>
        <w:instrText xml:space="preserve"> </w:instrText>
      </w:r>
      <w:r>
        <w:fldChar w:fldCharType="separate"/>
      </w:r>
      <w:r>
        <w:rPr>
          <w:rStyle w:val="23"/>
        </w:rPr>
        <w:t>6</w:t>
      </w:r>
      <w:r>
        <w:rPr>
          <w:rFonts w:ascii="Calibri" w:hAnsi="Calibri"/>
          <w:b w:val="0"/>
          <w:bCs w:val="0"/>
          <w:caps w:val="0"/>
          <w:szCs w:val="22"/>
        </w:rPr>
        <w:tab/>
      </w:r>
      <w:r>
        <w:rPr>
          <w:rStyle w:val="23"/>
          <w:rFonts w:hint="eastAsia"/>
        </w:rPr>
        <w:t>安装要求</w:t>
      </w:r>
      <w:r>
        <w:tab/>
      </w:r>
      <w:r>
        <w:fldChar w:fldCharType="begin"/>
      </w:r>
      <w:r>
        <w:instrText xml:space="preserve"> PAGEREF _Toc3540089 \h </w:instrText>
      </w:r>
      <w:r>
        <w:fldChar w:fldCharType="separate"/>
      </w:r>
      <w:r>
        <w:t>5</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"_Toc3540090"</w:instrText>
      </w:r>
      <w:r>
        <w:rPr>
          <w:rStyle w:val="23"/>
        </w:rPr>
        <w:instrText xml:space="preserve"> </w:instrText>
      </w:r>
      <w:r>
        <w:fldChar w:fldCharType="separate"/>
      </w:r>
      <w:r>
        <w:rPr>
          <w:rStyle w:val="23"/>
        </w:rPr>
        <w:t>7</w:t>
      </w:r>
      <w:r>
        <w:rPr>
          <w:rFonts w:ascii="Calibri" w:hAnsi="Calibri"/>
          <w:b w:val="0"/>
          <w:bCs w:val="0"/>
          <w:caps w:val="0"/>
          <w:szCs w:val="22"/>
        </w:rPr>
        <w:tab/>
      </w:r>
      <w:r>
        <w:rPr>
          <w:rStyle w:val="23"/>
          <w:rFonts w:hint="eastAsia"/>
        </w:rPr>
        <w:t>运行要求</w:t>
      </w:r>
      <w:r>
        <w:tab/>
      </w:r>
      <w:r>
        <w:fldChar w:fldCharType="begin"/>
      </w:r>
      <w:r>
        <w:instrText xml:space="preserve"> PAGEREF _Toc3540090 \h </w:instrText>
      </w:r>
      <w:r>
        <w:fldChar w:fldCharType="separate"/>
      </w:r>
      <w:r>
        <w:t>6</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"_Toc3540091"</w:instrText>
      </w:r>
      <w:r>
        <w:rPr>
          <w:rStyle w:val="23"/>
        </w:rPr>
        <w:instrText xml:space="preserve"> </w:instrText>
      </w:r>
      <w:r>
        <w:fldChar w:fldCharType="separate"/>
      </w:r>
      <w:r>
        <w:rPr>
          <w:rStyle w:val="23"/>
        </w:rPr>
        <w:t>8</w:t>
      </w:r>
      <w:r>
        <w:rPr>
          <w:rFonts w:ascii="Calibri" w:hAnsi="Calibri"/>
          <w:b w:val="0"/>
          <w:bCs w:val="0"/>
          <w:caps w:val="0"/>
          <w:szCs w:val="22"/>
        </w:rPr>
        <w:tab/>
      </w:r>
      <w:r>
        <w:rPr>
          <w:rStyle w:val="23"/>
          <w:rFonts w:hint="eastAsia"/>
        </w:rPr>
        <w:t>电气、自动控制要求</w:t>
      </w:r>
      <w:r>
        <w:tab/>
      </w:r>
      <w:r>
        <w:fldChar w:fldCharType="begin"/>
      </w:r>
      <w:r>
        <w:instrText xml:space="preserve"> PAGEREF _Toc3540091 \h </w:instrText>
      </w:r>
      <w:r>
        <w:fldChar w:fldCharType="separate"/>
      </w:r>
      <w:r>
        <w:t>6</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"_Toc3540092"</w:instrText>
      </w:r>
      <w:r>
        <w:rPr>
          <w:rStyle w:val="23"/>
        </w:rPr>
        <w:instrText xml:space="preserve"> </w:instrText>
      </w:r>
      <w:r>
        <w:fldChar w:fldCharType="separate"/>
      </w:r>
      <w:r>
        <w:rPr>
          <w:rStyle w:val="23"/>
        </w:rPr>
        <w:t>9</w:t>
      </w:r>
      <w:r>
        <w:rPr>
          <w:rFonts w:ascii="Calibri" w:hAnsi="Calibri"/>
          <w:b w:val="0"/>
          <w:bCs w:val="0"/>
          <w:caps w:val="0"/>
          <w:szCs w:val="22"/>
        </w:rPr>
        <w:tab/>
      </w:r>
      <w:r>
        <w:rPr>
          <w:rStyle w:val="23"/>
          <w:rFonts w:hint="eastAsia"/>
        </w:rPr>
        <w:t>安全要求</w:t>
      </w:r>
      <w:r>
        <w:tab/>
      </w:r>
      <w:r>
        <w:fldChar w:fldCharType="begin"/>
      </w:r>
      <w:r>
        <w:instrText xml:space="preserve"> PAGEREF _Toc3540092 \h </w:instrText>
      </w:r>
      <w:r>
        <w:fldChar w:fldCharType="separate"/>
      </w:r>
      <w:r>
        <w:t>7</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"_Toc3540093"</w:instrText>
      </w:r>
      <w:r>
        <w:rPr>
          <w:rStyle w:val="23"/>
        </w:rPr>
        <w:instrText xml:space="preserve"> </w:instrText>
      </w:r>
      <w:r>
        <w:fldChar w:fldCharType="separate"/>
      </w:r>
      <w:r>
        <w:rPr>
          <w:rStyle w:val="23"/>
        </w:rPr>
        <w:t>10</w:t>
      </w:r>
      <w:r>
        <w:rPr>
          <w:rFonts w:ascii="Calibri" w:hAnsi="Calibri"/>
          <w:b w:val="0"/>
          <w:bCs w:val="0"/>
          <w:caps w:val="0"/>
          <w:szCs w:val="22"/>
        </w:rPr>
        <w:tab/>
      </w:r>
      <w:r>
        <w:rPr>
          <w:rStyle w:val="23"/>
          <w:rFonts w:hint="eastAsia"/>
        </w:rPr>
        <w:t>文件要求</w:t>
      </w:r>
      <w:r>
        <w:tab/>
      </w:r>
      <w:r>
        <w:fldChar w:fldCharType="begin"/>
      </w:r>
      <w:r>
        <w:instrText xml:space="preserve"> PAGEREF _Toc3540093 \h </w:instrText>
      </w:r>
      <w:r>
        <w:fldChar w:fldCharType="separate"/>
      </w:r>
      <w:r>
        <w:t>7</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"_Toc3540094"</w:instrText>
      </w:r>
      <w:r>
        <w:rPr>
          <w:rStyle w:val="23"/>
        </w:rPr>
        <w:instrText xml:space="preserve"> </w:instrText>
      </w:r>
      <w:r>
        <w:fldChar w:fldCharType="separate"/>
      </w:r>
      <w:r>
        <w:rPr>
          <w:rStyle w:val="23"/>
        </w:rPr>
        <w:t>11</w:t>
      </w:r>
      <w:r>
        <w:rPr>
          <w:rFonts w:ascii="Calibri" w:hAnsi="Calibri"/>
          <w:b w:val="0"/>
          <w:bCs w:val="0"/>
          <w:caps w:val="0"/>
          <w:szCs w:val="22"/>
        </w:rPr>
        <w:tab/>
      </w:r>
      <w:r>
        <w:rPr>
          <w:rStyle w:val="23"/>
          <w:rFonts w:hint="eastAsia"/>
        </w:rPr>
        <w:t>服务要求</w:t>
      </w:r>
      <w:r>
        <w:tab/>
      </w:r>
      <w:r>
        <w:fldChar w:fldCharType="begin"/>
      </w:r>
      <w:r>
        <w:instrText xml:space="preserve"> PAGEREF _Toc3540094 \h </w:instrText>
      </w:r>
      <w:r>
        <w:fldChar w:fldCharType="separate"/>
      </w:r>
      <w:r>
        <w:t>8</w:t>
      </w:r>
      <w:r>
        <w:fldChar w:fldCharType="end"/>
      </w:r>
      <w:r>
        <w:fldChar w:fldCharType="end"/>
      </w:r>
    </w:p>
    <w:p>
      <w:pPr>
        <w:pStyle w:val="15"/>
        <w:rPr>
          <w:rFonts w:ascii="Calibri" w:hAnsi="Calibri"/>
          <w:b w:val="0"/>
          <w:bCs w:val="0"/>
          <w:caps w:val="0"/>
          <w:szCs w:val="22"/>
        </w:rPr>
      </w:pPr>
      <w:r>
        <w:fldChar w:fldCharType="begin"/>
      </w:r>
      <w:r>
        <w:rPr>
          <w:rStyle w:val="23"/>
        </w:rPr>
        <w:instrText xml:space="preserve"> </w:instrText>
      </w:r>
      <w:r>
        <w:instrText xml:space="preserve">HYPERLINK \l "_Toc3540095"</w:instrText>
      </w:r>
      <w:r>
        <w:rPr>
          <w:rStyle w:val="23"/>
        </w:rPr>
        <w:instrText xml:space="preserve"> </w:instrText>
      </w:r>
      <w:r>
        <w:fldChar w:fldCharType="separate"/>
      </w:r>
      <w:r>
        <w:rPr>
          <w:rStyle w:val="23"/>
        </w:rPr>
        <w:t>12</w:t>
      </w:r>
      <w:r>
        <w:rPr>
          <w:rFonts w:ascii="Calibri" w:hAnsi="Calibri"/>
          <w:b w:val="0"/>
          <w:bCs w:val="0"/>
          <w:caps w:val="0"/>
          <w:szCs w:val="22"/>
        </w:rPr>
        <w:tab/>
      </w:r>
      <w:r>
        <w:rPr>
          <w:rStyle w:val="23"/>
          <w:rFonts w:hint="eastAsia"/>
        </w:rPr>
        <w:t>附件</w:t>
      </w:r>
      <w:r>
        <w:tab/>
      </w:r>
      <w:r>
        <w:fldChar w:fldCharType="begin"/>
      </w:r>
      <w:r>
        <w:instrText xml:space="preserve"> PAGEREF _Toc3540095 \h </w:instrText>
      </w:r>
      <w:r>
        <w:fldChar w:fldCharType="separate"/>
      </w:r>
      <w:r>
        <w:t>8</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4" w:hangingChars="202"/>
        <w:outlineLvl w:val="0"/>
        <w:rPr>
          <w:rFonts w:ascii="Times New Roman" w:hAnsi="Times New Roman"/>
          <w:b/>
        </w:rPr>
      </w:pPr>
      <w:bookmarkStart w:id="5" w:name="_Toc522107735"/>
      <w:bookmarkStart w:id="6" w:name="_Toc3540084"/>
      <w:r>
        <w:rPr>
          <w:rFonts w:ascii="Times New Roman" w:hAnsi="Times New Roman"/>
          <w:b/>
        </w:rPr>
        <w:t>目的</w:t>
      </w:r>
      <w:bookmarkEnd w:id="5"/>
      <w:bookmarkEnd w:id="6"/>
    </w:p>
    <w:p>
      <w:pPr>
        <w:pStyle w:val="33"/>
        <w:spacing w:before="0" w:line="360" w:lineRule="auto"/>
        <w:ind w:left="357"/>
        <w:jc w:val="left"/>
        <w:rPr>
          <w:szCs w:val="21"/>
          <w:lang w:eastAsia="zh-CN"/>
        </w:rPr>
      </w:pPr>
      <w:bookmarkStart w:id="7" w:name="_Toc482370349"/>
      <w:bookmarkStart w:id="8" w:name="_Toc481702475"/>
      <w:bookmarkStart w:id="9" w:name="_Toc482370141"/>
      <w:bookmarkStart w:id="10" w:name="_Toc482625279"/>
      <w:bookmarkStart w:id="11" w:name="_Toc482359936"/>
      <w:bookmarkStart w:id="12" w:name="_Toc482360281"/>
      <w:bookmarkStart w:id="13" w:name="_Toc482370757"/>
      <w:bookmarkStart w:id="14" w:name="_Toc482369805"/>
      <w:bookmarkStart w:id="15" w:name="_Toc482370061"/>
      <w:r>
        <w:rPr>
          <w:szCs w:val="21"/>
          <w:lang w:eastAsia="zh-CN"/>
        </w:rPr>
        <w:t>本文件的目的是描述武汉生物制品研究所有限责任公司</w:t>
      </w:r>
      <w:permStart w:id="3" w:edGrp="everyone"/>
      <w:r>
        <w:rPr>
          <w:rFonts w:hint="eastAsia"/>
          <w:szCs w:val="21"/>
          <w:lang w:eastAsia="zh-CN"/>
        </w:rPr>
        <w:t>流感</w:t>
      </w:r>
      <w:r>
        <w:rPr>
          <w:rFonts w:hint="eastAsia"/>
          <w:szCs w:val="21"/>
          <w:lang w:val="en-US" w:eastAsia="zh-CN"/>
        </w:rPr>
        <w:t>疫苗楼流感</w:t>
      </w:r>
      <w:r>
        <w:rPr>
          <w:rFonts w:hint="eastAsia"/>
          <w:szCs w:val="21"/>
          <w:lang w:eastAsia="zh-CN"/>
        </w:rPr>
        <w:t>病毒疫苗</w:t>
      </w:r>
      <w:r>
        <w:rPr>
          <w:rFonts w:hint="eastAsia"/>
          <w:szCs w:val="21"/>
          <w:lang w:val="en-US" w:eastAsia="zh-CN"/>
        </w:rPr>
        <w:t>车间储液袋转存系统</w:t>
      </w:r>
      <w:permEnd w:id="3"/>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6" w:name="_Toc522107736"/>
      <w:bookmarkStart w:id="17" w:name="_Toc3540085"/>
      <w:r>
        <w:rPr>
          <w:rFonts w:ascii="Times New Roman" w:hAnsi="Times New Roman"/>
          <w:b/>
        </w:rPr>
        <w:t>范围</w:t>
      </w:r>
      <w:bookmarkEnd w:id="16"/>
      <w:bookmarkEnd w:id="17"/>
    </w:p>
    <w:p>
      <w:pPr>
        <w:pStyle w:val="3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流感</w:t>
      </w:r>
      <w:r>
        <w:rPr>
          <w:rFonts w:hint="eastAsia"/>
          <w:szCs w:val="21"/>
          <w:lang w:val="en-US" w:eastAsia="zh-CN"/>
        </w:rPr>
        <w:t>疫苗楼流感</w:t>
      </w:r>
      <w:r>
        <w:rPr>
          <w:rFonts w:hint="eastAsia"/>
          <w:szCs w:val="21"/>
          <w:lang w:eastAsia="zh-CN"/>
        </w:rPr>
        <w:t>病毒疫苗</w:t>
      </w:r>
      <w:r>
        <w:rPr>
          <w:rFonts w:hint="eastAsia"/>
          <w:szCs w:val="21"/>
          <w:lang w:val="en-US" w:eastAsia="zh-CN"/>
        </w:rPr>
        <w:t>车间储液袋转存系统</w:t>
      </w:r>
      <w:r>
        <w:rPr>
          <w:rFonts w:hint="eastAsia"/>
          <w:szCs w:val="21"/>
          <w:lang w:eastAsia="zh-CN"/>
        </w:rPr>
        <w:t>，详见附件1</w:t>
      </w:r>
      <w:permEnd w:id="4"/>
      <w:r>
        <w:rPr>
          <w:szCs w:val="21"/>
          <w:lang w:eastAsia="zh-CN"/>
        </w:rPr>
        <w:t>。</w:t>
      </w:r>
      <w:bookmarkEnd w:id="7"/>
      <w:bookmarkEnd w:id="8"/>
      <w:bookmarkEnd w:id="9"/>
      <w:bookmarkEnd w:id="10"/>
      <w:bookmarkEnd w:id="11"/>
      <w:bookmarkEnd w:id="12"/>
      <w:bookmarkEnd w:id="13"/>
      <w:bookmarkEnd w:id="14"/>
      <w:bookmarkEnd w:id="15"/>
    </w:p>
    <w:p>
      <w:pPr>
        <w:pStyle w:val="33"/>
        <w:spacing w:before="0" w:line="360" w:lineRule="auto"/>
        <w:ind w:left="357"/>
        <w:jc w:val="left"/>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8" w:name="_Toc522107737"/>
      <w:bookmarkStart w:id="19" w:name="_Toc3540086"/>
      <w:r>
        <w:rPr>
          <w:rFonts w:ascii="Times New Roman" w:hAnsi="Times New Roman"/>
          <w:b/>
        </w:rPr>
        <w:t>参考文件</w:t>
      </w:r>
      <w:bookmarkEnd w:id="18"/>
      <w:bookmarkEnd w:id="19"/>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5"/>
        </w:numPr>
        <w:spacing w:before="0" w:line="360" w:lineRule="auto"/>
        <w:ind w:left="777"/>
        <w:jc w:val="left"/>
        <w:rPr>
          <w:rFonts w:hint="eastAsia"/>
          <w:color w:val="000000"/>
          <w:szCs w:val="21"/>
          <w:lang w:eastAsia="zh-CN"/>
        </w:rPr>
      </w:pPr>
      <w:permStart w:id="5" w:edGrp="everyone"/>
      <w:r>
        <w:rPr>
          <w:rFonts w:hint="eastAsia"/>
          <w:color w:val="000000"/>
          <w:szCs w:val="21"/>
          <w:lang w:eastAsia="zh-CN"/>
        </w:rPr>
        <w:t>《</w:t>
      </w:r>
      <w:r>
        <w:rPr>
          <w:color w:val="000000"/>
          <w:szCs w:val="21"/>
          <w:lang w:eastAsia="zh-CN"/>
        </w:rPr>
        <w:t xml:space="preserve">中国药典 </w:t>
      </w:r>
      <w:r>
        <w:rPr>
          <w:rFonts w:hint="eastAsia"/>
          <w:color w:val="000000"/>
          <w:szCs w:val="21"/>
          <w:lang w:eastAsia="zh-CN"/>
        </w:rPr>
        <w:t>》</w:t>
      </w:r>
      <w:r>
        <w:rPr>
          <w:color w:val="000000"/>
          <w:szCs w:val="21"/>
          <w:lang w:eastAsia="zh-CN"/>
        </w:rPr>
        <w:t>20</w:t>
      </w:r>
      <w:r>
        <w:rPr>
          <w:rFonts w:hint="eastAsia"/>
          <w:color w:val="000000"/>
          <w:szCs w:val="21"/>
          <w:lang w:val="en-US" w:eastAsia="zh-CN"/>
        </w:rPr>
        <w:t>20</w:t>
      </w:r>
      <w:r>
        <w:rPr>
          <w:color w:val="000000"/>
          <w:szCs w:val="21"/>
          <w:lang w:eastAsia="zh-CN"/>
        </w:rPr>
        <w:t>年版</w:t>
      </w:r>
    </w:p>
    <w:p>
      <w:pPr>
        <w:pStyle w:val="33"/>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《药品生产质量管理规范》2010年修订版</w:t>
      </w:r>
    </w:p>
    <w:p>
      <w:pPr>
        <w:pStyle w:val="33"/>
        <w:numPr>
          <w:ilvl w:val="0"/>
          <w:numId w:val="5"/>
        </w:numPr>
        <w:spacing w:before="0" w:line="360" w:lineRule="auto"/>
        <w:ind w:left="777"/>
        <w:jc w:val="left"/>
        <w:rPr>
          <w:color w:val="000000"/>
          <w:szCs w:val="21"/>
          <w:lang w:eastAsia="zh-CN"/>
        </w:rPr>
      </w:pPr>
      <w:r>
        <w:rPr>
          <w:color w:val="000000"/>
          <w:szCs w:val="21"/>
          <w:lang w:eastAsia="zh-CN"/>
        </w:rPr>
        <w:t>WHO Technical Report Series No 986, 2014 Annex 2 WHO good manufacturing practices for pharmaceutical products: main principles</w:t>
      </w:r>
    </w:p>
    <w:permEnd w:id="5"/>
    <w:p>
      <w:pPr>
        <w:pStyle w:val="33"/>
        <w:numPr>
          <w:ilvl w:val="0"/>
          <w:numId w:val="4"/>
        </w:numPr>
        <w:spacing w:before="0" w:line="360" w:lineRule="auto"/>
        <w:jc w:val="left"/>
        <w:rPr>
          <w:color w:val="000000"/>
          <w:szCs w:val="21"/>
          <w:lang w:eastAsia="zh-CN"/>
        </w:rPr>
      </w:pPr>
      <w:r>
        <w:rPr>
          <w:color w:val="000000"/>
          <w:szCs w:val="21"/>
          <w:lang w:eastAsia="zh-CN"/>
        </w:rPr>
        <w:t>安全及环保法规指南</w:t>
      </w:r>
      <w:bookmarkStart w:id="47" w:name="_GoBack"/>
      <w:bookmarkEnd w:id="47"/>
    </w:p>
    <w:p>
      <w:pPr>
        <w:pStyle w:val="33"/>
        <w:spacing w:before="0" w:line="360" w:lineRule="auto"/>
        <w:ind w:left="357"/>
        <w:jc w:val="left"/>
        <w:rPr>
          <w:i/>
          <w:szCs w:val="21"/>
          <w:lang w:eastAsia="zh-CN"/>
        </w:rPr>
      </w:pPr>
      <w:permStart w:id="6" w:edGrp="everyone"/>
      <w:permEnd w:id="6"/>
    </w:p>
    <w:p>
      <w:pPr>
        <w:pStyle w:val="31"/>
        <w:numPr>
          <w:ilvl w:val="0"/>
          <w:numId w:val="3"/>
        </w:numPr>
        <w:spacing w:after="158" w:afterLines="50"/>
        <w:ind w:left="426" w:hanging="424" w:hangingChars="202"/>
        <w:outlineLvl w:val="0"/>
        <w:rPr>
          <w:rFonts w:ascii="Times New Roman" w:hAnsi="Times New Roman"/>
          <w:b/>
        </w:rPr>
      </w:pPr>
      <w:bookmarkStart w:id="20" w:name="_Toc3540088"/>
      <w:bookmarkStart w:id="21" w:name="_Toc522107739"/>
      <w:permStart w:id="7" w:edGrp="everyone"/>
      <w:permEnd w:id="7"/>
      <w:r>
        <w:rPr>
          <w:rFonts w:ascii="Times New Roman" w:hAnsi="Times New Roman"/>
          <w:b/>
        </w:rPr>
        <w:t>系统描述</w:t>
      </w:r>
      <w:bookmarkEnd w:id="20"/>
      <w:bookmarkEnd w:id="21"/>
    </w:p>
    <w:p>
      <w:pPr>
        <w:pStyle w:val="33"/>
        <w:spacing w:before="0" w:line="360" w:lineRule="auto"/>
        <w:ind w:left="357"/>
        <w:jc w:val="left"/>
        <w:rPr>
          <w:i/>
          <w:color w:val="4472C4"/>
          <w:szCs w:val="21"/>
          <w:lang w:eastAsia="zh-CN"/>
        </w:rPr>
      </w:pPr>
      <w:permStart w:id="8" w:edGrp="everyone"/>
      <w:r>
        <w:rPr>
          <w:rFonts w:hint="eastAsia"/>
          <w:szCs w:val="21"/>
          <w:lang w:val="en-US" w:eastAsia="zh-CN"/>
        </w:rPr>
        <w:t>储液袋转存系统</w:t>
      </w:r>
      <w:r>
        <w:rPr>
          <w:rFonts w:hint="eastAsia" w:ascii="宋体" w:hAnsi="宋体"/>
          <w:color w:val="000000"/>
          <w:szCs w:val="21"/>
          <w:lang w:eastAsia="zh-CN"/>
        </w:rPr>
        <w:t>主要是指</w:t>
      </w:r>
      <w:r>
        <w:rPr>
          <w:rFonts w:hint="eastAsia" w:ascii="宋体" w:hAnsi="宋体"/>
          <w:color w:val="000000"/>
          <w:szCs w:val="21"/>
          <w:lang w:val="en-US" w:eastAsia="zh-CN"/>
        </w:rPr>
        <w:t>流感疫苗楼流感病毒疫苗</w:t>
      </w:r>
      <w:r>
        <w:rPr>
          <w:rFonts w:hint="eastAsia" w:ascii="宋体" w:hAnsi="宋体"/>
          <w:color w:val="000000"/>
          <w:szCs w:val="21"/>
          <w:lang w:eastAsia="zh-CN"/>
        </w:rPr>
        <w:t>车间</w:t>
      </w:r>
      <w:r>
        <w:rPr>
          <w:rFonts w:hint="eastAsia" w:ascii="宋体" w:hAnsi="宋体"/>
          <w:color w:val="000000"/>
          <w:szCs w:val="21"/>
          <w:lang w:val="en-US" w:eastAsia="zh-CN"/>
        </w:rPr>
        <w:t>原液转存所需储液袋托盘（100个）</w:t>
      </w:r>
      <w:r>
        <w:rPr>
          <w:rFonts w:hint="eastAsia" w:ascii="宋体" w:hAnsi="宋体"/>
          <w:color w:val="000000"/>
          <w:szCs w:val="21"/>
          <w:lang w:eastAsia="zh-CN"/>
        </w:rPr>
        <w:t>、</w:t>
      </w:r>
      <w:r>
        <w:rPr>
          <w:rFonts w:hint="eastAsia" w:ascii="宋体" w:hAnsi="宋体"/>
          <w:color w:val="000000"/>
          <w:szCs w:val="21"/>
          <w:lang w:val="en-US" w:eastAsia="zh-CN"/>
        </w:rPr>
        <w:t>转运车（4台）</w:t>
      </w:r>
      <w:r>
        <w:rPr>
          <w:rFonts w:hint="eastAsia" w:ascii="宋体" w:hAnsi="宋体"/>
          <w:color w:val="000000"/>
          <w:szCs w:val="21"/>
          <w:lang w:eastAsia="zh-CN"/>
        </w:rPr>
        <w:t>、置物架（</w:t>
      </w:r>
      <w:r>
        <w:rPr>
          <w:rFonts w:hint="eastAsia" w:ascii="宋体" w:hAnsi="宋体"/>
          <w:color w:val="000000"/>
          <w:szCs w:val="21"/>
          <w:lang w:val="en-US" w:eastAsia="zh-CN"/>
        </w:rPr>
        <w:t>40台）</w:t>
      </w:r>
      <w:r>
        <w:rPr>
          <w:rFonts w:hint="eastAsia" w:ascii="宋体" w:hAnsi="宋体"/>
          <w:color w:val="000000"/>
          <w:szCs w:val="21"/>
          <w:lang w:eastAsia="zh-CN"/>
        </w:rPr>
        <w:t>等设备。</w:t>
      </w:r>
      <w:permEnd w:id="8"/>
    </w:p>
    <w:p>
      <w:pPr>
        <w:pStyle w:val="31"/>
        <w:numPr>
          <w:ilvl w:val="0"/>
          <w:numId w:val="3"/>
        </w:numPr>
        <w:spacing w:after="158" w:afterLines="50"/>
        <w:ind w:left="426" w:hanging="424" w:hangingChars="202"/>
        <w:outlineLvl w:val="0"/>
        <w:rPr>
          <w:rFonts w:ascii="Times New Roman" w:hAnsi="Times New Roman"/>
          <w:szCs w:val="21"/>
        </w:rPr>
      </w:pPr>
      <w:bookmarkStart w:id="22" w:name="_Toc3540089"/>
      <w:r>
        <w:rPr>
          <w:rFonts w:ascii="Times New Roman" w:hAnsi="Times New Roman"/>
          <w:b/>
          <w:szCs w:val="21"/>
        </w:rPr>
        <w:t>安装要求</w:t>
      </w:r>
      <w:bookmarkEnd w:id="22"/>
      <w:permStart w:id="9" w:edGrp="everyone"/>
      <w:permEnd w:id="9"/>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6"/>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noWrap w:val="0"/>
            <w:vAlign w:val="center"/>
          </w:tcPr>
          <w:p>
            <w:pPr>
              <w:jc w:val="center"/>
              <w:rPr>
                <w:b/>
                <w:szCs w:val="21"/>
              </w:rPr>
            </w:pPr>
            <w:bookmarkStart w:id="23" w:name="OLE_LINK2"/>
            <w:bookmarkStart w:id="24" w:name="OLE_LINK1"/>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0" w:edGrp="everyone"/>
          </w:p>
        </w:tc>
        <w:tc>
          <w:tcPr>
            <w:tcW w:w="7129" w:type="dxa"/>
            <w:noWrap w:val="0"/>
            <w:vAlign w:val="center"/>
          </w:tcPr>
          <w:p>
            <w:pPr>
              <w:spacing w:line="276" w:lineRule="auto"/>
              <w:jc w:val="both"/>
              <w:rPr>
                <w:rFonts w:hint="default"/>
                <w:i w:val="0"/>
                <w:iCs/>
                <w:color w:val="auto"/>
                <w:szCs w:val="21"/>
                <w:lang w:val="en-US" w:eastAsia="zh-CN"/>
              </w:rPr>
            </w:pPr>
            <w:r>
              <w:rPr>
                <w:rFonts w:hint="eastAsia"/>
                <w:i w:val="0"/>
                <w:iCs/>
                <w:color w:val="auto"/>
                <w:szCs w:val="21"/>
                <w:lang w:val="en-US" w:eastAsia="zh-CN"/>
              </w:rPr>
              <w:t>流感疫苗楼流感病毒疫苗车间原液冷库及原液制备间</w:t>
            </w:r>
          </w:p>
        </w:tc>
        <w:tc>
          <w:tcPr>
            <w:tcW w:w="2125" w:type="dxa"/>
            <w:noWrap w:val="0"/>
            <w:vAlign w:val="center"/>
          </w:tcPr>
          <w:p>
            <w:pPr>
              <w:jc w:val="both"/>
              <w:rPr>
                <w:rFonts w:hint="default"/>
                <w:i w:val="0"/>
                <w:iCs/>
                <w:szCs w:val="21"/>
                <w:lang w:val="en-US" w:eastAsia="zh-CN"/>
              </w:rPr>
            </w:pPr>
            <w:r>
              <w:rPr>
                <w:rFonts w:hint="eastAsia"/>
                <w:i w:val="0"/>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1" w:edGrp="everyone"/>
          </w:p>
        </w:tc>
        <w:tc>
          <w:tcPr>
            <w:tcW w:w="7129" w:type="dxa"/>
            <w:noWrap w:val="0"/>
            <w:vAlign w:val="center"/>
          </w:tcPr>
          <w:p>
            <w:pPr>
              <w:spacing w:line="276" w:lineRule="auto"/>
              <w:jc w:val="both"/>
              <w:rPr>
                <w:i/>
                <w:color w:val="FF0000"/>
                <w:szCs w:val="21"/>
                <w:lang w:eastAsia="zh-CN"/>
              </w:rPr>
            </w:pPr>
            <w:r>
              <w:rPr>
                <w:rFonts w:hint="eastAsia"/>
                <w:szCs w:val="21"/>
                <w:lang w:val="en-US" w:eastAsia="zh-CN"/>
              </w:rPr>
              <w:t>储液袋托盘尺寸内壁尺寸为长：500mm</w:t>
            </w:r>
            <w:r>
              <w:rPr>
                <w:rFonts w:hint="default" w:ascii="Arial" w:hAnsi="Arial" w:cs="Arial"/>
                <w:szCs w:val="21"/>
                <w:lang w:val="en-US" w:eastAsia="zh-CN"/>
              </w:rPr>
              <w:t>×</w:t>
            </w:r>
            <w:r>
              <w:rPr>
                <w:rFonts w:hint="eastAsia"/>
                <w:szCs w:val="21"/>
                <w:lang w:val="en-US" w:eastAsia="zh-CN"/>
              </w:rPr>
              <w:t>宽：500mm</w:t>
            </w:r>
            <w:r>
              <w:rPr>
                <w:rFonts w:hint="default" w:ascii="Arial" w:hAnsi="Arial" w:cs="Arial"/>
                <w:szCs w:val="21"/>
                <w:lang w:val="en-US" w:eastAsia="zh-CN"/>
              </w:rPr>
              <w:t>×</w:t>
            </w:r>
            <w:r>
              <w:rPr>
                <w:rFonts w:hint="eastAsia"/>
                <w:szCs w:val="21"/>
                <w:lang w:val="en-US" w:eastAsia="zh-CN"/>
              </w:rPr>
              <w:t>高：260mm</w:t>
            </w:r>
            <w:r>
              <w:rPr>
                <w:rFonts w:hint="eastAsia"/>
                <w:szCs w:val="21"/>
                <w:lang w:eastAsia="zh-CN"/>
              </w:rPr>
              <w:t>。</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color w:val="0070C0"/>
                <w:szCs w:val="21"/>
                <w:lang w:val="en-US" w:eastAsia="zh-CN"/>
              </w:rPr>
            </w:pPr>
            <w:r>
              <w:rPr>
                <w:rFonts w:hint="eastAsia"/>
                <w:szCs w:val="21"/>
                <w:lang w:val="en-US" w:eastAsia="zh-CN"/>
              </w:rPr>
              <w:t>转运推车分两层，每层可放置2个托盘，可同时转移4批原液</w:t>
            </w:r>
            <w:r>
              <w:rPr>
                <w:rFonts w:hint="eastAsia"/>
                <w:szCs w:val="21"/>
                <w:lang w:eastAsia="zh-CN"/>
              </w:rPr>
              <w:t>。</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rFonts w:hint="default"/>
                <w:szCs w:val="21"/>
                <w:lang w:val="en-US" w:eastAsia="zh-CN"/>
              </w:rPr>
            </w:pPr>
            <w:r>
              <w:rPr>
                <w:rFonts w:hint="eastAsia"/>
                <w:szCs w:val="21"/>
                <w:lang w:val="en-US" w:eastAsia="zh-CN"/>
              </w:rPr>
              <w:t>置物架放置于原液冷库，两间原液冷库长宽分别为：</w:t>
            </w:r>
            <w:r>
              <w:rPr>
                <w:rFonts w:hint="eastAsia"/>
                <w:szCs w:val="21"/>
                <w:highlight w:val="yellow"/>
                <w:lang w:val="en-US" w:eastAsia="zh-CN"/>
              </w:rPr>
              <w:t>长:7m</w:t>
            </w:r>
            <w:r>
              <w:rPr>
                <w:rFonts w:hint="default" w:ascii="Arial" w:hAnsi="Arial" w:cs="Arial"/>
                <w:szCs w:val="21"/>
                <w:highlight w:val="yellow"/>
                <w:lang w:val="en-US" w:eastAsia="zh-CN"/>
              </w:rPr>
              <w:t>×</w:t>
            </w:r>
            <w:r>
              <w:rPr>
                <w:rFonts w:hint="eastAsia"/>
                <w:szCs w:val="21"/>
                <w:highlight w:val="yellow"/>
                <w:lang w:val="en-US" w:eastAsia="zh-CN"/>
              </w:rPr>
              <w:t>宽:5.5m；长:6.8m</w:t>
            </w:r>
            <w:r>
              <w:rPr>
                <w:rFonts w:hint="default" w:ascii="Arial" w:hAnsi="Arial" w:cs="Arial"/>
                <w:szCs w:val="21"/>
                <w:highlight w:val="yellow"/>
                <w:lang w:val="en-US" w:eastAsia="zh-CN"/>
              </w:rPr>
              <w:t>×</w:t>
            </w:r>
            <w:r>
              <w:rPr>
                <w:rFonts w:hint="eastAsia"/>
                <w:szCs w:val="21"/>
                <w:highlight w:val="yellow"/>
                <w:lang w:val="en-US" w:eastAsia="zh-CN"/>
              </w:rPr>
              <w:t>宽:5m</w:t>
            </w:r>
            <w:r>
              <w:rPr>
                <w:rFonts w:hint="eastAsia"/>
                <w:szCs w:val="21"/>
                <w:highlight w:val="yellow"/>
                <w:lang w:eastAsia="zh-CN"/>
              </w:rPr>
              <w:t>。</w:t>
            </w:r>
            <w:r>
              <w:rPr>
                <w:rFonts w:hint="eastAsia"/>
                <w:szCs w:val="21"/>
                <w:highlight w:val="yellow"/>
                <w:lang w:val="en-US" w:eastAsia="zh-CN"/>
              </w:rPr>
              <w:t>每间冷库置物架应放置不少于300个托盘，应根据冷库尺寸设计置物架尺寸，需留出转运推车及人员进出行走的通道。</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noWrap w:val="0"/>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2" w:edGrp="everyone"/>
          </w:p>
        </w:tc>
        <w:tc>
          <w:tcPr>
            <w:tcW w:w="7129" w:type="dxa"/>
            <w:noWrap w:val="0"/>
            <w:vAlign w:val="center"/>
          </w:tcPr>
          <w:p>
            <w:pPr>
              <w:spacing w:line="276" w:lineRule="auto"/>
              <w:jc w:val="both"/>
              <w:rPr>
                <w:rFonts w:hint="eastAsia"/>
                <w:szCs w:val="21"/>
                <w:lang w:val="en-US" w:eastAsia="zh-CN"/>
              </w:rPr>
            </w:pPr>
            <w:r>
              <w:rPr>
                <w:rFonts w:hint="eastAsia"/>
                <w:szCs w:val="21"/>
                <w:lang w:val="en-US" w:eastAsia="zh-CN"/>
              </w:rPr>
              <w:t>托盘应可承受80KG的重量，并可以搬抬转运。</w:t>
            </w:r>
          </w:p>
          <w:p>
            <w:pPr>
              <w:spacing w:line="276" w:lineRule="auto"/>
              <w:jc w:val="both"/>
              <w:rPr>
                <w:rFonts w:hint="eastAsia"/>
                <w:szCs w:val="21"/>
                <w:lang w:val="en-US" w:eastAsia="zh-CN"/>
              </w:rPr>
            </w:pPr>
            <w:r>
              <w:rPr>
                <w:rFonts w:hint="eastAsia"/>
                <w:szCs w:val="21"/>
                <w:lang w:val="en-US" w:eastAsia="zh-CN"/>
              </w:rPr>
              <w:t>转运推车可承受4个满载托盘的重量。</w:t>
            </w:r>
          </w:p>
          <w:p>
            <w:pPr>
              <w:spacing w:line="276" w:lineRule="auto"/>
              <w:jc w:val="both"/>
              <w:rPr>
                <w:rFonts w:hint="default"/>
                <w:szCs w:val="21"/>
                <w:lang w:val="en-US" w:eastAsia="zh-CN"/>
              </w:rPr>
            </w:pPr>
            <w:r>
              <w:rPr>
                <w:rFonts w:hint="eastAsia"/>
                <w:szCs w:val="21"/>
                <w:lang w:val="en-US" w:eastAsia="zh-CN"/>
              </w:rPr>
              <w:t>置物架应可承受设计的满载托盘重量。</w:t>
            </w:r>
          </w:p>
        </w:tc>
        <w:tc>
          <w:tcPr>
            <w:tcW w:w="2125" w:type="dxa"/>
            <w:noWrap w:val="0"/>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04" w:type="dxa"/>
            <w:shd w:val="clear" w:color="auto" w:fill="D9D9D9"/>
            <w:noWrap w:val="0"/>
            <w:vAlign w:val="center"/>
          </w:tcPr>
          <w:p>
            <w:pPr>
              <w:jc w:val="both"/>
              <w:rPr>
                <w:szCs w:val="21"/>
                <w:highlight w:val="lightGray"/>
                <w:lang w:eastAsia="zh-CN"/>
              </w:rPr>
            </w:pPr>
            <w:permStart w:id="13" w:edGrp="everyone"/>
          </w:p>
        </w:tc>
        <w:tc>
          <w:tcPr>
            <w:tcW w:w="9260" w:type="dxa"/>
            <w:gridSpan w:val="3"/>
            <w:noWrap w:val="0"/>
            <w:vAlign w:val="center"/>
          </w:tcPr>
          <w:p>
            <w:pPr>
              <w:jc w:val="both"/>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4" w:edGrp="everyone"/>
          </w:p>
        </w:tc>
        <w:tc>
          <w:tcPr>
            <w:tcW w:w="7129" w:type="dxa"/>
            <w:noWrap w:val="0"/>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rFonts w:hint="eastAsia"/>
                <w:color w:val="000000"/>
                <w:lang w:val="en-US" w:eastAsia="zh-CN"/>
              </w:rPr>
              <w:t>2</w:t>
            </w:r>
            <w:r>
              <w:rPr>
                <w:rFonts w:hint="eastAsia"/>
                <w:color w:val="000000"/>
                <w:lang w:eastAsia="zh-CN"/>
              </w:rPr>
              <w:t>℃</w:t>
            </w:r>
            <w:r>
              <w:rPr>
                <w:color w:val="000000"/>
                <w:lang w:eastAsia="zh-CN"/>
              </w:rPr>
              <w:t>～</w:t>
            </w:r>
            <w:r>
              <w:rPr>
                <w:rFonts w:hint="eastAsia"/>
                <w:color w:val="000000"/>
                <w:lang w:val="en-US" w:eastAsia="zh-CN"/>
              </w:rPr>
              <w:t>8</w:t>
            </w:r>
            <w:r>
              <w:rPr>
                <w:rFonts w:hint="eastAsia"/>
                <w:color w:val="000000"/>
                <w:lang w:eastAsia="zh-CN"/>
              </w:rPr>
              <w:t>℃</w:t>
            </w:r>
            <w:r>
              <w:rPr>
                <w:color w:val="000000"/>
                <w:lang w:eastAsia="zh-CN"/>
              </w:rPr>
              <w:t>环境</w:t>
            </w:r>
            <w:r>
              <w:rPr>
                <w:rFonts w:hint="eastAsia"/>
                <w:color w:val="000000"/>
                <w:lang w:eastAsia="zh-CN"/>
              </w:rPr>
              <w:t>。</w:t>
            </w:r>
          </w:p>
        </w:tc>
        <w:tc>
          <w:tcPr>
            <w:tcW w:w="2125" w:type="dxa"/>
            <w:noWrap w:val="0"/>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5" w:edGrp="everyone"/>
          </w:p>
        </w:tc>
        <w:tc>
          <w:tcPr>
            <w:tcW w:w="7129" w:type="dxa"/>
            <w:noWrap w:val="0"/>
            <w:vAlign w:val="center"/>
          </w:tcPr>
          <w:p>
            <w:pPr>
              <w:spacing w:line="276" w:lineRule="auto"/>
              <w:jc w:val="both"/>
              <w:rPr>
                <w:color w:val="000000"/>
                <w:lang w:eastAsia="zh-CN"/>
              </w:rPr>
            </w:pPr>
            <w:r>
              <w:rPr>
                <w:color w:val="000000"/>
                <w:lang w:eastAsia="zh-CN"/>
              </w:rPr>
              <w:t>工作环境湿度：至少包括</w:t>
            </w:r>
            <w:r>
              <w:rPr>
                <w:color w:val="auto"/>
                <w:lang w:eastAsia="zh-CN"/>
              </w:rPr>
              <w:t>45%～65%</w:t>
            </w:r>
            <w:r>
              <w:rPr>
                <w:rFonts w:hint="eastAsia"/>
                <w:color w:val="auto"/>
                <w:lang w:eastAsia="zh-CN"/>
              </w:rPr>
              <w:t>。</w:t>
            </w:r>
          </w:p>
        </w:tc>
        <w:tc>
          <w:tcPr>
            <w:tcW w:w="2125" w:type="dxa"/>
            <w:noWrap w:val="0"/>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6" w:edGrp="everyone"/>
          </w:p>
        </w:tc>
        <w:tc>
          <w:tcPr>
            <w:tcW w:w="7129" w:type="dxa"/>
            <w:noWrap w:val="0"/>
            <w:vAlign w:val="center"/>
          </w:tcPr>
          <w:p>
            <w:pPr>
              <w:spacing w:line="276" w:lineRule="auto"/>
              <w:jc w:val="both"/>
              <w:rPr>
                <w:color w:val="000000"/>
                <w:lang w:eastAsia="zh-CN"/>
              </w:rPr>
            </w:pPr>
            <w:r>
              <w:rPr>
                <w:color w:val="000000"/>
                <w:lang w:eastAsia="zh-CN"/>
              </w:rPr>
              <w:t>工作环境洁净级别： C级区域</w:t>
            </w:r>
            <w:r>
              <w:rPr>
                <w:rFonts w:hint="eastAsia"/>
                <w:color w:val="000000"/>
                <w:lang w:eastAsia="zh-CN"/>
              </w:rPr>
              <w:t xml:space="preserve"> 。</w:t>
            </w:r>
          </w:p>
        </w:tc>
        <w:tc>
          <w:tcPr>
            <w:tcW w:w="2125" w:type="dxa"/>
            <w:noWrap w:val="0"/>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ind w:firstLineChars="0"/>
              <w:rPr>
                <w:rFonts w:hint="eastAsia" w:ascii="Times New Roman" w:hAnsi="Times New Roman"/>
                <w:szCs w:val="21"/>
              </w:rPr>
            </w:pPr>
            <w:permStart w:id="17" w:edGrp="everyone"/>
          </w:p>
        </w:tc>
        <w:tc>
          <w:tcPr>
            <w:tcW w:w="9254" w:type="dxa"/>
            <w:gridSpan w:val="2"/>
            <w:noWrap w:val="0"/>
            <w:vAlign w:val="center"/>
          </w:tcPr>
          <w:p>
            <w:pPr>
              <w:jc w:val="both"/>
              <w:rPr>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shd w:val="clear" w:color="auto" w:fill="D9D9D9"/>
            <w:noWrap w:val="0"/>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gridSpan w:val="2"/>
            <w:noWrap w:val="0"/>
            <w:vAlign w:val="center"/>
          </w:tcPr>
          <w:p>
            <w:pPr>
              <w:pStyle w:val="31"/>
              <w:numPr>
                <w:ilvl w:val="0"/>
                <w:numId w:val="7"/>
              </w:numPr>
              <w:ind w:left="470" w:hanging="120" w:firstLineChars="0"/>
              <w:rPr>
                <w:rFonts w:ascii="Times New Roman" w:hAnsi="Times New Roman"/>
                <w:szCs w:val="21"/>
              </w:rPr>
            </w:pPr>
            <w:permStart w:id="18" w:edGrp="everyone"/>
          </w:p>
        </w:tc>
        <w:tc>
          <w:tcPr>
            <w:tcW w:w="7129" w:type="dxa"/>
            <w:noWrap w:val="0"/>
            <w:vAlign w:val="center"/>
          </w:tcPr>
          <w:p>
            <w:pPr>
              <w:spacing w:line="276" w:lineRule="auto"/>
              <w:jc w:val="both"/>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托盘：材质应耐VHP消毒，自重不超过5KG，带盖子可满足储液袋避光保存，有利于人员搬抬的功能，无清洁死角，无锐角避免划破储液袋；</w:t>
            </w:r>
          </w:p>
          <w:p>
            <w:pPr>
              <w:spacing w:line="276" w:lineRule="auto"/>
              <w:jc w:val="both"/>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转运推车：304不锈钢材质，</w:t>
            </w:r>
            <w:r>
              <w:rPr>
                <w:rFonts w:ascii="宋体" w:hAnsi="宋体" w:eastAsia="宋体" w:cs="宋体"/>
                <w:color w:val="000000"/>
                <w:kern w:val="0"/>
                <w:sz w:val="20"/>
                <w:szCs w:val="20"/>
                <w:lang w:val="en-US" w:eastAsia="zh-CN" w:bidi="ar"/>
              </w:rPr>
              <w:t>各层四周设置栏杆，栏杆高10cm。物架4根立柱均装万向车轮，带刹车结构。整体承重≥</w:t>
            </w:r>
            <w:r>
              <w:rPr>
                <w:rFonts w:hint="eastAsia" w:ascii="宋体" w:hAnsi="宋体" w:cs="宋体"/>
                <w:color w:val="000000"/>
                <w:kern w:val="0"/>
                <w:sz w:val="20"/>
                <w:szCs w:val="20"/>
                <w:lang w:val="en-US" w:eastAsia="zh-CN" w:bidi="ar"/>
              </w:rPr>
              <w:t>30</w:t>
            </w:r>
            <w:r>
              <w:rPr>
                <w:rFonts w:ascii="宋体" w:hAnsi="宋体" w:eastAsia="宋体" w:cs="宋体"/>
                <w:color w:val="000000"/>
                <w:kern w:val="0"/>
                <w:sz w:val="20"/>
                <w:szCs w:val="20"/>
                <w:lang w:val="en-US" w:eastAsia="zh-CN" w:bidi="ar"/>
              </w:rPr>
              <w:t>0kg。四角加防撞塑料。</w:t>
            </w:r>
            <w:r>
              <w:rPr>
                <w:rFonts w:hint="eastAsia" w:ascii="宋体" w:hAnsi="宋体" w:cs="宋体"/>
                <w:color w:val="000000"/>
                <w:kern w:val="0"/>
                <w:sz w:val="20"/>
                <w:szCs w:val="20"/>
                <w:lang w:val="en-US" w:eastAsia="zh-CN" w:bidi="ar"/>
              </w:rPr>
              <w:t>无</w:t>
            </w:r>
            <w:r>
              <w:rPr>
                <w:rFonts w:ascii="宋体" w:hAnsi="宋体" w:eastAsia="宋体" w:cs="宋体"/>
                <w:color w:val="000000"/>
                <w:kern w:val="0"/>
                <w:sz w:val="20"/>
                <w:szCs w:val="20"/>
                <w:lang w:val="en-US" w:eastAsia="zh-CN" w:bidi="ar"/>
              </w:rPr>
              <w:t>清洁死角和毛刺</w:t>
            </w:r>
            <w:r>
              <w:rPr>
                <w:rFonts w:hint="eastAsia" w:ascii="宋体" w:hAnsi="宋体" w:cs="宋体"/>
                <w:color w:val="000000"/>
                <w:kern w:val="0"/>
                <w:sz w:val="20"/>
                <w:szCs w:val="20"/>
                <w:lang w:val="en-US" w:eastAsia="zh-CN" w:bidi="ar"/>
              </w:rPr>
              <w:t>。</w:t>
            </w:r>
          </w:p>
          <w:p>
            <w:pPr>
              <w:spacing w:line="276" w:lineRule="auto"/>
              <w:jc w:val="both"/>
              <w:rPr>
                <w:i/>
                <w:color w:val="FF0000"/>
                <w:lang w:eastAsia="zh-CN"/>
              </w:rPr>
            </w:pPr>
            <w:r>
              <w:rPr>
                <w:rFonts w:hint="eastAsia" w:ascii="宋体" w:hAnsi="宋体" w:cs="宋体"/>
                <w:color w:val="000000"/>
                <w:kern w:val="0"/>
                <w:sz w:val="20"/>
                <w:szCs w:val="20"/>
                <w:lang w:val="en-US" w:eastAsia="zh-CN" w:bidi="ar"/>
              </w:rPr>
              <w:t>置物架：304不锈钢材质，表面光滑，</w:t>
            </w:r>
            <w:r>
              <w:rPr>
                <w:rFonts w:ascii="宋体" w:hAnsi="宋体" w:eastAsia="宋体" w:cs="宋体"/>
                <w:color w:val="000000"/>
                <w:kern w:val="0"/>
                <w:sz w:val="20"/>
                <w:szCs w:val="20"/>
                <w:lang w:val="en-US" w:eastAsia="zh-CN" w:bidi="ar"/>
              </w:rPr>
              <w:t>采用不锈钢调整脚。焊缝满焊，不能有清洁死角和毛刺。</w:t>
            </w:r>
          </w:p>
        </w:tc>
        <w:tc>
          <w:tcPr>
            <w:tcW w:w="2125" w:type="dxa"/>
            <w:noWrap w:val="0"/>
            <w:vAlign w:val="center"/>
          </w:tcPr>
          <w:p>
            <w:pPr>
              <w:jc w:val="both"/>
              <w:rPr>
                <w:szCs w:val="21"/>
                <w:lang w:eastAsia="zh-CN"/>
              </w:rPr>
            </w:pPr>
            <w:r>
              <w:rPr>
                <w:rFonts w:hint="eastAsia"/>
                <w:szCs w:val="21"/>
                <w:lang w:eastAsia="zh-CN"/>
              </w:rPr>
              <w:t>关键</w:t>
            </w:r>
          </w:p>
        </w:tc>
      </w:tr>
      <w:bookmarkEnd w:id="23"/>
      <w:bookmarkEnd w:id="24"/>
      <w:permEnd w:id="18"/>
    </w:tbl>
    <w:p>
      <w:pPr>
        <w:pStyle w:val="31"/>
        <w:numPr>
          <w:ilvl w:val="0"/>
          <w:numId w:val="3"/>
        </w:numPr>
        <w:spacing w:after="158" w:afterLines="50"/>
        <w:ind w:left="426" w:hanging="424" w:hangingChars="202"/>
        <w:outlineLvl w:val="0"/>
        <w:rPr>
          <w:rFonts w:ascii="Times New Roman" w:hAnsi="Times New Roman"/>
          <w:b/>
        </w:rPr>
      </w:pPr>
      <w:bookmarkStart w:id="25" w:name="_Toc3540090"/>
      <w:bookmarkStart w:id="26" w:name="_Toc522107740"/>
      <w:r>
        <w:rPr>
          <w:rFonts w:ascii="Times New Roman" w:hAnsi="Times New Roman"/>
          <w:b/>
        </w:rPr>
        <w:t>运行要求</w:t>
      </w:r>
      <w:bookmarkEnd w:id="25"/>
      <w:bookmarkEnd w:id="26"/>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19" w:edGrp="everyone"/>
            <w:permEnd w:id="19"/>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0"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1"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2"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23" w:edGrp="everyone"/>
          </w:p>
        </w:tc>
        <w:tc>
          <w:tcPr>
            <w:tcW w:w="7129" w:type="dxa"/>
            <w:noWrap w:val="0"/>
            <w:vAlign w:val="center"/>
          </w:tcPr>
          <w:p>
            <w:pPr>
              <w:spacing w:line="276" w:lineRule="auto"/>
              <w:jc w:val="both"/>
              <w:rPr>
                <w:szCs w:val="21"/>
                <w:lang w:eastAsia="zh-CN"/>
              </w:rPr>
            </w:pPr>
            <w:r>
              <w:rPr>
                <w:rFonts w:hint="eastAsia"/>
                <w:color w:val="000000"/>
                <w:lang w:eastAsia="zh-CN"/>
              </w:rPr>
              <w:t>所有可接触部分，不得有毛刺和尖锐面，防止人员操作时受伤。</w:t>
            </w:r>
          </w:p>
        </w:tc>
        <w:tc>
          <w:tcPr>
            <w:tcW w:w="2125" w:type="dxa"/>
            <w:noWrap w:val="0"/>
            <w:vAlign w:val="center"/>
          </w:tcPr>
          <w:p>
            <w:pPr>
              <w:jc w:val="both"/>
              <w:rPr>
                <w:szCs w:val="21"/>
                <w:lang w:eastAsia="zh-CN"/>
              </w:rPr>
            </w:pPr>
            <w:r>
              <w:rPr>
                <w:rFonts w:hint="eastAsia"/>
                <w:szCs w:val="21"/>
                <w:lang w:eastAsia="zh-CN"/>
              </w:rPr>
              <w:t>关键</w:t>
            </w:r>
          </w:p>
        </w:tc>
      </w:tr>
      <w:permEnd w:id="23"/>
    </w:tbl>
    <w:p>
      <w:pPr>
        <w:pStyle w:val="31"/>
        <w:numPr>
          <w:ilvl w:val="0"/>
          <w:numId w:val="3"/>
        </w:numPr>
        <w:spacing w:after="158" w:afterLines="50"/>
        <w:ind w:left="426" w:hanging="424" w:hangingChars="202"/>
        <w:outlineLvl w:val="0"/>
        <w:rPr>
          <w:rFonts w:ascii="Times New Roman" w:hAnsi="Times New Roman"/>
          <w:b/>
        </w:rPr>
      </w:pPr>
      <w:bookmarkStart w:id="27" w:name="_Toc3540091"/>
      <w:bookmarkStart w:id="28" w:name="_Toc522107742"/>
      <w:bookmarkStart w:id="29" w:name="_Toc483400317"/>
      <w:bookmarkStart w:id="30" w:name="_Toc482370151"/>
      <w:bookmarkStart w:id="31" w:name="_Toc482359946"/>
      <w:bookmarkStart w:id="32" w:name="_Toc482717202"/>
      <w:bookmarkStart w:id="33" w:name="_Toc482360291"/>
      <w:bookmarkStart w:id="34" w:name="_Toc482370359"/>
      <w:bookmarkStart w:id="35" w:name="_Toc482370767"/>
      <w:bookmarkStart w:id="36" w:name="_Toc481702480"/>
      <w:bookmarkStart w:id="37" w:name="_Toc483227237"/>
      <w:bookmarkStart w:id="38" w:name="_Toc482625289"/>
      <w:bookmarkStart w:id="39" w:name="_Toc482370071"/>
      <w:bookmarkStart w:id="40" w:name="_Toc482369815"/>
      <w:r>
        <w:rPr>
          <w:rFonts w:ascii="Times New Roman" w:hAnsi="Times New Roman"/>
          <w:b/>
        </w:rPr>
        <w:t>电气、自动控制要求</w:t>
      </w:r>
      <w:bookmarkEnd w:id="27"/>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24" w:edGrp="everyone"/>
            <w:permEnd w:id="24"/>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5"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6"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6"/>
    </w:tbl>
    <w:p>
      <w:pPr>
        <w:pStyle w:val="31"/>
        <w:numPr>
          <w:ilvl w:val="0"/>
          <w:numId w:val="3"/>
        </w:numPr>
        <w:spacing w:after="158" w:afterLines="50"/>
        <w:ind w:left="426" w:hanging="424" w:hangingChars="202"/>
        <w:outlineLvl w:val="0"/>
        <w:rPr>
          <w:rFonts w:ascii="Times New Roman" w:hAnsi="Times New Roman"/>
          <w:b/>
        </w:rPr>
      </w:pPr>
      <w:bookmarkStart w:id="41" w:name="_Toc3540092"/>
      <w:r>
        <w:rPr>
          <w:rFonts w:ascii="Times New Roman" w:hAnsi="Times New Roman"/>
          <w:b/>
        </w:rPr>
        <w:t>安全要求</w:t>
      </w:r>
      <w:bookmarkEnd w:id="28"/>
      <w:bookmarkEnd w:id="41"/>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27" w:edGrp="everyone"/>
            <w:permEnd w:id="27"/>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0"/>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8"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0"/>
              </w:numPr>
              <w:ind w:firstLineChars="0"/>
              <w:rPr>
                <w:rFonts w:ascii="Times New Roman" w:hAnsi="Times New Roman"/>
                <w:szCs w:val="21"/>
              </w:rPr>
            </w:pPr>
          </w:p>
        </w:tc>
        <w:tc>
          <w:tcPr>
            <w:tcW w:w="7129" w:type="dxa"/>
            <w:shd w:val="clear" w:color="auto" w:fill="D9D9D9"/>
            <w:noWrap w:val="0"/>
            <w:vAlign w:val="center"/>
          </w:tcPr>
          <w:p>
            <w:pPr>
              <w:jc w:val="both"/>
              <w:rPr>
                <w:szCs w:val="21"/>
                <w:lang w:eastAsia="zh-CN"/>
              </w:rPr>
            </w:pPr>
            <w:r>
              <w:rPr>
                <w:szCs w:val="21"/>
                <w:lang w:eastAsia="zh-CN"/>
              </w:rPr>
              <w:t>电气保护</w:t>
            </w:r>
          </w:p>
        </w:tc>
        <w:tc>
          <w:tcPr>
            <w:tcW w:w="2125" w:type="dxa"/>
            <w:shd w:val="clear" w:color="auto" w:fill="D9D9D9"/>
            <w:noWrap w:val="0"/>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29"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29"/>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2" w:name="_Toc3540093"/>
      <w:bookmarkStart w:id="43" w:name="_Toc522107743"/>
      <w:r>
        <w:rPr>
          <w:rFonts w:ascii="Times New Roman" w:hAnsi="Times New Roman"/>
          <w:b/>
        </w:rPr>
        <w:t>文件要求</w:t>
      </w:r>
      <w:bookmarkEnd w:id="42"/>
      <w:bookmarkEnd w:id="43"/>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30" w:edGrp="everyone"/>
            <w:permEnd w:id="30"/>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1" w:edGrp="everyone"/>
          </w:p>
        </w:tc>
        <w:tc>
          <w:tcPr>
            <w:tcW w:w="7129" w:type="dxa"/>
            <w:noWrap w:val="0"/>
            <w:vAlign w:val="center"/>
          </w:tcPr>
          <w:p>
            <w:pPr>
              <w:jc w:val="both"/>
              <w:rPr>
                <w:szCs w:val="21"/>
                <w:lang w:eastAsia="zh-CN"/>
              </w:rPr>
            </w:pPr>
            <w:r>
              <w:rPr>
                <w:szCs w:val="21"/>
                <w:lang w:eastAsia="zh-CN"/>
              </w:rPr>
              <w:t xml:space="preserve"> </w:t>
            </w:r>
            <w:r>
              <w:rPr>
                <w:rFonts w:hint="eastAsia"/>
                <w:lang w:eastAsia="zh-CN"/>
              </w:rPr>
              <w:t>供应商提供对应材质的检验证明材料。</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color w:val="000000"/>
                <w:szCs w:val="21"/>
                <w:lang w:eastAsia="zh-CN"/>
              </w:rPr>
            </w:pPr>
            <w:r>
              <w:rPr>
                <w:rFonts w:hint="eastAsia" w:ascii="宋体" w:hAnsi="宋体"/>
                <w:color w:val="000000"/>
                <w:szCs w:val="21"/>
                <w:lang w:eastAsia="zh-CN"/>
              </w:rPr>
              <w:t>投标文件、合同及订单，卖方发运清单及相关检验报告。</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color w:val="000000"/>
                <w:szCs w:val="21"/>
                <w:lang w:eastAsia="zh-CN"/>
              </w:rPr>
            </w:pPr>
            <w:r>
              <w:rPr>
                <w:rFonts w:hint="eastAsia" w:ascii="宋体" w:hAnsi="宋体"/>
                <w:color w:val="000000"/>
                <w:szCs w:val="21"/>
                <w:lang w:eastAsia="zh-CN"/>
              </w:rPr>
              <w:t>设备厂家文件：出厂测试合格证、相关检测报告、</w:t>
            </w:r>
            <w:r>
              <w:rPr>
                <w:color w:val="000000"/>
                <w:szCs w:val="21"/>
                <w:lang w:eastAsia="zh-CN"/>
              </w:rPr>
              <w:t>设备及组件清单</w:t>
            </w:r>
            <w:r>
              <w:rPr>
                <w:rFonts w:hint="eastAsia"/>
                <w:color w:val="000000"/>
                <w:szCs w:val="21"/>
                <w:lang w:eastAsia="zh-CN"/>
              </w:rPr>
              <w:t>（包含</w:t>
            </w:r>
            <w:r>
              <w:rPr>
                <w:rFonts w:hint="eastAsia"/>
                <w:color w:val="000000"/>
                <w:szCs w:val="21"/>
                <w:lang w:val="en-US" w:eastAsia="zh-CN"/>
              </w:rPr>
              <w:t>设备尺寸图，</w:t>
            </w:r>
            <w:r>
              <w:rPr>
                <w:rFonts w:hint="eastAsia"/>
                <w:color w:val="000000"/>
                <w:szCs w:val="21"/>
                <w:lang w:eastAsia="zh-CN"/>
              </w:rPr>
              <w:t>使用寿命相关说明</w:t>
            </w:r>
            <w:r>
              <w:rPr>
                <w:rFonts w:hint="eastAsia"/>
                <w:color w:val="000000"/>
                <w:szCs w:val="21"/>
                <w:lang w:val="en-US" w:eastAsia="zh-CN"/>
              </w:rPr>
              <w:t>等</w:t>
            </w:r>
            <w:r>
              <w:rPr>
                <w:rFonts w:hint="eastAsia"/>
                <w:color w:val="000000"/>
                <w:szCs w:val="21"/>
                <w:lang w:eastAsia="zh-CN"/>
              </w:rPr>
              <w:t>）</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rFonts w:hint="default" w:ascii="宋体" w:hAnsi="宋体"/>
                <w:color w:val="000000"/>
                <w:szCs w:val="21"/>
                <w:lang w:val="en-US" w:eastAsia="zh-CN"/>
              </w:rPr>
            </w:pPr>
            <w:r>
              <w:rPr>
                <w:rFonts w:hint="eastAsia" w:ascii="宋体" w:hAnsi="宋体"/>
                <w:color w:val="000000"/>
                <w:szCs w:val="21"/>
                <w:lang w:val="en-US" w:eastAsia="zh-CN"/>
              </w:rPr>
              <w:t>冷库置物架设计布局方案</w:t>
            </w:r>
          </w:p>
        </w:tc>
        <w:tc>
          <w:tcPr>
            <w:tcW w:w="2125" w:type="dxa"/>
            <w:noWrap w:val="0"/>
            <w:vAlign w:val="center"/>
          </w:tcPr>
          <w:p>
            <w:pPr>
              <w:jc w:val="both"/>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color w:val="000000"/>
                <w:szCs w:val="21"/>
                <w:lang w:eastAsia="zh-CN"/>
              </w:rPr>
            </w:pPr>
            <w:r>
              <w:rPr>
                <w:rFonts w:hint="eastAsia" w:ascii="宋体" w:hAnsi="宋体"/>
                <w:color w:val="000000"/>
                <w:szCs w:val="21"/>
                <w:lang w:eastAsia="zh-CN"/>
              </w:rPr>
              <w:t>设</w:t>
            </w:r>
            <w:r>
              <w:rPr>
                <w:rFonts w:hint="eastAsia" w:ascii="宋体" w:hAnsi="宋体"/>
                <w:color w:val="000000"/>
                <w:sz w:val="21"/>
                <w:szCs w:val="21"/>
                <w:lang w:eastAsia="zh-CN"/>
              </w:rPr>
              <w:t>备厂家</w:t>
            </w:r>
            <w:r>
              <w:rPr>
                <w:rFonts w:hint="eastAsia" w:ascii="宋体" w:hAnsi="宋体"/>
                <w:color w:val="000000"/>
                <w:sz w:val="21"/>
                <w:szCs w:val="21"/>
                <w:lang w:val="en-US" w:eastAsia="zh-CN"/>
              </w:rPr>
              <w:t>安装</w:t>
            </w:r>
            <w:r>
              <w:rPr>
                <w:rFonts w:hint="eastAsia" w:ascii="宋体" w:hAnsi="宋体"/>
                <w:color w:val="000000"/>
                <w:sz w:val="21"/>
                <w:szCs w:val="21"/>
                <w:lang w:eastAsia="zh-CN"/>
              </w:rPr>
              <w:t>：尺寸二次确认后</w:t>
            </w:r>
            <w:r>
              <w:rPr>
                <w:rFonts w:hint="eastAsia" w:ascii="宋体" w:hAnsi="宋体"/>
                <w:color w:val="000000"/>
                <w:sz w:val="21"/>
                <w:szCs w:val="21"/>
                <w:lang w:val="en-US" w:eastAsia="zh-CN"/>
              </w:rPr>
              <w:t>进行设计与安装。</w:t>
            </w:r>
            <w:r>
              <w:rPr>
                <w:rFonts w:hint="eastAsia"/>
                <w:sz w:val="21"/>
                <w:szCs w:val="21"/>
                <w:lang w:eastAsia="zh-CN"/>
              </w:rPr>
              <w:t>安装位置、外观、尺寸、文件（材质证明、合格证、说明书等）</w:t>
            </w:r>
            <w:r>
              <w:rPr>
                <w:rFonts w:hint="eastAsia"/>
                <w:sz w:val="21"/>
                <w:szCs w:val="21"/>
                <w:lang w:val="en-US" w:eastAsia="zh-CN"/>
              </w:rPr>
              <w:t>必须符合要求</w:t>
            </w:r>
            <w:r>
              <w:rPr>
                <w:rFonts w:hint="eastAsia" w:ascii="宋体" w:hAnsi="宋体"/>
                <w:color w:val="000000"/>
                <w:szCs w:val="21"/>
                <w:lang w:eastAsia="zh-CN"/>
              </w:rPr>
              <w:t>。</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rFonts w:hint="eastAsia" w:ascii="宋体" w:hAnsi="宋体"/>
                <w:color w:val="000000"/>
                <w:szCs w:val="21"/>
                <w:lang w:eastAsia="zh-CN"/>
              </w:rPr>
            </w:pPr>
            <w:r>
              <w:rPr>
                <w:rFonts w:hint="eastAsia" w:ascii="宋体" w:hAnsi="宋体"/>
                <w:color w:val="000000"/>
                <w:szCs w:val="21"/>
                <w:lang w:eastAsia="zh-CN"/>
              </w:rPr>
              <w:t>必要的使用操作说明书及维护保养说明</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jc w:val="both"/>
              <w:rPr>
                <w:color w:val="000000"/>
                <w:szCs w:val="21"/>
                <w:lang w:eastAsia="zh-CN"/>
              </w:rPr>
            </w:pPr>
            <w:r>
              <w:rPr>
                <w:rFonts w:hint="eastAsia" w:ascii="宋体" w:hAnsi="宋体" w:eastAsia="宋体" w:cs="宋体"/>
                <w:i w:val="0"/>
                <w:caps w:val="0"/>
                <w:color w:val="111111"/>
                <w:spacing w:val="0"/>
                <w:sz w:val="21"/>
                <w:szCs w:val="21"/>
                <w:shd w:val="clear" w:fill="FFFFFF"/>
              </w:rPr>
              <w:t>上述条款规定的文件需提供电子版，并在设备开箱验收时将最终批准的电子版及纸质版全套资料交工程技术部存档。</w:t>
            </w:r>
          </w:p>
        </w:tc>
        <w:tc>
          <w:tcPr>
            <w:tcW w:w="2125" w:type="dxa"/>
            <w:noWrap w:val="0"/>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4" w:name="_Toc3540094"/>
      <w:r>
        <w:rPr>
          <w:rFonts w:ascii="Times New Roman" w:hAnsi="Times New Roman"/>
          <w:b/>
          <w:szCs w:val="21"/>
        </w:rPr>
        <w:t>服务要求</w:t>
      </w:r>
      <w:bookmarkEnd w:id="44"/>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permStart w:id="32" w:edGrp="everyone"/>
            <w:permEnd w:id="32"/>
            <w:r>
              <w:rPr>
                <w:b/>
                <w:szCs w:val="21"/>
              </w:rPr>
              <w:t>编号</w:t>
            </w:r>
          </w:p>
        </w:tc>
        <w:tc>
          <w:tcPr>
            <w:tcW w:w="7129"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jc w:val="both"/>
              <w:rPr>
                <w:color w:val="000000"/>
                <w:szCs w:val="21"/>
                <w:lang w:eastAsia="zh-CN"/>
              </w:rPr>
            </w:pPr>
            <w:permStart w:id="33" w:edGrp="everyone"/>
          </w:p>
        </w:tc>
        <w:tc>
          <w:tcPr>
            <w:tcW w:w="9254" w:type="dxa"/>
            <w:gridSpan w:val="2"/>
            <w:noWrap w:val="0"/>
            <w:vAlign w:val="center"/>
          </w:tcPr>
          <w:p>
            <w:pPr>
              <w:jc w:val="both"/>
              <w:rPr>
                <w:color w:val="000000"/>
                <w:szCs w:val="21"/>
                <w:lang w:eastAsia="zh-CN"/>
              </w:rPr>
            </w:pPr>
            <w:r>
              <w:rPr>
                <w:rFonts w:hint="eastAsia"/>
                <w:color w:val="000000"/>
                <w:szCs w:val="21"/>
                <w:lang w:eastAsia="zh-CN"/>
              </w:rPr>
              <w:t>N</w:t>
            </w:r>
            <w:r>
              <w:rPr>
                <w:rFonts w:hint="eastAsia"/>
                <w:color w:val="000000"/>
                <w:szCs w:val="21"/>
                <w:lang w:val="en-US" w:eastAsia="zh-CN"/>
              </w:rPr>
              <w:t>/</w:t>
            </w:r>
            <w:r>
              <w:rPr>
                <w:rFonts w:hint="eastAsia"/>
                <w:color w:val="000000"/>
                <w:szCs w:val="21"/>
                <w:lang w:eastAsia="zh-CN"/>
              </w:rPr>
              <w:t>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4" w:edGrp="everyone"/>
          </w:p>
        </w:tc>
        <w:tc>
          <w:tcPr>
            <w:tcW w:w="7129" w:type="dxa"/>
            <w:noWrap w:val="0"/>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noWrap w:val="0"/>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spacing w:before="100" w:beforeAutospacing="1"/>
              <w:ind w:right="-462" w:rightChars="-220"/>
              <w:jc w:val="both"/>
              <w:rPr>
                <w:szCs w:val="21"/>
                <w:lang w:eastAsia="zh-CN"/>
              </w:rPr>
            </w:pPr>
            <w:permStart w:id="35" w:edGrp="everyone"/>
          </w:p>
        </w:tc>
        <w:tc>
          <w:tcPr>
            <w:tcW w:w="9254" w:type="dxa"/>
            <w:gridSpan w:val="2"/>
            <w:noWrap w:val="0"/>
            <w:vAlign w:val="center"/>
          </w:tcPr>
          <w:p>
            <w:pPr>
              <w:spacing w:before="100" w:beforeAutospacing="1"/>
              <w:jc w:val="both"/>
              <w:rPr>
                <w:szCs w:val="21"/>
                <w:lang w:eastAsia="zh-CN"/>
              </w:rPr>
            </w:pPr>
            <w:r>
              <w:rPr>
                <w:rFonts w:hint="eastAsia"/>
                <w:szCs w:val="21"/>
                <w:lang w:eastAsia="zh-CN"/>
              </w:rPr>
              <w:t>N</w:t>
            </w:r>
            <w:r>
              <w:rPr>
                <w:rFonts w:hint="eastAsia"/>
                <w:szCs w:val="21"/>
                <w:lang w:val="en-US" w:eastAsia="zh-CN"/>
              </w:rPr>
              <w:t>/</w:t>
            </w:r>
            <w:r>
              <w:rPr>
                <w:rFonts w:hint="eastAsia"/>
                <w:szCs w:val="21"/>
                <w:lang w:eastAsia="zh-CN"/>
              </w:rPr>
              <w:t>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6" w:edGrp="everyone"/>
          </w:p>
        </w:tc>
        <w:tc>
          <w:tcPr>
            <w:tcW w:w="7129" w:type="dxa"/>
            <w:noWrap w:val="0"/>
            <w:vAlign w:val="center"/>
          </w:tcPr>
          <w:p>
            <w:pPr>
              <w:spacing w:line="276" w:lineRule="auto"/>
              <w:jc w:val="both"/>
              <w:rPr>
                <w:color w:val="000000"/>
                <w:szCs w:val="21"/>
                <w:lang w:eastAsia="zh-CN"/>
              </w:rPr>
            </w:pPr>
            <w:r>
              <w:rPr>
                <w:rFonts w:hint="eastAsia" w:ascii="宋体" w:hAnsi="宋体"/>
                <w:color w:val="auto"/>
                <w:shd w:val="clear" w:color="auto" w:fill="auto"/>
                <w:lang w:eastAsia="zh-CN"/>
              </w:rPr>
              <w:t>设备质保期为2年，2年内免费保修，2年后应提供良好的售后服务</w:t>
            </w:r>
            <w:r>
              <w:rPr>
                <w:color w:val="000000"/>
                <w:lang w:eastAsia="zh-CN"/>
              </w:rPr>
              <w:t>。</w:t>
            </w:r>
          </w:p>
        </w:tc>
        <w:tc>
          <w:tcPr>
            <w:tcW w:w="2125" w:type="dxa"/>
            <w:noWrap w:val="0"/>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7" w:edGrp="everyone"/>
          </w:p>
        </w:tc>
        <w:tc>
          <w:tcPr>
            <w:tcW w:w="7129" w:type="dxa"/>
            <w:noWrap w:val="0"/>
            <w:vAlign w:val="center"/>
          </w:tcPr>
          <w:p>
            <w:pPr>
              <w:spacing w:line="276" w:lineRule="auto"/>
              <w:jc w:val="both"/>
              <w:rPr>
                <w:rFonts w:hint="eastAsia" w:ascii="宋体" w:hAnsi="宋体"/>
                <w:color w:val="auto"/>
                <w:shd w:val="clear" w:color="auto" w:fill="auto"/>
                <w:lang w:eastAsia="zh-CN"/>
              </w:rPr>
            </w:pPr>
            <w:r>
              <w:rPr>
                <w:rFonts w:hint="eastAsia" w:ascii="宋体" w:hAnsi="宋体"/>
                <w:color w:val="auto"/>
                <w:lang w:eastAsia="zh-CN"/>
              </w:rPr>
              <w:t>厂家应提供合格的备件，用于设备相应部件的维修、更换。</w:t>
            </w:r>
          </w:p>
        </w:tc>
        <w:tc>
          <w:tcPr>
            <w:tcW w:w="2125" w:type="dxa"/>
            <w:noWrap w:val="0"/>
            <w:vAlign w:val="center"/>
          </w:tcPr>
          <w:p>
            <w:pPr>
              <w:jc w:val="both"/>
              <w:rPr>
                <w:rFonts w:hint="default"/>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noWrap w:val="0"/>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ermStart w:id="38" w:edGrp="everyone"/>
          </w:p>
        </w:tc>
        <w:tc>
          <w:tcPr>
            <w:tcW w:w="7129" w:type="dxa"/>
            <w:noWrap w:val="0"/>
            <w:vAlign w:val="center"/>
          </w:tcPr>
          <w:p>
            <w:pPr>
              <w:spacing w:line="276" w:lineRule="auto"/>
              <w:jc w:val="both"/>
              <w:rPr>
                <w:szCs w:val="21"/>
                <w:lang w:eastAsia="zh-CN"/>
              </w:rPr>
            </w:pPr>
            <w:r>
              <w:rPr>
                <w:rFonts w:hint="eastAsia" w:ascii="宋体" w:hAnsi="宋体"/>
                <w:color w:val="auto"/>
                <w:lang w:eastAsia="zh-CN"/>
              </w:rPr>
              <w:t>完成后由供应商和我方共同验收，供应商工程师免费为买方提供调试。</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31"/>
              <w:numPr>
                <w:ilvl w:val="0"/>
                <w:numId w:val="7"/>
              </w:numPr>
              <w:ind w:left="470" w:hanging="120" w:firstLineChars="0"/>
              <w:rPr>
                <w:rFonts w:ascii="Times New Roman" w:hAnsi="Times New Roman"/>
                <w:szCs w:val="21"/>
              </w:rPr>
            </w:pPr>
          </w:p>
        </w:tc>
        <w:tc>
          <w:tcPr>
            <w:tcW w:w="7129" w:type="dxa"/>
            <w:noWrap w:val="0"/>
            <w:vAlign w:val="center"/>
          </w:tcPr>
          <w:p>
            <w:pPr>
              <w:spacing w:line="276" w:lineRule="auto"/>
              <w:jc w:val="both"/>
              <w:rPr>
                <w:rFonts w:hint="eastAsia" w:ascii="宋体" w:hAnsi="宋体"/>
                <w:color w:val="auto"/>
                <w:lang w:eastAsia="zh-CN"/>
              </w:rPr>
            </w:pPr>
            <w:r>
              <w:rPr>
                <w:rFonts w:hint="eastAsia" w:ascii="宋体" w:hAnsi="宋体"/>
                <w:color w:val="auto"/>
                <w:lang w:eastAsia="zh-CN"/>
              </w:rPr>
              <w:t>确认验收合格后，甲乙双方签订验收报告。</w:t>
            </w:r>
          </w:p>
        </w:tc>
        <w:tc>
          <w:tcPr>
            <w:tcW w:w="2125" w:type="dxa"/>
            <w:noWrap w:val="0"/>
            <w:vAlign w:val="center"/>
          </w:tcPr>
          <w:p>
            <w:pPr>
              <w:jc w:val="both"/>
              <w:rPr>
                <w:rFonts w:hint="default"/>
                <w:szCs w:val="21"/>
                <w:lang w:val="en-US" w:eastAsia="zh-CN"/>
              </w:rPr>
            </w:pPr>
            <w:r>
              <w:rPr>
                <w:rFonts w:hint="eastAsia"/>
                <w:szCs w:val="21"/>
                <w:lang w:val="en-US" w:eastAsia="zh-CN"/>
              </w:rPr>
              <w:t xml:space="preserve">关键 </w:t>
            </w:r>
          </w:p>
        </w:tc>
      </w:tr>
      <w:permEnd w:id="38"/>
    </w:tbl>
    <w:p/>
    <w:p>
      <w:pPr>
        <w:pStyle w:val="31"/>
        <w:numPr>
          <w:ilvl w:val="0"/>
          <w:numId w:val="3"/>
        </w:numPr>
        <w:spacing w:after="158" w:afterLines="50"/>
        <w:ind w:left="426" w:hanging="424" w:hangingChars="202"/>
        <w:outlineLvl w:val="0"/>
        <w:rPr>
          <w:rFonts w:hint="eastAsia"/>
          <w:color w:val="000000"/>
          <w:szCs w:val="21"/>
          <w:lang w:eastAsia="zh-CN"/>
        </w:rPr>
      </w:pPr>
      <w:bookmarkStart w:id="45" w:name="_Toc3540095"/>
      <w:bookmarkStart w:id="46" w:name="_Toc522107746"/>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ermStart w:id="39" w:edGrp="everyone"/>
      <w:permEnd w:id="39"/>
    </w:p>
    <w:sectPr>
      <w:footerReference r:id="rId3"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60"/>
  <w:drawingGridHorizontalSpacing w:val="105"/>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87A55"/>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1CB"/>
    <w:rsid w:val="001814FA"/>
    <w:rsid w:val="001815A9"/>
    <w:rsid w:val="00182A27"/>
    <w:rsid w:val="00184DDD"/>
    <w:rsid w:val="00184FFD"/>
    <w:rsid w:val="00185449"/>
    <w:rsid w:val="00186314"/>
    <w:rsid w:val="00187B04"/>
    <w:rsid w:val="00190000"/>
    <w:rsid w:val="00191A5E"/>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581"/>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24B"/>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AEA"/>
    <w:rsid w:val="002F1C5E"/>
    <w:rsid w:val="002F1D63"/>
    <w:rsid w:val="002F340E"/>
    <w:rsid w:val="002F4392"/>
    <w:rsid w:val="002F4641"/>
    <w:rsid w:val="002F4B22"/>
    <w:rsid w:val="00302176"/>
    <w:rsid w:val="00302AF8"/>
    <w:rsid w:val="00304F96"/>
    <w:rsid w:val="00306131"/>
    <w:rsid w:val="003063C5"/>
    <w:rsid w:val="00311B2C"/>
    <w:rsid w:val="00311EE4"/>
    <w:rsid w:val="0031318B"/>
    <w:rsid w:val="003137B7"/>
    <w:rsid w:val="003148D1"/>
    <w:rsid w:val="00314CFF"/>
    <w:rsid w:val="00315038"/>
    <w:rsid w:val="00315C3E"/>
    <w:rsid w:val="00316EEF"/>
    <w:rsid w:val="003172B7"/>
    <w:rsid w:val="00321298"/>
    <w:rsid w:val="00321D97"/>
    <w:rsid w:val="0032205F"/>
    <w:rsid w:val="00323423"/>
    <w:rsid w:val="003240E5"/>
    <w:rsid w:val="00324B23"/>
    <w:rsid w:val="003257E0"/>
    <w:rsid w:val="00325FFA"/>
    <w:rsid w:val="003277D4"/>
    <w:rsid w:val="00330D16"/>
    <w:rsid w:val="00330FFF"/>
    <w:rsid w:val="00333C91"/>
    <w:rsid w:val="0033505F"/>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268"/>
    <w:rsid w:val="003C558E"/>
    <w:rsid w:val="003C58E3"/>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80F"/>
    <w:rsid w:val="003F3F47"/>
    <w:rsid w:val="003F6C14"/>
    <w:rsid w:val="003F6E0C"/>
    <w:rsid w:val="004003A8"/>
    <w:rsid w:val="0040240E"/>
    <w:rsid w:val="00402756"/>
    <w:rsid w:val="00402A78"/>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48D"/>
    <w:rsid w:val="00460711"/>
    <w:rsid w:val="0046108B"/>
    <w:rsid w:val="00467085"/>
    <w:rsid w:val="00467AE6"/>
    <w:rsid w:val="00467EC9"/>
    <w:rsid w:val="00477791"/>
    <w:rsid w:val="00480286"/>
    <w:rsid w:val="00480C3B"/>
    <w:rsid w:val="00480FE3"/>
    <w:rsid w:val="00481C94"/>
    <w:rsid w:val="00484A8D"/>
    <w:rsid w:val="00486A4E"/>
    <w:rsid w:val="00486B09"/>
    <w:rsid w:val="0049139F"/>
    <w:rsid w:val="0049309C"/>
    <w:rsid w:val="00494F07"/>
    <w:rsid w:val="00496116"/>
    <w:rsid w:val="004965A0"/>
    <w:rsid w:val="00497335"/>
    <w:rsid w:val="004A05A7"/>
    <w:rsid w:val="004A3F98"/>
    <w:rsid w:val="004A5532"/>
    <w:rsid w:val="004A5958"/>
    <w:rsid w:val="004A725A"/>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48E4"/>
    <w:rsid w:val="004D67B1"/>
    <w:rsid w:val="004D7128"/>
    <w:rsid w:val="004D751D"/>
    <w:rsid w:val="004E05C2"/>
    <w:rsid w:val="004E0B02"/>
    <w:rsid w:val="004E0C0D"/>
    <w:rsid w:val="004E255F"/>
    <w:rsid w:val="004E4C2D"/>
    <w:rsid w:val="004E7AB0"/>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99F"/>
    <w:rsid w:val="00561E9C"/>
    <w:rsid w:val="00565C7A"/>
    <w:rsid w:val="00567E14"/>
    <w:rsid w:val="005705A7"/>
    <w:rsid w:val="0057277E"/>
    <w:rsid w:val="00572F0E"/>
    <w:rsid w:val="005739EA"/>
    <w:rsid w:val="00574D60"/>
    <w:rsid w:val="00575318"/>
    <w:rsid w:val="00577142"/>
    <w:rsid w:val="005773E5"/>
    <w:rsid w:val="0058090E"/>
    <w:rsid w:val="00581AD5"/>
    <w:rsid w:val="00581C4E"/>
    <w:rsid w:val="00582DB0"/>
    <w:rsid w:val="0058349B"/>
    <w:rsid w:val="00584B8E"/>
    <w:rsid w:val="00586EFD"/>
    <w:rsid w:val="00587AC1"/>
    <w:rsid w:val="00587DE8"/>
    <w:rsid w:val="00587E2F"/>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402"/>
    <w:rsid w:val="005B2393"/>
    <w:rsid w:val="005B4C91"/>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4B5F"/>
    <w:rsid w:val="005E2725"/>
    <w:rsid w:val="005E65FA"/>
    <w:rsid w:val="005F19CE"/>
    <w:rsid w:val="005F28F4"/>
    <w:rsid w:val="005F43BB"/>
    <w:rsid w:val="005F503E"/>
    <w:rsid w:val="005F6CB3"/>
    <w:rsid w:val="005F7612"/>
    <w:rsid w:val="005F7663"/>
    <w:rsid w:val="005F7D63"/>
    <w:rsid w:val="00607170"/>
    <w:rsid w:val="00607408"/>
    <w:rsid w:val="00610AEE"/>
    <w:rsid w:val="0061649D"/>
    <w:rsid w:val="00616BAC"/>
    <w:rsid w:val="00620598"/>
    <w:rsid w:val="00620FEC"/>
    <w:rsid w:val="006214B6"/>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0691"/>
    <w:rsid w:val="006A7425"/>
    <w:rsid w:val="006B058A"/>
    <w:rsid w:val="006B1299"/>
    <w:rsid w:val="006B1DAC"/>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625E"/>
    <w:rsid w:val="007007FA"/>
    <w:rsid w:val="007036CA"/>
    <w:rsid w:val="0070400F"/>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395A"/>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516"/>
    <w:rsid w:val="007C2405"/>
    <w:rsid w:val="007C2A54"/>
    <w:rsid w:val="007C2B69"/>
    <w:rsid w:val="007C2DC1"/>
    <w:rsid w:val="007C3B05"/>
    <w:rsid w:val="007C3D25"/>
    <w:rsid w:val="007C4998"/>
    <w:rsid w:val="007C668F"/>
    <w:rsid w:val="007C723F"/>
    <w:rsid w:val="007C778D"/>
    <w:rsid w:val="007D07D6"/>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C22"/>
    <w:rsid w:val="00822F2B"/>
    <w:rsid w:val="00823D9A"/>
    <w:rsid w:val="00827EA4"/>
    <w:rsid w:val="008301D6"/>
    <w:rsid w:val="008305B7"/>
    <w:rsid w:val="00830C78"/>
    <w:rsid w:val="00830FB9"/>
    <w:rsid w:val="00834968"/>
    <w:rsid w:val="00834B53"/>
    <w:rsid w:val="00840298"/>
    <w:rsid w:val="00840861"/>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38C"/>
    <w:rsid w:val="00876468"/>
    <w:rsid w:val="008767E1"/>
    <w:rsid w:val="00876CC7"/>
    <w:rsid w:val="008809F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979"/>
    <w:rsid w:val="008A4E05"/>
    <w:rsid w:val="008A4EC1"/>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348F"/>
    <w:rsid w:val="00934991"/>
    <w:rsid w:val="009351A7"/>
    <w:rsid w:val="00935FEF"/>
    <w:rsid w:val="009426B9"/>
    <w:rsid w:val="00944E85"/>
    <w:rsid w:val="0094553D"/>
    <w:rsid w:val="0094634C"/>
    <w:rsid w:val="009463AB"/>
    <w:rsid w:val="00950239"/>
    <w:rsid w:val="00950332"/>
    <w:rsid w:val="00955899"/>
    <w:rsid w:val="00955A03"/>
    <w:rsid w:val="0096203D"/>
    <w:rsid w:val="0096224A"/>
    <w:rsid w:val="00962BF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CD2"/>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12"/>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8E6"/>
    <w:rsid w:val="00A0766F"/>
    <w:rsid w:val="00A10713"/>
    <w:rsid w:val="00A1252C"/>
    <w:rsid w:val="00A13B8B"/>
    <w:rsid w:val="00A151B7"/>
    <w:rsid w:val="00A21225"/>
    <w:rsid w:val="00A2139C"/>
    <w:rsid w:val="00A218F9"/>
    <w:rsid w:val="00A21E37"/>
    <w:rsid w:val="00A23314"/>
    <w:rsid w:val="00A235BB"/>
    <w:rsid w:val="00A23F10"/>
    <w:rsid w:val="00A23F72"/>
    <w:rsid w:val="00A24A05"/>
    <w:rsid w:val="00A26AB8"/>
    <w:rsid w:val="00A322BF"/>
    <w:rsid w:val="00A3373F"/>
    <w:rsid w:val="00A33F51"/>
    <w:rsid w:val="00A349DF"/>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22D"/>
    <w:rsid w:val="00A72895"/>
    <w:rsid w:val="00A74589"/>
    <w:rsid w:val="00A74E1B"/>
    <w:rsid w:val="00A7513A"/>
    <w:rsid w:val="00A75AC9"/>
    <w:rsid w:val="00A75B25"/>
    <w:rsid w:val="00A7636A"/>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E00"/>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230"/>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B39"/>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DD6"/>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0A59"/>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081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750"/>
    <w:rsid w:val="00CB5F04"/>
    <w:rsid w:val="00CB67AA"/>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4764"/>
    <w:rsid w:val="00D37394"/>
    <w:rsid w:val="00D463BF"/>
    <w:rsid w:val="00D46699"/>
    <w:rsid w:val="00D47345"/>
    <w:rsid w:val="00D5073F"/>
    <w:rsid w:val="00D51573"/>
    <w:rsid w:val="00D53109"/>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0959"/>
    <w:rsid w:val="00DB11B2"/>
    <w:rsid w:val="00DB161E"/>
    <w:rsid w:val="00DB31B5"/>
    <w:rsid w:val="00DB42EF"/>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2D42"/>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06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D16"/>
    <w:rsid w:val="00E84407"/>
    <w:rsid w:val="00E85E54"/>
    <w:rsid w:val="00E86146"/>
    <w:rsid w:val="00E86A34"/>
    <w:rsid w:val="00E86A76"/>
    <w:rsid w:val="00E87A90"/>
    <w:rsid w:val="00E904D1"/>
    <w:rsid w:val="00E92425"/>
    <w:rsid w:val="00E92AD3"/>
    <w:rsid w:val="00E952A7"/>
    <w:rsid w:val="00E959EA"/>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3FD"/>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B74"/>
    <w:rsid w:val="00F13B2E"/>
    <w:rsid w:val="00F15057"/>
    <w:rsid w:val="00F176A0"/>
    <w:rsid w:val="00F20174"/>
    <w:rsid w:val="00F22098"/>
    <w:rsid w:val="00F223BC"/>
    <w:rsid w:val="00F23780"/>
    <w:rsid w:val="00F26185"/>
    <w:rsid w:val="00F3178C"/>
    <w:rsid w:val="00F33DE5"/>
    <w:rsid w:val="00F34B8F"/>
    <w:rsid w:val="00F36D7F"/>
    <w:rsid w:val="00F37186"/>
    <w:rsid w:val="00F37663"/>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2C9"/>
    <w:rsid w:val="00FA3809"/>
    <w:rsid w:val="00FA3A95"/>
    <w:rsid w:val="00FA6817"/>
    <w:rsid w:val="00FA6D7E"/>
    <w:rsid w:val="00FB020D"/>
    <w:rsid w:val="00FB1907"/>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393D02"/>
    <w:rsid w:val="0678385D"/>
    <w:rsid w:val="06A20911"/>
    <w:rsid w:val="072571AB"/>
    <w:rsid w:val="0C10069E"/>
    <w:rsid w:val="12F86D8F"/>
    <w:rsid w:val="177C7AA2"/>
    <w:rsid w:val="18B01BEA"/>
    <w:rsid w:val="1D615A01"/>
    <w:rsid w:val="1DBA5BF9"/>
    <w:rsid w:val="23DC7FFF"/>
    <w:rsid w:val="249A3B3F"/>
    <w:rsid w:val="2A384F72"/>
    <w:rsid w:val="2B73087A"/>
    <w:rsid w:val="30712773"/>
    <w:rsid w:val="30CC7D93"/>
    <w:rsid w:val="34DD4169"/>
    <w:rsid w:val="36672385"/>
    <w:rsid w:val="38FA4701"/>
    <w:rsid w:val="39923A1B"/>
    <w:rsid w:val="3E9A5884"/>
    <w:rsid w:val="3EDE5BB5"/>
    <w:rsid w:val="41BC06E0"/>
    <w:rsid w:val="41FF62B7"/>
    <w:rsid w:val="424A2B49"/>
    <w:rsid w:val="424C438D"/>
    <w:rsid w:val="44C5247B"/>
    <w:rsid w:val="470901DD"/>
    <w:rsid w:val="49615D4A"/>
    <w:rsid w:val="4C4C1180"/>
    <w:rsid w:val="4CB109C1"/>
    <w:rsid w:val="4D411F14"/>
    <w:rsid w:val="51322E3F"/>
    <w:rsid w:val="59101EA6"/>
    <w:rsid w:val="5D6A2AC6"/>
    <w:rsid w:val="5DE12B79"/>
    <w:rsid w:val="60A235F2"/>
    <w:rsid w:val="62575D90"/>
    <w:rsid w:val="627F5360"/>
    <w:rsid w:val="6344378B"/>
    <w:rsid w:val="63F40369"/>
    <w:rsid w:val="66246E2F"/>
    <w:rsid w:val="6AC551B0"/>
    <w:rsid w:val="6DE422BF"/>
    <w:rsid w:val="73AD1DC7"/>
    <w:rsid w:val="78136AF9"/>
    <w:rsid w:val="7A5D2353"/>
    <w:rsid w:val="7A5E3127"/>
    <w:rsid w:val="7B8D654E"/>
    <w:rsid w:val="7DEA56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annotation text"/>
    <w:basedOn w:val="1"/>
    <w:link w:val="42"/>
    <w:semiHidden/>
    <w:qFormat/>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43"/>
    <w:qFormat/>
    <w:uiPriority w:val="0"/>
    <w:pPr>
      <w:tabs>
        <w:tab w:val="center" w:pos="4320"/>
        <w:tab w:val="right" w:pos="8640"/>
      </w:tabs>
    </w:pPr>
    <w:rPr>
      <w:sz w:val="24"/>
    </w:r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37"/>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3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正文1"/>
    <w:basedOn w:val="1"/>
    <w:qFormat/>
    <w:uiPriority w:val="0"/>
    <w:pPr>
      <w:overflowPunct/>
      <w:textAlignment w:val="auto"/>
    </w:pPr>
    <w:rPr>
      <w:rFonts w:ascii="Arial" w:hAnsi="Arial"/>
      <w:sz w:val="20"/>
      <w:lang w:val="en-US"/>
    </w:rPr>
  </w:style>
  <w:style w:type="paragraph" w:customStyle="1" w:styleId="26">
    <w:name w:val="Style"/>
    <w:basedOn w:val="1"/>
    <w:qFormat/>
    <w:uiPriority w:val="0"/>
    <w:pPr>
      <w:overflowPunct/>
      <w:textAlignment w:val="auto"/>
    </w:pPr>
    <w:rPr>
      <w:rFonts w:ascii="Arial" w:hAnsi="Arial"/>
      <w:szCs w:val="24"/>
      <w:lang w:val="en-US"/>
    </w:rPr>
  </w:style>
  <w:style w:type="paragraph" w:customStyle="1" w:styleId="27">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0">
    <w:name w:val="_Style 29"/>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32">
    <w:name w:val="_Style 31"/>
    <w:basedOn w:val="2"/>
    <w:next w:val="1"/>
    <w:qFormat/>
    <w:uiPriority w:val="39"/>
    <w:pPr>
      <w:numPr>
        <w:ilvl w:val="0"/>
        <w:numId w:val="0"/>
      </w:numPr>
      <w:outlineLvl w:val="9"/>
    </w:pPr>
  </w:style>
  <w:style w:type="paragraph" w:customStyle="1" w:styleId="33">
    <w:name w:val="Text"/>
    <w:basedOn w:val="1"/>
    <w:link w:val="36"/>
    <w:qFormat/>
    <w:uiPriority w:val="0"/>
    <w:pPr>
      <w:overflowPunct/>
      <w:autoSpaceDE/>
      <w:autoSpaceDN/>
      <w:adjustRightInd/>
      <w:spacing w:before="120"/>
      <w:jc w:val="both"/>
      <w:textAlignment w:val="auto"/>
    </w:pPr>
    <w:rPr>
      <w:sz w:val="24"/>
    </w:rPr>
  </w:style>
  <w:style w:type="paragraph" w:customStyle="1" w:styleId="34">
    <w:name w:val="numbering blue"/>
    <w:basedOn w:val="1"/>
    <w:link w:val="44"/>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text"/>
    <w:basedOn w:val="1"/>
    <w:qFormat/>
    <w:uiPriority w:val="0"/>
    <w:pPr>
      <w:overflowPunct/>
      <w:autoSpaceDE/>
      <w:autoSpaceDN/>
      <w:adjustRightInd/>
      <w:spacing w:before="120" w:after="120"/>
      <w:jc w:val="both"/>
      <w:textAlignment w:val="auto"/>
    </w:pPr>
    <w:rPr>
      <w:lang w:val="en-US"/>
    </w:rPr>
  </w:style>
  <w:style w:type="character" w:customStyle="1" w:styleId="36">
    <w:name w:val="Text Char"/>
    <w:link w:val="33"/>
    <w:qFormat/>
    <w:locked/>
    <w:uiPriority w:val="0"/>
    <w:rPr>
      <w:sz w:val="24"/>
      <w:lang w:eastAsia="en-US"/>
    </w:rPr>
  </w:style>
  <w:style w:type="character" w:customStyle="1" w:styleId="37">
    <w:name w:val="标题 Char"/>
    <w:link w:val="17"/>
    <w:qFormat/>
    <w:uiPriority w:val="0"/>
    <w:rPr>
      <w:rFonts w:ascii="Calibri Light" w:hAnsi="Calibri Light" w:cs="Times New Roman"/>
      <w:b/>
      <w:bCs/>
      <w:sz w:val="32"/>
      <w:szCs w:val="32"/>
      <w:lang w:val="en-GB" w:eastAsia="en-US"/>
    </w:rPr>
  </w:style>
  <w:style w:type="character" w:customStyle="1" w:styleId="38">
    <w:name w:val="keyword"/>
    <w:basedOn w:val="21"/>
    <w:qFormat/>
    <w:uiPriority w:val="0"/>
  </w:style>
  <w:style w:type="character" w:customStyle="1" w:styleId="39">
    <w:name w:val="Footer Char"/>
    <w:semiHidden/>
    <w:qFormat/>
    <w:locked/>
    <w:uiPriority w:val="0"/>
    <w:rPr>
      <w:rFonts w:cs="Times New Roman"/>
      <w:sz w:val="18"/>
      <w:szCs w:val="18"/>
    </w:rPr>
  </w:style>
  <w:style w:type="character" w:customStyle="1" w:styleId="40">
    <w:name w:val="ordinary-span-edit2"/>
    <w:qFormat/>
    <w:uiPriority w:val="0"/>
  </w:style>
  <w:style w:type="character" w:customStyle="1" w:styleId="41">
    <w:name w:val="apple-converted-space"/>
    <w:basedOn w:val="21"/>
    <w:qFormat/>
    <w:uiPriority w:val="0"/>
  </w:style>
  <w:style w:type="character" w:customStyle="1" w:styleId="42">
    <w:name w:val="批注文字 Char"/>
    <w:link w:val="6"/>
    <w:semiHidden/>
    <w:qFormat/>
    <w:uiPriority w:val="0"/>
    <w:rPr>
      <w:sz w:val="24"/>
      <w:lang w:val="en-GB" w:eastAsia="en-US"/>
    </w:rPr>
  </w:style>
  <w:style w:type="character" w:customStyle="1" w:styleId="43">
    <w:name w:val="页眉 Char2"/>
    <w:link w:val="14"/>
    <w:qFormat/>
    <w:uiPriority w:val="0"/>
    <w:rPr>
      <w:rFonts w:eastAsia="宋体"/>
      <w:sz w:val="24"/>
      <w:lang w:val="en-GB" w:eastAsia="en-US" w:bidi="ar-SA"/>
    </w:rPr>
  </w:style>
  <w:style w:type="character" w:customStyle="1" w:styleId="44">
    <w:name w:val="numbering blue Zchn"/>
    <w:link w:val="34"/>
    <w:qFormat/>
    <w:uiPriority w:val="0"/>
    <w:rPr>
      <w:rFonts w:ascii="Arial" w:hAnsi="Arial" w:eastAsia="PMingLiU"/>
      <w:color w:val="0070C0"/>
      <w:lang w:eastAsia="zh-TW"/>
    </w:rPr>
  </w:style>
  <w:style w:type="character" w:customStyle="1" w:styleId="45">
    <w:name w:val="instruction standard blue"/>
    <w:qFormat/>
    <w:uiPriority w:val="1"/>
    <w:rPr>
      <w:rFonts w:cs="Arial"/>
      <w:i/>
      <w:color w:val="0070C0"/>
    </w:rPr>
  </w:style>
  <w:style w:type="character" w:customStyle="1" w:styleId="46">
    <w:name w:val="页脚 Char"/>
    <w:link w:val="13"/>
    <w:qFormat/>
    <w:uiPriority w:val="99"/>
    <w:rPr>
      <w:sz w:val="24"/>
      <w:lang w:val="en-GB"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1241</Words>
  <Characters>7079</Characters>
  <Lines>58</Lines>
  <Paragraphs>16</Paragraphs>
  <TotalTime>65</TotalTime>
  <ScaleCrop>false</ScaleCrop>
  <LinksUpToDate>false</LinksUpToDate>
  <CharactersWithSpaces>8304</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2019-02-11T03:25:00Z</dcterms:created>
  <dc:creator>Lilly</dc:creator>
  <cp:lastModifiedBy>汪洋</cp:lastModifiedBy>
  <cp:lastPrinted>2022-09-27T04:18:00Z</cp:lastPrinted>
  <dcterms:modified xsi:type="dcterms:W3CDTF">2022-10-27T01:54:30Z</dcterms:modified>
  <dc:title>生效期：</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984D5ECF8C6D4AA6A1654D6969F2B910</vt:lpwstr>
  </property>
</Properties>
</file>