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eastAsia="zh-CN"/>
        </w:rPr>
      </w:pPr>
      <w:bookmarkStart w:id="0" w:name="_Toc482717189"/>
      <w:bookmarkStart w:id="1" w:name="_Toc483227223"/>
      <w:bookmarkStart w:id="2" w:name="_Toc484532399"/>
      <w:bookmarkStart w:id="3" w:name="_Toc483666358"/>
      <w:bookmarkStart w:id="4" w:name="_Toc483400307"/>
    </w:p>
    <w:p>
      <w:pPr>
        <w:spacing w:after="158" w:afterLines="50"/>
        <w:jc w:val="center"/>
        <w:rPr>
          <w:b/>
          <w:szCs w:val="21"/>
          <w:lang w:eastAsia="zh-CN"/>
        </w:rPr>
      </w:pPr>
      <w:permStart w:id="0" w:edGrp="everyone"/>
      <w:r>
        <w:rPr>
          <w:rFonts w:hint="eastAsia"/>
          <w:b/>
          <w:sz w:val="28"/>
          <w:szCs w:val="28"/>
          <w:lang w:eastAsia="zh-CN"/>
        </w:rPr>
        <w:t>欣宁楼乙型脑炎减毒活疫苗车间不锈钢移动罐</w:t>
      </w:r>
      <w:permEnd w:id="0"/>
      <w:r>
        <w:rPr>
          <w:rFonts w:hint="eastAsia"/>
          <w:b/>
          <w:sz w:val="28"/>
          <w:szCs w:val="28"/>
          <w:lang w:eastAsia="zh-CN"/>
        </w:rPr>
        <w:t>用户需求说明（</w:t>
      </w:r>
      <w:r>
        <w:rPr>
          <w:b/>
          <w:sz w:val="28"/>
          <w:szCs w:val="28"/>
          <w:lang w:eastAsia="zh-CN"/>
        </w:rPr>
        <w:t>URS</w:t>
      </w:r>
      <w:r>
        <w:rPr>
          <w:rFonts w:hint="eastAsia"/>
          <w:b/>
          <w:szCs w:val="21"/>
          <w:lang w:eastAsia="zh-CN"/>
        </w:rPr>
        <w:t>）</w:t>
      </w:r>
      <w:bookmarkEnd w:id="0"/>
      <w:bookmarkEnd w:id="1"/>
      <w:bookmarkEnd w:id="2"/>
      <w:bookmarkEnd w:id="3"/>
      <w:bookmarkEnd w:id="4"/>
    </w:p>
    <w:p>
      <w:pPr>
        <w:tabs>
          <w:tab w:val="left" w:pos="1365"/>
        </w:tabs>
        <w:spacing w:after="158" w:afterLines="50"/>
        <w:rPr>
          <w:b/>
          <w:i/>
          <w:color w:val="4472C4"/>
          <w:szCs w:val="21"/>
          <w:lang w:eastAsia="zh-CN"/>
        </w:rPr>
      </w:pPr>
      <w:permStart w:id="1" w:edGrp="everyone"/>
    </w:p>
    <w:permEnd w:id="1"/>
    <w:p>
      <w:pPr>
        <w:pStyle w:val="45"/>
        <w:keepNext w:val="0"/>
        <w:keepLines w:val="0"/>
        <w:widowControl w:val="0"/>
        <w:spacing w:after="158" w:afterLines="50" w:line="240" w:lineRule="auto"/>
        <w:jc w:val="center"/>
        <w:rPr>
          <w:sz w:val="21"/>
          <w:szCs w:val="21"/>
          <w:lang w:val="zh-CN" w:eastAsia="zh-CN"/>
        </w:rPr>
      </w:pPr>
      <w:r>
        <w:rPr>
          <w:rFonts w:hint="eastAsia"/>
          <w:sz w:val="21"/>
          <w:szCs w:val="21"/>
          <w:lang w:val="zh-CN" w:eastAsia="zh-CN"/>
        </w:rPr>
        <w:t>目录</w:t>
      </w:r>
    </w:p>
    <w:p>
      <w:pPr>
        <w:rPr>
          <w:i/>
          <w:color w:val="00B0F0"/>
          <w:lang w:val="zh-CN" w:eastAsia="zh-CN"/>
        </w:rPr>
      </w:pPr>
      <w:permStart w:id="2"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Fonts w:hint="eastAsia"/>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Fonts w:hint="eastAsia"/>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Fonts w:hint="eastAsia"/>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Fonts w:hint="eastAsia"/>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Fonts w:hint="eastAsia"/>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Fonts w:hint="eastAsia"/>
        </w:rPr>
        <w:t>系统描述</w:t>
      </w:r>
      <w:r>
        <w:tab/>
      </w:r>
      <w:r>
        <w:t>4</w:t>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Fonts w:hint="eastAsia"/>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Fonts w:hint="eastAsia"/>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Fonts w:hint="eastAsia"/>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Fonts w:hint="eastAsia"/>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Fonts w:hint="eastAsia"/>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Fonts w:hint="eastAsia"/>
        </w:rPr>
        <w:t>服务要求</w:t>
      </w:r>
      <w:r>
        <w:tab/>
      </w:r>
      <w:r>
        <w:fldChar w:fldCharType="begin"/>
      </w:r>
      <w:r>
        <w:instrText xml:space="preserve"> PAGEREF _Toc522716125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Fonts w:hint="eastAsia"/>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44"/>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hint="eastAsia" w:ascii="Times New Roman" w:hAnsi="Times New Roman"/>
          <w:b/>
        </w:rPr>
        <w:t>目的</w:t>
      </w:r>
      <w:bookmarkEnd w:id="5"/>
      <w:bookmarkEnd w:id="6"/>
    </w:p>
    <w:p>
      <w:pPr>
        <w:pStyle w:val="53"/>
        <w:spacing w:before="0" w:line="360" w:lineRule="auto"/>
        <w:ind w:left="357"/>
        <w:jc w:val="left"/>
        <w:rPr>
          <w:szCs w:val="21"/>
          <w:lang w:eastAsia="zh-CN"/>
        </w:rPr>
      </w:pPr>
      <w:bookmarkStart w:id="7" w:name="_Toc481702475"/>
      <w:bookmarkStart w:id="8" w:name="_Toc482370061"/>
      <w:bookmarkStart w:id="9" w:name="_Toc482360281"/>
      <w:bookmarkStart w:id="10" w:name="_Toc482370141"/>
      <w:bookmarkStart w:id="11" w:name="_Toc482370757"/>
      <w:bookmarkStart w:id="12" w:name="_Toc482369805"/>
      <w:bookmarkStart w:id="13" w:name="_Toc482370349"/>
      <w:bookmarkStart w:id="14" w:name="_Toc482625279"/>
      <w:bookmarkStart w:id="15" w:name="_Toc482359936"/>
      <w:r>
        <w:rPr>
          <w:rFonts w:hint="eastAsia"/>
          <w:szCs w:val="21"/>
          <w:lang w:eastAsia="zh-CN"/>
        </w:rPr>
        <w:t>本文件的目的是描述武汉生物制品研究所有限责任公司</w:t>
      </w:r>
      <w:permStart w:id="3" w:edGrp="everyone"/>
      <w:r>
        <w:rPr>
          <w:rFonts w:hint="eastAsia"/>
          <w:szCs w:val="21"/>
          <w:lang w:eastAsia="zh-CN"/>
        </w:rPr>
        <w:t>欣宁楼乙型脑炎减毒活疫苗车间不锈钢移动罐</w:t>
      </w:r>
      <w:permEnd w:id="3"/>
      <w:r>
        <w:rPr>
          <w:rFonts w:hint="eastAsia"/>
          <w:szCs w:val="21"/>
          <w:lang w:eastAsia="zh-CN"/>
        </w:rPr>
        <w:t>的用户需求说明（</w:t>
      </w:r>
      <w:r>
        <w:rPr>
          <w:szCs w:val="21"/>
          <w:lang w:eastAsia="zh-CN"/>
        </w:rPr>
        <w:t>URS</w:t>
      </w:r>
      <w:r>
        <w:rPr>
          <w:rFonts w:hint="eastAsia"/>
          <w:szCs w:val="21"/>
          <w:lang w:eastAsia="zh-CN"/>
        </w:rPr>
        <w:t>），以确保最终用户的需求在项目设计阶段得以实现，并作为后续验证工作的基础。</w:t>
      </w:r>
    </w:p>
    <w:p>
      <w:pPr>
        <w:pStyle w:val="53"/>
        <w:spacing w:before="0"/>
        <w:ind w:left="360"/>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hint="eastAsia" w:ascii="Times New Roman" w:hAnsi="Times New Roman"/>
          <w:b/>
        </w:rPr>
        <w:t>范围</w:t>
      </w:r>
      <w:bookmarkEnd w:id="16"/>
      <w:bookmarkEnd w:id="17"/>
    </w:p>
    <w:p>
      <w:pPr>
        <w:pStyle w:val="53"/>
        <w:spacing w:before="0" w:line="360" w:lineRule="auto"/>
        <w:ind w:left="357"/>
        <w:jc w:val="left"/>
        <w:rPr>
          <w:szCs w:val="21"/>
          <w:lang w:eastAsia="zh-CN"/>
        </w:rPr>
      </w:pPr>
      <w:r>
        <w:rPr>
          <w:rFonts w:hint="eastAsia"/>
          <w:szCs w:val="21"/>
          <w:lang w:eastAsia="zh-CN"/>
        </w:rPr>
        <w:t>本</w:t>
      </w:r>
      <w:r>
        <w:rPr>
          <w:szCs w:val="21"/>
          <w:lang w:eastAsia="zh-CN"/>
        </w:rPr>
        <w:t>URS</w:t>
      </w:r>
      <w:r>
        <w:rPr>
          <w:rFonts w:hint="eastAsia"/>
          <w:szCs w:val="21"/>
          <w:lang w:eastAsia="zh-CN"/>
        </w:rPr>
        <w:t>适用于武汉生物制品研究所有限责任公司</w:t>
      </w:r>
      <w:permStart w:id="4" w:edGrp="everyone"/>
      <w:r>
        <w:rPr>
          <w:rFonts w:hint="eastAsia"/>
          <w:szCs w:val="21"/>
          <w:lang w:eastAsia="zh-CN"/>
        </w:rPr>
        <w:t>欣宁楼乙型脑炎减毒活疫苗车间不锈钢移动罐的购买</w:t>
      </w:r>
      <w:permEnd w:id="4"/>
      <w:r>
        <w:rPr>
          <w:rFonts w:hint="eastAsia"/>
          <w:szCs w:val="21"/>
          <w:lang w:eastAsia="zh-CN"/>
        </w:rPr>
        <w:t>。</w:t>
      </w:r>
      <w:bookmarkEnd w:id="7"/>
      <w:bookmarkEnd w:id="8"/>
      <w:bookmarkEnd w:id="9"/>
      <w:bookmarkEnd w:id="10"/>
      <w:bookmarkEnd w:id="11"/>
      <w:bookmarkEnd w:id="12"/>
      <w:bookmarkEnd w:id="13"/>
      <w:bookmarkEnd w:id="14"/>
      <w:bookmarkEnd w:id="15"/>
    </w:p>
    <w:p>
      <w:pPr>
        <w:pStyle w:val="53"/>
        <w:spacing w:before="0" w:line="360" w:lineRule="auto"/>
        <w:ind w:left="357"/>
        <w:jc w:val="left"/>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hint="eastAsia" w:ascii="Times New Roman" w:hAnsi="Times New Roman"/>
          <w:b/>
        </w:rPr>
        <w:t>参考文件</w:t>
      </w:r>
      <w:bookmarkEnd w:id="18"/>
      <w:bookmarkEnd w:id="19"/>
    </w:p>
    <w:p>
      <w:pPr>
        <w:pStyle w:val="53"/>
        <w:numPr>
          <w:ilvl w:val="0"/>
          <w:numId w:val="4"/>
        </w:numPr>
        <w:spacing w:before="0" w:line="360" w:lineRule="auto"/>
        <w:jc w:val="left"/>
        <w:rPr>
          <w:color w:val="000000"/>
          <w:szCs w:val="21"/>
          <w:lang w:eastAsia="zh-CN"/>
        </w:rPr>
      </w:pPr>
      <w:r>
        <w:rPr>
          <w:color w:val="000000"/>
          <w:szCs w:val="21"/>
          <w:lang w:eastAsia="zh-CN"/>
        </w:rPr>
        <w:t>GMP</w:t>
      </w:r>
      <w:r>
        <w:rPr>
          <w:rFonts w:hint="eastAsia"/>
          <w:color w:val="000000"/>
          <w:szCs w:val="21"/>
          <w:lang w:eastAsia="zh-CN"/>
        </w:rPr>
        <w:t>法规指南和</w:t>
      </w:r>
      <w:r>
        <w:rPr>
          <w:color w:val="000000"/>
          <w:szCs w:val="21"/>
          <w:lang w:eastAsia="zh-CN"/>
        </w:rPr>
        <w:t>SOP</w:t>
      </w:r>
    </w:p>
    <w:p>
      <w:pPr>
        <w:pStyle w:val="53"/>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rFonts w:hint="eastAsia"/>
          <w:color w:val="000000"/>
          <w:szCs w:val="21"/>
          <w:lang w:eastAsia="zh-CN"/>
        </w:rPr>
        <w:t>用户需求编写审批</w:t>
      </w:r>
      <w:r>
        <w:rPr>
          <w:color w:val="000000"/>
          <w:szCs w:val="21"/>
          <w:lang w:eastAsia="zh-CN"/>
        </w:rPr>
        <w:t>SOP</w:t>
      </w:r>
    </w:p>
    <w:p>
      <w:pPr>
        <w:pStyle w:val="53"/>
        <w:numPr>
          <w:ilvl w:val="0"/>
          <w:numId w:val="5"/>
        </w:numPr>
        <w:spacing w:before="0" w:line="360" w:lineRule="auto"/>
        <w:ind w:left="777"/>
        <w:jc w:val="left"/>
        <w:rPr>
          <w:color w:val="000000"/>
          <w:sz w:val="21"/>
          <w:szCs w:val="21"/>
          <w:lang w:eastAsia="zh-CN"/>
        </w:rPr>
      </w:pPr>
      <w:permStart w:id="5" w:edGrp="everyone"/>
      <w:r>
        <w:rPr>
          <w:color w:val="000000"/>
          <w:szCs w:val="21"/>
          <w:lang w:eastAsia="zh-CN"/>
        </w:rPr>
        <w:t>中国药典 20</w:t>
      </w:r>
      <w:r>
        <w:rPr>
          <w:rFonts w:hint="eastAsia"/>
          <w:color w:val="000000"/>
          <w:szCs w:val="21"/>
          <w:lang w:eastAsia="zh-CN"/>
        </w:rPr>
        <w:t>20</w:t>
      </w:r>
      <w:r>
        <w:rPr>
          <w:color w:val="000000"/>
          <w:szCs w:val="21"/>
          <w:lang w:eastAsia="zh-CN"/>
        </w:rPr>
        <w:t>年版</w:t>
      </w:r>
    </w:p>
    <w:p>
      <w:pPr>
        <w:pStyle w:val="53"/>
        <w:numPr>
          <w:ilvl w:val="0"/>
          <w:numId w:val="5"/>
        </w:numPr>
        <w:spacing w:before="0" w:line="360" w:lineRule="auto"/>
        <w:ind w:left="777"/>
        <w:jc w:val="left"/>
        <w:rPr>
          <w:color w:val="000000"/>
          <w:sz w:val="21"/>
          <w:szCs w:val="21"/>
          <w:lang w:eastAsia="zh-CN"/>
        </w:rPr>
      </w:pPr>
      <w:r>
        <w:rPr>
          <w:color w:val="000000"/>
          <w:szCs w:val="21"/>
          <w:lang w:eastAsia="zh-CN"/>
        </w:rPr>
        <w:t>《药品生产质量管理规范》</w:t>
      </w:r>
      <w:r>
        <w:rPr>
          <w:rFonts w:hint="eastAsia" w:ascii="宋体" w:hAnsi="宋体"/>
          <w:lang w:eastAsia="zh-CN"/>
        </w:rPr>
        <w:t>（</w:t>
      </w:r>
      <w:r>
        <w:rPr>
          <w:rFonts w:ascii="宋体" w:hAnsi="宋体"/>
          <w:lang w:eastAsia="zh-CN"/>
        </w:rPr>
        <w:t>2010</w:t>
      </w:r>
      <w:r>
        <w:rPr>
          <w:rFonts w:hint="eastAsia" w:ascii="宋体" w:hAnsi="宋体"/>
          <w:lang w:eastAsia="zh-CN"/>
        </w:rPr>
        <w:t>修订版）</w:t>
      </w:r>
    </w:p>
    <w:p>
      <w:pPr>
        <w:pStyle w:val="44"/>
        <w:numPr>
          <w:ilvl w:val="0"/>
          <w:numId w:val="5"/>
        </w:numPr>
        <w:snapToGrid w:val="0"/>
        <w:spacing w:line="360" w:lineRule="auto"/>
        <w:ind w:left="760" w:firstLineChars="0"/>
        <w:rPr>
          <w:rFonts w:ascii="Arial" w:hAnsi="宋体" w:cs="Arial"/>
          <w:color w:val="000000"/>
          <w:szCs w:val="21"/>
        </w:rPr>
      </w:pPr>
      <w:r>
        <w:rPr>
          <w:rFonts w:hint="eastAsia"/>
          <w:szCs w:val="21"/>
        </w:rPr>
        <w:t>《药品</w:t>
      </w:r>
      <w:r>
        <w:rPr>
          <w:szCs w:val="21"/>
        </w:rPr>
        <w:t>GMP</w:t>
      </w:r>
      <w:r>
        <w:rPr>
          <w:rFonts w:hint="eastAsia"/>
          <w:szCs w:val="21"/>
        </w:rPr>
        <w:t>指南》无菌药品</w:t>
      </w:r>
      <w:r>
        <w:rPr>
          <w:rFonts w:hint="eastAsia" w:ascii="宋体" w:hAnsi="宋体"/>
        </w:rPr>
        <w:t>（</w:t>
      </w:r>
      <w:r>
        <w:rPr>
          <w:rFonts w:ascii="宋体" w:hAnsi="宋体"/>
        </w:rPr>
        <w:t>2011</w:t>
      </w:r>
      <w:r>
        <w:rPr>
          <w:rFonts w:hint="eastAsia" w:ascii="宋体" w:hAnsi="宋体"/>
        </w:rPr>
        <w:t>版）</w:t>
      </w:r>
    </w:p>
    <w:p>
      <w:pPr>
        <w:pStyle w:val="44"/>
        <w:numPr>
          <w:ilvl w:val="0"/>
          <w:numId w:val="5"/>
        </w:numPr>
        <w:snapToGrid w:val="0"/>
        <w:spacing w:line="360" w:lineRule="auto"/>
        <w:ind w:left="760" w:firstLineChars="0"/>
        <w:rPr>
          <w:rFonts w:hint="eastAsia" w:ascii="Arial" w:hAnsi="宋体" w:cs="Arial"/>
          <w:color w:val="000000"/>
          <w:szCs w:val="21"/>
        </w:rPr>
      </w:pPr>
      <w:r>
        <w:rPr>
          <w:rFonts w:hint="eastAsia" w:ascii="宋体" w:hAnsi="宋体"/>
        </w:rPr>
        <w:t>GMP附件2《确认与验证》（2015版）</w:t>
      </w:r>
    </w:p>
    <w:permEnd w:id="5"/>
    <w:p>
      <w:pPr>
        <w:pStyle w:val="53"/>
        <w:numPr>
          <w:ilvl w:val="0"/>
          <w:numId w:val="4"/>
        </w:numPr>
        <w:spacing w:before="0" w:line="360" w:lineRule="auto"/>
        <w:jc w:val="left"/>
        <w:rPr>
          <w:color w:val="000000"/>
          <w:szCs w:val="21"/>
          <w:lang w:eastAsia="zh-CN"/>
        </w:rPr>
      </w:pPr>
      <w:r>
        <w:rPr>
          <w:rFonts w:hint="eastAsia"/>
          <w:color w:val="000000"/>
          <w:szCs w:val="21"/>
          <w:lang w:eastAsia="zh-CN"/>
        </w:rPr>
        <w:t>安全及环保法规指南</w:t>
      </w:r>
    </w:p>
    <w:p>
      <w:pPr>
        <w:pStyle w:val="53"/>
        <w:numPr>
          <w:ilvl w:val="0"/>
          <w:numId w:val="4"/>
        </w:numPr>
        <w:spacing w:before="0" w:line="360" w:lineRule="auto"/>
        <w:jc w:val="left"/>
        <w:rPr>
          <w:szCs w:val="24"/>
          <w:lang w:eastAsia="zh-CN"/>
        </w:rPr>
      </w:pPr>
      <w:r>
        <w:rPr>
          <w:spacing w:val="6"/>
          <w:lang w:eastAsia="zh-CN"/>
        </w:rPr>
        <w:t>电气安全应符合</w:t>
      </w:r>
      <w:r>
        <w:rPr>
          <w:rFonts w:hint="eastAsia"/>
          <w:spacing w:val="6"/>
          <w:lang w:eastAsia="zh-CN"/>
        </w:rPr>
        <w:t>符合《钢制压力容器》(</w:t>
      </w:r>
      <w:r>
        <w:rPr>
          <w:spacing w:val="6"/>
          <w:lang w:eastAsia="zh-CN"/>
        </w:rPr>
        <w:t>GB150-1998</w:t>
      </w:r>
      <w:r>
        <w:rPr>
          <w:rFonts w:hint="eastAsia"/>
          <w:spacing w:val="6"/>
          <w:lang w:eastAsia="zh-CN"/>
        </w:rPr>
        <w:t>)和《钢制焊接常压容器》(</w:t>
      </w:r>
      <w:r>
        <w:rPr>
          <w:spacing w:val="6"/>
          <w:lang w:eastAsia="zh-CN"/>
        </w:rPr>
        <w:t>JB/T44735-1997</w:t>
      </w:r>
      <w:r>
        <w:rPr>
          <w:rFonts w:hint="eastAsia"/>
          <w:spacing w:val="6"/>
          <w:lang w:eastAsia="zh-CN"/>
        </w:rPr>
        <w:t>)标准</w:t>
      </w:r>
      <w:permStart w:id="6" w:edGrp="everyone"/>
    </w:p>
    <w:permEnd w:id="6"/>
    <w:p>
      <w:pPr>
        <w:pStyle w:val="44"/>
        <w:numPr>
          <w:ilvl w:val="0"/>
          <w:numId w:val="3"/>
        </w:numPr>
        <w:spacing w:after="158" w:afterLines="50"/>
        <w:ind w:left="426" w:hanging="426" w:hangingChars="202"/>
        <w:outlineLvl w:val="0"/>
        <w:rPr>
          <w:rFonts w:ascii="Times New Roman" w:hAnsi="Times New Roman"/>
          <w:b/>
        </w:rPr>
      </w:pPr>
      <w:bookmarkStart w:id="20" w:name="_Toc522716119"/>
      <w:bookmarkStart w:id="21" w:name="_Toc522107739"/>
      <w:r>
        <w:rPr>
          <w:rFonts w:hint="eastAsia" w:ascii="Times New Roman" w:hAnsi="Times New Roman"/>
          <w:b/>
        </w:rPr>
        <w:t>系统描述</w:t>
      </w:r>
      <w:bookmarkEnd w:id="20"/>
      <w:bookmarkEnd w:id="21"/>
    </w:p>
    <w:p>
      <w:pPr>
        <w:pStyle w:val="7"/>
        <w:spacing w:line="360" w:lineRule="auto"/>
        <w:ind w:firstLine="420" w:firstLineChars="200"/>
        <w:rPr>
          <w:rFonts w:hint="eastAsia" w:ascii="宋体"/>
          <w:b/>
          <w:sz w:val="24"/>
          <w:lang w:eastAsia="zh-CN"/>
        </w:rPr>
      </w:pPr>
      <w:permStart w:id="7" w:edGrp="everyone"/>
      <w:r>
        <w:rPr>
          <w:rFonts w:hint="eastAsia"/>
          <w:color w:val="000000"/>
          <w:sz w:val="21"/>
          <w:szCs w:val="21"/>
          <w:lang w:val="en-US" w:eastAsia="zh-CN"/>
        </w:rPr>
        <w:t>欣宁楼乙脑减毒活疫苗车间需要购买2台</w:t>
      </w:r>
      <w:r>
        <w:rPr>
          <w:color w:val="000000"/>
          <w:sz w:val="21"/>
          <w:szCs w:val="21"/>
          <w:lang w:val="en-US" w:eastAsia="zh-CN"/>
        </w:rPr>
        <w:t>250L不锈钢移动罐，用于消毒剂（</w:t>
      </w:r>
      <w:r>
        <w:rPr>
          <w:rFonts w:hint="eastAsia"/>
          <w:color w:val="000000"/>
          <w:sz w:val="21"/>
          <w:szCs w:val="21"/>
          <w:lang w:val="en-US" w:eastAsia="zh-CN"/>
        </w:rPr>
        <w:t>75</w:t>
      </w:r>
      <w:r>
        <w:rPr>
          <w:color w:val="000000"/>
          <w:sz w:val="21"/>
          <w:szCs w:val="21"/>
          <w:lang w:val="en-US" w:eastAsia="zh-CN"/>
        </w:rPr>
        <w:t>%酒精、</w:t>
      </w:r>
      <w:r>
        <w:rPr>
          <w:rFonts w:hint="eastAsia"/>
          <w:color w:val="000000"/>
          <w:sz w:val="21"/>
          <w:szCs w:val="21"/>
          <w:lang w:val="en-US" w:eastAsia="zh-CN"/>
        </w:rPr>
        <w:t>1</w:t>
      </w:r>
      <w:r>
        <w:rPr>
          <w:color w:val="000000"/>
          <w:sz w:val="21"/>
          <w:szCs w:val="21"/>
          <w:lang w:val="en-US" w:eastAsia="zh-CN"/>
        </w:rPr>
        <w:t>%84</w:t>
      </w:r>
      <w:r>
        <w:rPr>
          <w:rFonts w:hint="eastAsia"/>
          <w:color w:val="000000"/>
          <w:sz w:val="21"/>
          <w:szCs w:val="21"/>
          <w:lang w:val="en-US" w:eastAsia="zh-CN"/>
        </w:rPr>
        <w:t>消毒液</w:t>
      </w:r>
      <w:r>
        <w:rPr>
          <w:color w:val="000000"/>
          <w:sz w:val="21"/>
          <w:szCs w:val="21"/>
          <w:lang w:val="en-US" w:eastAsia="zh-CN"/>
        </w:rPr>
        <w:t>、</w:t>
      </w:r>
      <w:r>
        <w:rPr>
          <w:rFonts w:hint="eastAsia"/>
          <w:color w:val="000000"/>
          <w:sz w:val="21"/>
          <w:szCs w:val="21"/>
          <w:lang w:val="en-US" w:eastAsia="zh-CN"/>
        </w:rPr>
        <w:t>0.1</w:t>
      </w:r>
      <w:r>
        <w:rPr>
          <w:color w:val="000000"/>
          <w:sz w:val="21"/>
          <w:szCs w:val="21"/>
          <w:lang w:val="en-US" w:eastAsia="zh-CN"/>
        </w:rPr>
        <w:t>%新洁尔灭）</w:t>
      </w:r>
      <w:r>
        <w:rPr>
          <w:rFonts w:hint="eastAsia"/>
          <w:color w:val="000000"/>
          <w:sz w:val="21"/>
          <w:szCs w:val="21"/>
          <w:lang w:val="en-US" w:eastAsia="zh-CN"/>
        </w:rPr>
        <w:t>的</w:t>
      </w:r>
      <w:r>
        <w:rPr>
          <w:color w:val="000000"/>
          <w:sz w:val="21"/>
          <w:szCs w:val="21"/>
          <w:lang w:val="en-US" w:eastAsia="zh-CN"/>
        </w:rPr>
        <w:t>配制和分装</w:t>
      </w:r>
      <w:r>
        <w:rPr>
          <w:rFonts w:hint="eastAsia"/>
          <w:color w:val="000000"/>
          <w:sz w:val="21"/>
          <w:szCs w:val="21"/>
          <w:lang w:val="en-US" w:eastAsia="zh-CN"/>
        </w:rPr>
        <w:t>。</w:t>
      </w:r>
      <w:permEnd w:id="7"/>
    </w:p>
    <w:p>
      <w:pPr>
        <w:pStyle w:val="44"/>
        <w:numPr>
          <w:ilvl w:val="0"/>
          <w:numId w:val="3"/>
        </w:numPr>
        <w:spacing w:after="158" w:afterLines="50"/>
        <w:ind w:left="426" w:hanging="426" w:hangingChars="202"/>
        <w:outlineLvl w:val="0"/>
        <w:rPr>
          <w:rFonts w:ascii="Times New Roman" w:hAnsi="Times New Roman"/>
          <w:szCs w:val="21"/>
        </w:rPr>
      </w:pPr>
      <w:bookmarkStart w:id="22" w:name="_Toc522716120"/>
      <w:r>
        <w:rPr>
          <w:rFonts w:hint="eastAsia" w:ascii="Times New Roman" w:hAnsi="Times New Roman"/>
          <w:b/>
          <w:szCs w:val="21"/>
        </w:rPr>
        <w:t>安装要求</w:t>
      </w:r>
      <w:bookmarkEnd w:id="22"/>
      <w:bookmarkStart w:id="47" w:name="_GoBack"/>
      <w:bookmarkEnd w:id="47"/>
      <w:permStart w:id="8" w:edGrp="everyone"/>
      <w:permEnd w:id="8"/>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9" w:edGrp="everyone"/>
          </w:p>
        </w:tc>
        <w:tc>
          <w:tcPr>
            <w:tcW w:w="7128" w:type="dxa"/>
            <w:vAlign w:val="center"/>
          </w:tcPr>
          <w:p>
            <w:pPr>
              <w:spacing w:line="276" w:lineRule="auto"/>
              <w:jc w:val="both"/>
              <w:rPr>
                <w:i/>
                <w:color w:val="0070C0"/>
                <w:szCs w:val="21"/>
                <w:lang w:eastAsia="zh-CN"/>
              </w:rPr>
            </w:pPr>
            <w:r>
              <w:rPr>
                <w:rFonts w:hint="eastAsia" w:ascii="宋体" w:hAnsi="宋体"/>
                <w:szCs w:val="21"/>
                <w:lang w:eastAsia="zh-CN"/>
              </w:rPr>
              <w:t>不锈钢移动罐</w:t>
            </w:r>
            <w:r>
              <w:rPr>
                <w:rFonts w:ascii="宋体" w:hAnsi="宋体"/>
                <w:szCs w:val="21"/>
                <w:lang w:eastAsia="zh-CN"/>
              </w:rPr>
              <w:t>需在乙型脑炎减毒活疫苗车间使用</w:t>
            </w:r>
            <w:r>
              <w:rPr>
                <w:rFonts w:hint="eastAsia"/>
                <w:szCs w:val="21"/>
                <w:lang w:eastAsia="zh-CN"/>
              </w:rPr>
              <w:t>。</w:t>
            </w:r>
          </w:p>
        </w:tc>
        <w:tc>
          <w:tcPr>
            <w:tcW w:w="2125" w:type="dxa"/>
            <w:vAlign w:val="center"/>
          </w:tcPr>
          <w:p>
            <w:pPr>
              <w:jc w:val="center"/>
              <w:rPr>
                <w:i/>
                <w:szCs w:val="21"/>
                <w:lang w:eastAsia="zh-CN"/>
              </w:rPr>
            </w:pPr>
            <w:r>
              <w:rPr>
                <w:rFonts w:hint="eastAsia"/>
                <w:iCs/>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color w:val="0070C0"/>
                <w:szCs w:val="21"/>
                <w:lang w:val="en-US" w:eastAsia="zh-CN"/>
              </w:rPr>
            </w:pPr>
            <w:r>
              <w:rPr>
                <w:rFonts w:hint="eastAsia"/>
                <w:szCs w:val="21"/>
                <w:lang w:eastAsia="zh-CN"/>
              </w:rPr>
              <w:t>不锈钢磁力搅拌罐高度</w:t>
            </w:r>
            <w:r>
              <w:rPr>
                <w:szCs w:val="21"/>
                <w:lang w:eastAsia="zh-CN"/>
              </w:rPr>
              <w:t>不高于</w:t>
            </w:r>
            <w:r>
              <w:rPr>
                <w:rFonts w:hint="eastAsia"/>
                <w:szCs w:val="21"/>
                <w:lang w:eastAsia="zh-CN"/>
              </w:rPr>
              <w:t>1</w:t>
            </w:r>
            <w:r>
              <w:rPr>
                <w:szCs w:val="21"/>
                <w:lang w:eastAsia="zh-CN"/>
              </w:rPr>
              <w:t>.</w:t>
            </w:r>
            <w:r>
              <w:rPr>
                <w:rFonts w:hint="eastAsia"/>
                <w:szCs w:val="21"/>
                <w:lang w:val="en-US" w:eastAsia="zh-CN"/>
              </w:rPr>
              <w:t>0</w:t>
            </w:r>
            <w:r>
              <w:rPr>
                <w:szCs w:val="21"/>
                <w:lang w:eastAsia="zh-CN"/>
              </w:rPr>
              <w:t>m</w:t>
            </w:r>
            <w:r>
              <w:rPr>
                <w:rFonts w:hint="eastAsia"/>
                <w:szCs w:val="21"/>
                <w:lang w:eastAsia="zh-CN"/>
              </w:rPr>
              <w:t>，不影响使用和生产操作</w:t>
            </w:r>
            <w:r>
              <w:rPr>
                <w:rFonts w:hint="eastAsia" w:ascii="宋体" w:hAnsi="宋体"/>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szCs w:val="21"/>
                <w:lang w:eastAsia="zh-CN"/>
              </w:rPr>
            </w:pPr>
            <w:r>
              <w:rPr>
                <w:rFonts w:hint="eastAsia"/>
                <w:szCs w:val="21"/>
                <w:lang w:eastAsia="zh-CN"/>
              </w:rPr>
              <w:t>设备的形式尺寸应符合制造商说明书及技术文件规定的要求。</w:t>
            </w:r>
          </w:p>
        </w:tc>
        <w:tc>
          <w:tcPr>
            <w:tcW w:w="2125" w:type="dxa"/>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rFonts w:hint="eastAsia"/>
                <w:szCs w:val="21"/>
                <w:lang w:eastAsia="zh-CN"/>
              </w:rPr>
              <w:t>供应商必须给出设备选型方案及相应附件选型方案，并交给我公司使用部门及工程类部门审核。</w:t>
            </w:r>
          </w:p>
        </w:tc>
        <w:tc>
          <w:tcPr>
            <w:tcW w:w="2125" w:type="dxa"/>
            <w:vAlign w:val="center"/>
          </w:tcPr>
          <w:p>
            <w:pPr>
              <w:jc w:val="center"/>
              <w:rPr>
                <w:szCs w:val="21"/>
                <w:lang w:eastAsia="zh-CN"/>
              </w:rPr>
            </w:pPr>
            <w:r>
              <w:rPr>
                <w:rFonts w:hint="eastAsia"/>
                <w:szCs w:val="21"/>
                <w:lang w:eastAsia="zh-CN"/>
              </w:rPr>
              <w:t>关键</w:t>
            </w:r>
          </w:p>
        </w:tc>
      </w:tr>
      <w:permEnd w:id="10"/>
      <w:tr>
        <w:tblPrEx>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color w:val="0070C0"/>
                <w:szCs w:val="21"/>
                <w:lang w:eastAsia="zh-CN"/>
              </w:rPr>
            </w:pPr>
            <w:r>
              <w:rPr>
                <w:rFonts w:hint="eastAsia"/>
                <w:szCs w:val="21"/>
                <w:lang w:eastAsia="zh-CN"/>
              </w:rPr>
              <w:t>不超过</w:t>
            </w:r>
            <w:r>
              <w:rPr>
                <w:rFonts w:hint="eastAsia"/>
                <w:szCs w:val="21"/>
                <w:lang w:val="en-US" w:eastAsia="zh-CN"/>
              </w:rPr>
              <w:t>100</w:t>
            </w:r>
            <w:r>
              <w:rPr>
                <w:rFonts w:hint="eastAsia"/>
                <w:szCs w:val="21"/>
                <w:lang w:eastAsia="zh-CN"/>
              </w:rPr>
              <w:t>kg，可人工搬抬入灭菌锅灭菌</w:t>
            </w:r>
          </w:p>
        </w:tc>
        <w:tc>
          <w:tcPr>
            <w:tcW w:w="2125" w:type="dxa"/>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color w:val="0070C0"/>
                <w:szCs w:val="21"/>
                <w:lang w:eastAsia="zh-CN"/>
              </w:rPr>
            </w:pPr>
            <w:r>
              <w:rPr>
                <w:rFonts w:hint="eastAsia"/>
                <w:bCs/>
                <w:szCs w:val="24"/>
                <w:lang w:val="en-US" w:eastAsia="zh-CN"/>
              </w:rPr>
              <w:t>洁净正压</w:t>
            </w:r>
          </w:p>
        </w:tc>
        <w:tc>
          <w:tcPr>
            <w:tcW w:w="2125" w:type="dxa"/>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ermStart w:id="13" w:edGrp="everyone"/>
            <w:permEnd w:id="13"/>
          </w:p>
        </w:tc>
        <w:tc>
          <w:tcPr>
            <w:tcW w:w="9253" w:type="dxa"/>
            <w:gridSpan w:val="2"/>
            <w:shd w:val="clear" w:color="auto" w:fill="D9D9D9"/>
            <w:vAlign w:val="center"/>
          </w:tcPr>
          <w:p>
            <w:pPr>
              <w:jc w:val="both"/>
              <w:rPr>
                <w:szCs w:val="21"/>
                <w:lang w:eastAsia="zh-CN"/>
              </w:rPr>
            </w:pPr>
            <w:r>
              <w:rPr>
                <w:rFonts w:hint="eastAsia"/>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14" w:edGrp="everyone"/>
          </w:p>
        </w:tc>
        <w:tc>
          <w:tcPr>
            <w:tcW w:w="7128" w:type="dxa"/>
            <w:vAlign w:val="center"/>
          </w:tcPr>
          <w:p>
            <w:pPr>
              <w:pStyle w:val="51"/>
              <w:jc w:val="both"/>
              <w:rPr>
                <w:sz w:val="21"/>
                <w:szCs w:val="21"/>
              </w:rPr>
            </w:pPr>
            <w:r>
              <w:rPr>
                <w:rFonts w:hint="eastAsia"/>
                <w:sz w:val="21"/>
                <w:szCs w:val="21"/>
              </w:rPr>
              <w:t>工</w:t>
            </w:r>
            <w:r>
              <w:rPr>
                <w:sz w:val="21"/>
                <w:szCs w:val="21"/>
              </w:rPr>
              <w:t xml:space="preserve"> </w:t>
            </w:r>
            <w:r>
              <w:rPr>
                <w:rFonts w:hint="eastAsia"/>
                <w:sz w:val="21"/>
                <w:szCs w:val="21"/>
              </w:rPr>
              <w:t>作环境温度：能适应</w:t>
            </w:r>
            <w:r>
              <w:rPr>
                <w:rFonts w:ascii="Times New Roman"/>
                <w:sz w:val="21"/>
                <w:szCs w:val="21"/>
              </w:rPr>
              <w:t>18</w:t>
            </w:r>
            <w:r>
              <w:rPr>
                <w:rFonts w:hint="eastAsia"/>
                <w:sz w:val="21"/>
                <w:szCs w:val="21"/>
              </w:rPr>
              <w:t>℃～</w:t>
            </w:r>
            <w:r>
              <w:rPr>
                <w:rFonts w:ascii="Times New Roman"/>
                <w:sz w:val="21"/>
                <w:szCs w:val="21"/>
              </w:rPr>
              <w:t>26</w:t>
            </w:r>
            <w:r>
              <w:rPr>
                <w:rFonts w:hint="eastAsia"/>
                <w:sz w:val="21"/>
                <w:szCs w:val="21"/>
              </w:rPr>
              <w:t>℃环境</w:t>
            </w:r>
            <w:r>
              <w:rPr>
                <w:sz w:val="21"/>
                <w:szCs w:val="21"/>
              </w:rPr>
              <w:t xml:space="preserve"> </w:t>
            </w:r>
          </w:p>
        </w:tc>
        <w:tc>
          <w:tcPr>
            <w:tcW w:w="2125" w:type="dxa"/>
            <w:vAlign w:val="center"/>
          </w:tcPr>
          <w:p>
            <w:pPr>
              <w:jc w:val="center"/>
              <w:rPr>
                <w:szCs w:val="21"/>
                <w:lang w:eastAsia="zh-CN"/>
              </w:rPr>
            </w:pPr>
            <w:r>
              <w:rPr>
                <w:rFonts w:hint="eastAsia"/>
                <w:szCs w:val="21"/>
                <w:lang w:eastAsia="zh-CN"/>
              </w:rPr>
              <w:t>关键</w:t>
            </w:r>
          </w:p>
        </w:tc>
      </w:tr>
      <w:permEnd w:id="14"/>
      <w:tr>
        <w:tblPrEx>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15" w:edGrp="everyone"/>
          </w:p>
        </w:tc>
        <w:tc>
          <w:tcPr>
            <w:tcW w:w="7128" w:type="dxa"/>
            <w:vAlign w:val="center"/>
          </w:tcPr>
          <w:p>
            <w:pPr>
              <w:pStyle w:val="51"/>
              <w:jc w:val="both"/>
              <w:rPr>
                <w:sz w:val="21"/>
                <w:szCs w:val="21"/>
              </w:rPr>
            </w:pPr>
            <w:r>
              <w:rPr>
                <w:rFonts w:hint="eastAsia"/>
                <w:sz w:val="21"/>
                <w:szCs w:val="21"/>
              </w:rPr>
              <w:t>工</w:t>
            </w:r>
            <w:r>
              <w:rPr>
                <w:sz w:val="21"/>
                <w:szCs w:val="21"/>
              </w:rPr>
              <w:t xml:space="preserve"> </w:t>
            </w:r>
            <w:r>
              <w:rPr>
                <w:rFonts w:hint="eastAsia"/>
                <w:sz w:val="21"/>
                <w:szCs w:val="21"/>
              </w:rPr>
              <w:t>作环境湿度：至少包括</w:t>
            </w:r>
            <w:r>
              <w:rPr>
                <w:rFonts w:ascii="Times New Roman"/>
                <w:sz w:val="21"/>
                <w:szCs w:val="21"/>
              </w:rPr>
              <w:t>45%</w:t>
            </w:r>
            <w:r>
              <w:rPr>
                <w:rFonts w:hint="eastAsia"/>
                <w:sz w:val="21"/>
                <w:szCs w:val="21"/>
              </w:rPr>
              <w:t>～</w:t>
            </w:r>
            <w:r>
              <w:rPr>
                <w:rFonts w:ascii="Times New Roman"/>
                <w:sz w:val="21"/>
                <w:szCs w:val="21"/>
              </w:rPr>
              <w:t xml:space="preserve">65% </w:t>
            </w:r>
          </w:p>
        </w:tc>
        <w:tc>
          <w:tcPr>
            <w:tcW w:w="2125" w:type="dxa"/>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color w:val="000000"/>
                <w:lang w:eastAsia="zh-CN"/>
              </w:rPr>
            </w:pPr>
            <w:r>
              <w:rPr>
                <w:rFonts w:hint="eastAsia"/>
                <w:color w:val="000000"/>
                <w:szCs w:val="22"/>
                <w:lang w:eastAsia="zh-CN"/>
              </w:rPr>
              <w:t>适用于本公司</w:t>
            </w:r>
            <w:r>
              <w:rPr>
                <w:rFonts w:hint="eastAsia"/>
                <w:color w:val="000000"/>
                <w:lang w:eastAsia="zh-CN"/>
              </w:rPr>
              <w:t>工作环境洁净级别：</w:t>
            </w:r>
            <w:r>
              <w:rPr>
                <w:color w:val="000000"/>
                <w:lang w:eastAsia="zh-CN"/>
              </w:rPr>
              <w:t xml:space="preserve"> D</w:t>
            </w:r>
            <w:r>
              <w:rPr>
                <w:rFonts w:hint="eastAsia"/>
                <w:color w:val="000000"/>
                <w:lang w:eastAsia="zh-CN"/>
              </w:rPr>
              <w:t>级以上</w:t>
            </w:r>
          </w:p>
        </w:tc>
        <w:tc>
          <w:tcPr>
            <w:tcW w:w="2125" w:type="dxa"/>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rFonts w:hint="eastAsia"/>
                <w:color w:val="000000"/>
                <w:szCs w:val="22"/>
                <w:lang w:eastAsia="zh-CN"/>
              </w:rPr>
              <w:t>适用于本公司</w:t>
            </w:r>
            <w:r>
              <w:rPr>
                <w:rFonts w:hint="eastAsia"/>
                <w:color w:val="000000"/>
                <w:lang w:eastAsia="zh-CN"/>
              </w:rPr>
              <w:t>交流电电源：</w:t>
            </w:r>
            <w:r>
              <w:rPr>
                <w:rFonts w:hint="eastAsia"/>
                <w:iCs/>
                <w:color w:val="000000"/>
                <w:lang w:eastAsia="zh-CN"/>
              </w:rPr>
              <w:t>～</w:t>
            </w:r>
            <w:r>
              <w:rPr>
                <w:iCs/>
                <w:color w:val="000000"/>
                <w:lang w:eastAsia="zh-CN"/>
              </w:rPr>
              <w:t>220±10%V</w:t>
            </w:r>
            <w:r>
              <w:rPr>
                <w:rFonts w:hint="eastAsia"/>
                <w:iCs/>
                <w:color w:val="000000"/>
                <w:lang w:eastAsia="zh-CN"/>
              </w:rPr>
              <w:t>，</w:t>
            </w:r>
            <w:r>
              <w:rPr>
                <w:iCs/>
                <w:color w:val="000000"/>
                <w:lang w:eastAsia="zh-CN"/>
              </w:rPr>
              <w:t xml:space="preserve">50±1Hz </w:t>
            </w:r>
          </w:p>
        </w:tc>
        <w:tc>
          <w:tcPr>
            <w:tcW w:w="2125" w:type="dxa"/>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i/>
                <w:color w:val="000000"/>
                <w:lang w:eastAsia="zh-CN"/>
              </w:rPr>
            </w:pPr>
            <w:r>
              <w:rPr>
                <w:rFonts w:hint="eastAsia"/>
                <w:iCs/>
                <w:color w:val="000000"/>
                <w:lang w:eastAsia="zh-CN"/>
              </w:rPr>
              <w:t>设备表面：表面无明显的划痕、凹陷、脱落、裂纹、锈蚀以及其它肉眼可见的外观缺陷；设备在洁净区使用应满足整机能耐受臭氧、甲醛熏蒸、过氧化氢消毒并能耐受75%酒精、1%84消毒剂表面擦拭消毒，易于清洁，无死角。</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lang w:eastAsia="zh-CN"/>
              </w:rPr>
            </w:pPr>
            <w:r>
              <w:rPr>
                <w:rFonts w:hint="eastAsia"/>
                <w:iCs/>
                <w:lang w:eastAsia="zh-CN"/>
              </w:rPr>
              <w:t>标记：产品铭牌、标识、标贴等标牌类零件的安装或粘连位置应正确、端正，标牌表面的文字、符号、图案等应正确、清晰。</w:t>
            </w:r>
          </w:p>
        </w:tc>
        <w:tc>
          <w:tcPr>
            <w:tcW w:w="2125" w:type="dxa"/>
            <w:vAlign w:val="center"/>
          </w:tcPr>
          <w:p>
            <w:pPr>
              <w:jc w:val="center"/>
              <w:rPr>
                <w:szCs w:val="21"/>
                <w:lang w:eastAsia="zh-CN"/>
              </w:rPr>
            </w:pPr>
            <w:r>
              <w:rPr>
                <w:rFonts w:hint="eastAsia"/>
                <w:szCs w:val="21"/>
                <w:lang w:eastAsia="zh-CN"/>
              </w:rPr>
              <w:t>关键</w:t>
            </w:r>
          </w:p>
        </w:tc>
      </w:tr>
      <w:tr>
        <w:tblPrEx>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lang w:eastAsia="zh-CN"/>
              </w:rPr>
            </w:pPr>
            <w:r>
              <w:rPr>
                <w:rFonts w:hint="eastAsia"/>
                <w:iCs/>
                <w:lang w:eastAsia="zh-CN"/>
              </w:rPr>
              <w:t>设备主体结构采用抗氧化和抗冲击的材质，确保设备整体的安全性和稳定性。</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lang w:eastAsia="zh-CN"/>
              </w:rPr>
            </w:pPr>
            <w:r>
              <w:rPr>
                <w:rFonts w:hint="eastAsia"/>
                <w:iCs/>
                <w:lang w:eastAsia="zh-CN"/>
              </w:rPr>
              <w:t>底座配备</w:t>
            </w:r>
            <w:r>
              <w:rPr>
                <w:rFonts w:hint="eastAsia" w:ascii="宋体" w:hAnsi="宋体"/>
                <w:lang w:eastAsia="zh-CN"/>
              </w:rPr>
              <w:t>无油</w:t>
            </w:r>
            <w:r>
              <w:rPr>
                <w:iCs/>
                <w:lang w:eastAsia="zh-CN"/>
              </w:rPr>
              <w:t>万向</w:t>
            </w:r>
            <w:r>
              <w:rPr>
                <w:rFonts w:hint="eastAsia"/>
                <w:iCs/>
                <w:lang w:eastAsia="zh-CN"/>
              </w:rPr>
              <w:t>轮</w:t>
            </w:r>
            <w:r>
              <w:rPr>
                <w:iCs/>
                <w:lang w:eastAsia="zh-CN"/>
              </w:rPr>
              <w:t>，</w:t>
            </w:r>
            <w:r>
              <w:rPr>
                <w:rFonts w:hint="eastAsia"/>
                <w:lang w:eastAsia="zh-CN"/>
              </w:rPr>
              <w:t>其包含的金属材质应不易生锈耐腐蚀，可锁死固定，</w:t>
            </w:r>
            <w:r>
              <w:rPr>
                <w:rFonts w:hint="eastAsia" w:ascii="宋体" w:hAnsi="宋体"/>
                <w:lang w:eastAsia="zh-CN"/>
              </w:rPr>
              <w:t>能耐受多次湿热高压灭菌</w:t>
            </w:r>
            <w:r>
              <w:rPr>
                <w:rFonts w:hint="eastAsia"/>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lang w:eastAsia="zh-CN"/>
              </w:rPr>
            </w:pPr>
            <w:r>
              <w:rPr>
                <w:rFonts w:hint="eastAsia"/>
                <w:iCs/>
                <w:lang w:eastAsia="zh-CN"/>
              </w:rPr>
              <w:t>配备</w:t>
            </w:r>
            <w:r>
              <w:rPr>
                <w:iCs/>
                <w:lang w:eastAsia="zh-CN"/>
              </w:rPr>
              <w:t>压力表。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val="en-US" w:eastAsia="zh-CN"/>
              </w:rPr>
              <w:t>标识</w:t>
            </w:r>
            <w:r>
              <w:rPr>
                <w:rFonts w:hint="eastAsia"/>
                <w:szCs w:val="21"/>
                <w:lang w:eastAsia="zh-CN"/>
              </w:rPr>
              <w:t>：至少应有以下永久贴牢和清楚易认的标识：</w:t>
            </w:r>
          </w:p>
          <w:p>
            <w:pPr>
              <w:numPr>
                <w:ilvl w:val="0"/>
                <w:numId w:val="8"/>
              </w:numPr>
              <w:spacing w:line="276" w:lineRule="auto"/>
              <w:jc w:val="both"/>
              <w:rPr>
                <w:szCs w:val="21"/>
                <w:lang w:eastAsia="zh-CN"/>
              </w:rPr>
            </w:pPr>
            <w:r>
              <w:rPr>
                <w:rFonts w:hint="eastAsia"/>
                <w:szCs w:val="21"/>
                <w:lang w:eastAsia="zh-CN"/>
              </w:rPr>
              <w:t>制造</w:t>
            </w:r>
            <w:r>
              <w:rPr>
                <w:szCs w:val="21"/>
                <w:lang w:eastAsia="zh-CN"/>
              </w:rPr>
              <w:t>/</w:t>
            </w:r>
            <w:r>
              <w:rPr>
                <w:rFonts w:hint="eastAsia"/>
                <w:szCs w:val="21"/>
                <w:lang w:eastAsia="zh-CN"/>
              </w:rPr>
              <w:t>供应单位；</w:t>
            </w:r>
          </w:p>
          <w:p>
            <w:pPr>
              <w:numPr>
                <w:ilvl w:val="0"/>
                <w:numId w:val="8"/>
              </w:numPr>
              <w:spacing w:line="276" w:lineRule="auto"/>
              <w:jc w:val="both"/>
              <w:rPr>
                <w:szCs w:val="21"/>
                <w:lang w:eastAsia="zh-CN"/>
              </w:rPr>
            </w:pPr>
            <w:r>
              <w:rPr>
                <w:rFonts w:hint="eastAsia"/>
                <w:szCs w:val="21"/>
                <w:lang w:eastAsia="zh-CN"/>
              </w:rPr>
              <w:t>产品注册号；</w:t>
            </w:r>
          </w:p>
          <w:p>
            <w:pPr>
              <w:numPr>
                <w:ilvl w:val="0"/>
                <w:numId w:val="8"/>
              </w:numPr>
              <w:spacing w:line="276" w:lineRule="auto"/>
              <w:jc w:val="both"/>
              <w:rPr>
                <w:szCs w:val="21"/>
                <w:lang w:eastAsia="zh-CN"/>
              </w:rPr>
            </w:pPr>
            <w:r>
              <w:rPr>
                <w:rFonts w:hint="eastAsia"/>
                <w:szCs w:val="21"/>
                <w:lang w:eastAsia="zh-CN"/>
              </w:rPr>
              <w:t>型号；</w:t>
            </w:r>
          </w:p>
          <w:p>
            <w:pPr>
              <w:numPr>
                <w:ilvl w:val="0"/>
                <w:numId w:val="8"/>
              </w:numPr>
              <w:spacing w:line="276" w:lineRule="auto"/>
              <w:jc w:val="both"/>
              <w:rPr>
                <w:szCs w:val="21"/>
                <w:lang w:eastAsia="zh-CN"/>
              </w:rPr>
            </w:pPr>
            <w:r>
              <w:rPr>
                <w:rFonts w:hint="eastAsia"/>
                <w:szCs w:val="21"/>
                <w:lang w:eastAsia="zh-CN"/>
              </w:rPr>
              <w:t>生产日期或编号；</w:t>
            </w:r>
          </w:p>
          <w:p>
            <w:pPr>
              <w:numPr>
                <w:ilvl w:val="0"/>
                <w:numId w:val="8"/>
              </w:numPr>
              <w:spacing w:line="276" w:lineRule="auto"/>
              <w:jc w:val="both"/>
              <w:rPr>
                <w:szCs w:val="21"/>
                <w:lang w:eastAsia="zh-CN"/>
              </w:rPr>
            </w:pPr>
            <w:r>
              <w:rPr>
                <w:rFonts w:hint="eastAsia"/>
                <w:lang w:eastAsia="zh-CN"/>
              </w:rPr>
              <w:t>对设备必要的说明；</w:t>
            </w:r>
          </w:p>
          <w:p>
            <w:pPr>
              <w:numPr>
                <w:ilvl w:val="0"/>
                <w:numId w:val="8"/>
              </w:numPr>
              <w:spacing w:line="276" w:lineRule="auto"/>
              <w:jc w:val="both"/>
              <w:rPr>
                <w:szCs w:val="21"/>
                <w:lang w:eastAsia="zh-CN"/>
              </w:rPr>
            </w:pPr>
            <w:r>
              <w:rPr>
                <w:rFonts w:hint="eastAsia"/>
              </w:rPr>
              <w:t>安全标识。</w:t>
            </w:r>
          </w:p>
        </w:tc>
        <w:tc>
          <w:tcPr>
            <w:tcW w:w="2125" w:type="dxa"/>
            <w:vAlign w:val="center"/>
          </w:tcPr>
          <w:p>
            <w:pPr>
              <w:jc w:val="center"/>
              <w:rPr>
                <w:szCs w:val="21"/>
                <w:lang w:eastAsia="zh-CN"/>
              </w:rPr>
            </w:pPr>
            <w:r>
              <w:rPr>
                <w:rFonts w:hint="eastAsia"/>
                <w:szCs w:val="21"/>
                <w:lang w:eastAsia="zh-CN"/>
              </w:rPr>
              <w:t>关键</w:t>
            </w:r>
          </w:p>
        </w:tc>
      </w:tr>
      <w:bookmarkEnd w:id="23"/>
      <w:bookmarkEnd w:id="24"/>
      <w:permEnd w:id="18"/>
    </w:tbl>
    <w:p>
      <w:pPr>
        <w:pStyle w:val="44"/>
        <w:spacing w:after="158" w:afterLines="50"/>
        <w:ind w:left="425" w:firstLine="0" w:firstLineChars="0"/>
        <w:rPr>
          <w:rFonts w:ascii="Times New Roman" w:hAnsi="Times New Roman"/>
          <w:szCs w:val="21"/>
        </w:rPr>
      </w:pPr>
    </w:p>
    <w:p>
      <w:pPr>
        <w:pStyle w:val="44"/>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hint="eastAsia" w:ascii="Times New Roman" w:hAnsi="Times New Roman"/>
          <w:b/>
        </w:rPr>
        <w:t>运行要求</w:t>
      </w:r>
      <w:bookmarkEnd w:id="25"/>
      <w:bookmarkEnd w:id="26"/>
    </w:p>
    <w:p>
      <w:pPr>
        <w:pStyle w:val="53"/>
        <w:spacing w:before="0" w:line="360" w:lineRule="auto"/>
        <w:ind w:left="357"/>
        <w:jc w:val="left"/>
        <w:rPr>
          <w:bCs/>
          <w:i/>
          <w:color w:val="4472C4"/>
          <w:kern w:val="44"/>
          <w:szCs w:val="21"/>
          <w:lang w:eastAsia="zh-CN"/>
        </w:rPr>
      </w:pPr>
      <w:permStart w:id="19" w:edGrp="everyone"/>
    </w:p>
    <w:permEnd w:id="19"/>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34"/>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gridSpan w:val="2"/>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44"/>
              <w:numPr>
                <w:ilvl w:val="0"/>
                <w:numId w:val="7"/>
              </w:numPr>
              <w:ind w:left="470" w:hanging="120" w:firstLineChars="0"/>
              <w:rPr>
                <w:rFonts w:ascii="Times New Roman" w:hAnsi="Times New Roman"/>
                <w:szCs w:val="21"/>
              </w:rPr>
            </w:pPr>
            <w:permStart w:id="20" w:edGrp="everyone"/>
          </w:p>
        </w:tc>
        <w:tc>
          <w:tcPr>
            <w:tcW w:w="7162" w:type="dxa"/>
            <w:gridSpan w:val="2"/>
            <w:vAlign w:val="center"/>
          </w:tcPr>
          <w:p>
            <w:pPr>
              <w:jc w:val="both"/>
              <w:rPr>
                <w:szCs w:val="21"/>
                <w:lang w:eastAsia="zh-CN"/>
              </w:rPr>
            </w:pPr>
            <w:r>
              <w:rPr>
                <w:rFonts w:hint="eastAsia"/>
                <w:iCs/>
                <w:lang w:eastAsia="zh-CN"/>
              </w:rPr>
              <w:t>包装需满足运输和装卸要求，防潮湿、防磕碰、防振动</w:t>
            </w:r>
          </w:p>
        </w:tc>
        <w:tc>
          <w:tcPr>
            <w:tcW w:w="2091" w:type="dxa"/>
            <w:vAlign w:val="center"/>
          </w:tcPr>
          <w:p>
            <w:pPr>
              <w:jc w:val="center"/>
              <w:rPr>
                <w:rFonts w:hint="eastAsia"/>
                <w:szCs w:val="21"/>
                <w:lang w:eastAsia="zh-CN"/>
              </w:rPr>
            </w:pPr>
            <w:r>
              <w:rPr>
                <w:rFonts w:hint="eastAsia"/>
                <w:szCs w:val="21"/>
                <w:lang w:val="en-US"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44"/>
              <w:numPr>
                <w:ilvl w:val="0"/>
                <w:numId w:val="7"/>
              </w:numPr>
              <w:ind w:left="470" w:hanging="120" w:firstLineChars="0"/>
              <w:rPr>
                <w:rFonts w:ascii="Times New Roman" w:hAnsi="Times New Roman"/>
                <w:szCs w:val="21"/>
              </w:rPr>
            </w:pPr>
            <w:permStart w:id="21" w:edGrp="everyone"/>
          </w:p>
        </w:tc>
        <w:tc>
          <w:tcPr>
            <w:tcW w:w="7162" w:type="dxa"/>
            <w:gridSpan w:val="2"/>
            <w:vAlign w:val="center"/>
          </w:tcPr>
          <w:p>
            <w:pPr>
              <w:jc w:val="both"/>
              <w:rPr>
                <w:szCs w:val="21"/>
                <w:lang w:eastAsia="zh-CN"/>
              </w:rPr>
            </w:pPr>
            <w:r>
              <w:rPr>
                <w:rFonts w:hint="eastAsia"/>
                <w:szCs w:val="21"/>
              </w:rPr>
              <w:t>有效容积2</w:t>
            </w:r>
            <w:r>
              <w:rPr>
                <w:szCs w:val="21"/>
              </w:rPr>
              <w:t>50L</w:t>
            </w:r>
          </w:p>
        </w:tc>
        <w:tc>
          <w:tcPr>
            <w:tcW w:w="2091" w:type="dxa"/>
            <w:vAlign w:val="center"/>
          </w:tcPr>
          <w:p>
            <w:pPr>
              <w:jc w:val="center"/>
              <w:rPr>
                <w:szCs w:val="21"/>
                <w:lang w:eastAsia="zh-CN"/>
              </w:rPr>
            </w:pPr>
            <w:r>
              <w:rPr>
                <w:rFonts w:hint="eastAsia"/>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22" w:edGrp="everyone"/>
          </w:p>
        </w:tc>
        <w:tc>
          <w:tcPr>
            <w:tcW w:w="7128" w:type="dxa"/>
            <w:vAlign w:val="center"/>
          </w:tcPr>
          <w:p>
            <w:pPr>
              <w:pStyle w:val="51"/>
              <w:jc w:val="both"/>
              <w:rPr>
                <w:sz w:val="21"/>
                <w:szCs w:val="21"/>
              </w:rPr>
            </w:pPr>
            <w:r>
              <w:rPr>
                <w:rFonts w:hint="eastAsia"/>
                <w:sz w:val="21"/>
                <w:szCs w:val="21"/>
              </w:rPr>
              <w:t>罐体可高压灭菌，耐酸碱</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51"/>
              <w:jc w:val="both"/>
              <w:rPr>
                <w:sz w:val="21"/>
                <w:szCs w:val="21"/>
              </w:rPr>
            </w:pPr>
            <w:r>
              <w:rPr>
                <w:rFonts w:hint="eastAsia"/>
                <w:sz w:val="21"/>
                <w:szCs w:val="21"/>
              </w:rPr>
              <w:t>不锈钢移动罐侧面配备可视化目窗，目窗标有合适刻度线，可精确读取不锈钢移动罐内溶液量。</w:t>
            </w:r>
            <w:r>
              <w:rPr>
                <w:sz w:val="21"/>
                <w:szCs w:val="21"/>
              </w:rPr>
              <w:t xml:space="preserve"> </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51"/>
              <w:jc w:val="both"/>
              <w:rPr>
                <w:sz w:val="21"/>
                <w:szCs w:val="21"/>
              </w:rPr>
            </w:pPr>
            <w:r>
              <w:rPr>
                <w:rFonts w:hint="eastAsia"/>
                <w:sz w:val="21"/>
                <w:szCs w:val="21"/>
              </w:rPr>
              <w:t>基本参数：额定工作压力≤0.15MPa，保压压力≤0.25MPa；搅拌转速：0～500±10r/min（可无极调整），需显示转速，转速精度一转，提供转速验证方法。</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51"/>
              <w:jc w:val="both"/>
              <w:rPr>
                <w:sz w:val="21"/>
                <w:szCs w:val="21"/>
              </w:rPr>
            </w:pPr>
            <w:r>
              <w:rPr>
                <w:rFonts w:hint="eastAsia"/>
                <w:sz w:val="21"/>
                <w:szCs w:val="21"/>
              </w:rPr>
              <w:t>不锈钢移动罐加料方式采用人工加料，开启方式采用上开启方式，密封安全可靠。密封条应符合医药类卫生需求。</w:t>
            </w:r>
            <w:r>
              <w:rPr>
                <w:sz w:val="21"/>
                <w:szCs w:val="21"/>
              </w:rPr>
              <w:t xml:space="preserve"> </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51"/>
              <w:jc w:val="both"/>
              <w:rPr>
                <w:sz w:val="21"/>
                <w:szCs w:val="21"/>
              </w:rPr>
            </w:pPr>
            <w:r>
              <w:rPr>
                <w:rFonts w:hint="eastAsia"/>
                <w:sz w:val="21"/>
                <w:szCs w:val="21"/>
              </w:rPr>
              <w:t>不锈钢移动罐顶部配备标准人孔视镜，不锈钢材料为</w:t>
            </w:r>
            <w:r>
              <w:rPr>
                <w:rFonts w:ascii="Times New Roman"/>
                <w:sz w:val="21"/>
                <w:szCs w:val="21"/>
              </w:rPr>
              <w:t>316L</w:t>
            </w:r>
            <w:r>
              <w:rPr>
                <w:rFonts w:hint="eastAsia"/>
                <w:sz w:val="21"/>
                <w:szCs w:val="21"/>
              </w:rPr>
              <w:t>材质。</w:t>
            </w:r>
            <w:r>
              <w:rPr>
                <w:sz w:val="21"/>
                <w:szCs w:val="21"/>
              </w:rPr>
              <w:t xml:space="preserve"> </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51"/>
              <w:jc w:val="both"/>
              <w:rPr>
                <w:sz w:val="21"/>
                <w:szCs w:val="21"/>
              </w:rPr>
            </w:pPr>
            <w:r>
              <w:rPr>
                <w:rFonts w:hint="eastAsia"/>
                <w:sz w:val="21"/>
                <w:szCs w:val="21"/>
              </w:rPr>
              <w:t>不锈钢移动罐排液采用下排方式，排液口下端阀门距离地面大于</w:t>
            </w:r>
            <w:r>
              <w:rPr>
                <w:rFonts w:ascii="Times New Roman"/>
                <w:sz w:val="21"/>
                <w:szCs w:val="21"/>
              </w:rPr>
              <w:t>30cm</w:t>
            </w:r>
            <w:r>
              <w:rPr>
                <w:rFonts w:hint="eastAsia"/>
                <w:sz w:val="21"/>
                <w:szCs w:val="21"/>
              </w:rPr>
              <w:t>以上。</w:t>
            </w:r>
            <w:r>
              <w:rPr>
                <w:sz w:val="21"/>
                <w:szCs w:val="21"/>
              </w:rPr>
              <w:t xml:space="preserve"> </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51"/>
              <w:jc w:val="both"/>
              <w:rPr>
                <w:sz w:val="21"/>
                <w:szCs w:val="21"/>
              </w:rPr>
            </w:pPr>
            <w:r>
              <w:rPr>
                <w:rFonts w:hint="eastAsia"/>
                <w:sz w:val="21"/>
                <w:szCs w:val="21"/>
              </w:rPr>
              <w:t>不锈钢移动罐所有接口采用快装卡箍形式，且符合</w:t>
            </w:r>
            <w:r>
              <w:rPr>
                <w:rFonts w:ascii="Times New Roman"/>
                <w:sz w:val="21"/>
                <w:szCs w:val="21"/>
              </w:rPr>
              <w:t>3D</w:t>
            </w:r>
            <w:r>
              <w:rPr>
                <w:rFonts w:hint="eastAsia"/>
                <w:sz w:val="21"/>
                <w:szCs w:val="21"/>
              </w:rPr>
              <w:t>原则。不与制品接触不锈钢材质为</w:t>
            </w:r>
            <w:r>
              <w:rPr>
                <w:rFonts w:ascii="Times New Roman"/>
                <w:sz w:val="21"/>
                <w:szCs w:val="21"/>
              </w:rPr>
              <w:t>304</w:t>
            </w:r>
            <w:r>
              <w:rPr>
                <w:rFonts w:hint="eastAsia"/>
                <w:sz w:val="21"/>
                <w:szCs w:val="21"/>
              </w:rPr>
              <w:t>。</w:t>
            </w:r>
            <w:r>
              <w:rPr>
                <w:sz w:val="21"/>
                <w:szCs w:val="21"/>
              </w:rPr>
              <w:t xml:space="preserve"> </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51"/>
              <w:jc w:val="both"/>
              <w:rPr>
                <w:sz w:val="21"/>
                <w:szCs w:val="21"/>
              </w:rPr>
            </w:pPr>
            <w:r>
              <w:rPr>
                <w:rFonts w:hint="eastAsia"/>
                <w:sz w:val="21"/>
                <w:szCs w:val="21"/>
              </w:rPr>
              <w:t>与不锈钢移动罐相连接的管道、阀门、快开卡箍、管件、垫片等附件，应选用卫生型设计。</w:t>
            </w:r>
            <w:r>
              <w:rPr>
                <w:sz w:val="21"/>
                <w:szCs w:val="21"/>
              </w:rPr>
              <w:t xml:space="preserve"> </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51"/>
              <w:jc w:val="both"/>
              <w:rPr>
                <w:sz w:val="21"/>
                <w:szCs w:val="21"/>
              </w:rPr>
            </w:pPr>
            <w:r>
              <w:rPr>
                <w:rFonts w:hint="eastAsia"/>
                <w:sz w:val="21"/>
                <w:szCs w:val="21"/>
              </w:rPr>
              <w:t>系统中水平管道应设计一定的坡度，并设有排放点，确保整个系统能够自行排空。</w:t>
            </w:r>
            <w:r>
              <w:rPr>
                <w:sz w:val="21"/>
                <w:szCs w:val="21"/>
              </w:rPr>
              <w:t xml:space="preserve"> </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51"/>
              <w:jc w:val="both"/>
              <w:rPr>
                <w:sz w:val="21"/>
                <w:szCs w:val="21"/>
              </w:rPr>
            </w:pPr>
            <w:r>
              <w:rPr>
                <w:rFonts w:hint="eastAsia"/>
              </w:rPr>
              <w:t>排液口阀门为耐高压灭菌隔膜阀。</w:t>
            </w:r>
          </w:p>
        </w:tc>
        <w:tc>
          <w:tcPr>
            <w:tcW w:w="2125" w:type="dxa"/>
            <w:gridSpan w:val="2"/>
            <w:vAlign w:val="center"/>
          </w:tcPr>
          <w:p>
            <w:pPr>
              <w:jc w:val="center"/>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9"/>
              </w:numPr>
              <w:ind w:firstLineChars="0"/>
              <w:rPr>
                <w:rFonts w:ascii="Times New Roman" w:hAnsi="Times New Roman"/>
                <w:szCs w:val="21"/>
              </w:rPr>
            </w:pPr>
            <w:permStart w:id="23" w:edGrp="everyone"/>
            <w:permEnd w:id="23"/>
          </w:p>
        </w:tc>
        <w:tc>
          <w:tcPr>
            <w:tcW w:w="9253" w:type="dxa"/>
            <w:gridSpan w:val="3"/>
            <w:shd w:val="clear" w:color="auto" w:fill="D9D9D9"/>
            <w:vAlign w:val="center"/>
          </w:tcPr>
          <w:p>
            <w:pPr>
              <w:jc w:val="both"/>
              <w:rPr>
                <w:szCs w:val="21"/>
                <w:lang w:eastAsia="zh-CN"/>
              </w:rPr>
            </w:pPr>
            <w:r>
              <w:rPr>
                <w:rFonts w:hint="eastAsia"/>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24" w:edGrp="everyone"/>
          </w:p>
        </w:tc>
        <w:tc>
          <w:tcPr>
            <w:tcW w:w="7128" w:type="dxa"/>
            <w:vAlign w:val="center"/>
          </w:tcPr>
          <w:p>
            <w:pPr>
              <w:pStyle w:val="51"/>
              <w:jc w:val="both"/>
              <w:rPr>
                <w:sz w:val="21"/>
                <w:szCs w:val="21"/>
              </w:rPr>
            </w:pPr>
            <w:r>
              <w:rPr>
                <w:rFonts w:hint="eastAsia"/>
                <w:sz w:val="21"/>
                <w:szCs w:val="21"/>
              </w:rPr>
              <w:t>密封性完好</w:t>
            </w:r>
            <w:r>
              <w:rPr>
                <w:sz w:val="21"/>
                <w:szCs w:val="21"/>
              </w:rPr>
              <w:t xml:space="preserve"> </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51"/>
              <w:jc w:val="both"/>
              <w:rPr>
                <w:sz w:val="21"/>
                <w:szCs w:val="21"/>
              </w:rPr>
            </w:pPr>
            <w:r>
              <w:rPr>
                <w:rFonts w:hint="eastAsia"/>
                <w:sz w:val="21"/>
                <w:szCs w:val="21"/>
              </w:rPr>
              <w:t>能将不锈钢罐内液体搅拌均匀。</w:t>
            </w:r>
            <w:r>
              <w:rPr>
                <w:sz w:val="21"/>
                <w:szCs w:val="21"/>
              </w:rPr>
              <w:t xml:space="preserve"> </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51"/>
              <w:jc w:val="both"/>
              <w:rPr>
                <w:rFonts w:hint="eastAsia"/>
                <w:sz w:val="21"/>
                <w:szCs w:val="21"/>
              </w:rPr>
            </w:pPr>
            <w:r>
              <w:rPr>
                <w:rFonts w:hint="eastAsia"/>
                <w:szCs w:val="21"/>
              </w:rPr>
              <w:t>设备的运行噪声应不超过75分贝</w:t>
            </w:r>
          </w:p>
        </w:tc>
        <w:tc>
          <w:tcPr>
            <w:tcW w:w="2125" w:type="dxa"/>
            <w:gridSpan w:val="2"/>
            <w:vAlign w:val="center"/>
          </w:tcPr>
          <w:p>
            <w:pPr>
              <w:jc w:val="center"/>
              <w:rPr>
                <w:rFonts w:hint="eastAsia"/>
                <w:szCs w:val="21"/>
                <w:lang w:eastAsia="zh-CN"/>
              </w:rPr>
            </w:pPr>
            <w:r>
              <w:rPr>
                <w:rFonts w:hint="eastAsia"/>
                <w:szCs w:val="21"/>
                <w:lang w:eastAsia="zh-CN"/>
              </w:rPr>
              <w:t>关键</w:t>
            </w:r>
          </w:p>
        </w:tc>
      </w:tr>
      <w:permEnd w:id="24"/>
    </w:tbl>
    <w:p>
      <w:pPr>
        <w:pStyle w:val="44"/>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59946"/>
      <w:bookmarkStart w:id="30" w:name="_Toc482370151"/>
      <w:bookmarkStart w:id="31" w:name="_Toc482370359"/>
      <w:bookmarkStart w:id="32" w:name="_Toc482370767"/>
      <w:bookmarkStart w:id="33" w:name="_Toc482625289"/>
      <w:bookmarkStart w:id="34" w:name="_Toc483227237"/>
      <w:bookmarkStart w:id="35" w:name="_Toc483400317"/>
      <w:bookmarkStart w:id="36" w:name="_Toc481702480"/>
      <w:bookmarkStart w:id="37" w:name="_Toc482717202"/>
      <w:bookmarkStart w:id="38" w:name="_Toc482369815"/>
      <w:bookmarkStart w:id="39" w:name="_Toc482360291"/>
      <w:bookmarkStart w:id="40" w:name="_Toc482370071"/>
      <w:r>
        <w:rPr>
          <w:rFonts w:hint="eastAsia" w:ascii="Times New Roman" w:hAnsi="Times New Roman"/>
          <w:b/>
        </w:rPr>
        <w:t>电气、自动控制要求</w:t>
      </w:r>
      <w:bookmarkEnd w:id="27"/>
    </w:p>
    <w:p>
      <w:pPr>
        <w:pStyle w:val="53"/>
        <w:spacing w:before="0" w:line="360" w:lineRule="auto"/>
        <w:ind w:left="425"/>
        <w:jc w:val="left"/>
        <w:rPr>
          <w:i/>
          <w:color w:val="4472C4"/>
          <w:szCs w:val="21"/>
          <w:lang w:eastAsia="zh-CN"/>
        </w:rPr>
      </w:pPr>
      <w:permStart w:id="25" w:edGrp="everyone"/>
    </w:p>
    <w:permEnd w:id="25"/>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34"/>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gridSpan w:val="2"/>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2"/>
                <w:numId w:val="10"/>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7"/>
              </w:numPr>
              <w:ind w:left="470" w:hanging="120" w:firstLineChars="0"/>
              <w:rPr>
                <w:rFonts w:ascii="Times New Roman" w:hAnsi="Times New Roman"/>
                <w:szCs w:val="21"/>
              </w:rPr>
            </w:pPr>
            <w:permStart w:id="26" w:edGrp="everyone"/>
          </w:p>
        </w:tc>
        <w:tc>
          <w:tcPr>
            <w:tcW w:w="7162" w:type="dxa"/>
            <w:gridSpan w:val="2"/>
            <w:vAlign w:val="center"/>
          </w:tcPr>
          <w:p>
            <w:pPr>
              <w:jc w:val="both"/>
              <w:rPr>
                <w:szCs w:val="21"/>
                <w:lang w:eastAsia="zh-CN"/>
              </w:rPr>
            </w:pPr>
            <w:r>
              <w:rPr>
                <w:rFonts w:hint="eastAsia"/>
                <w:color w:val="000000"/>
                <w:szCs w:val="21"/>
                <w:lang w:eastAsia="zh-CN"/>
              </w:rPr>
              <w:t>设备搅拌过程中，应低速，可搅拌全部液体。</w:t>
            </w:r>
          </w:p>
        </w:tc>
        <w:tc>
          <w:tcPr>
            <w:tcW w:w="2091" w:type="dxa"/>
            <w:vAlign w:val="center"/>
          </w:tcPr>
          <w:p>
            <w:pPr>
              <w:jc w:val="center"/>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2"/>
                <w:numId w:val="10"/>
              </w:numPr>
              <w:ind w:firstLineChars="0"/>
              <w:rPr>
                <w:rFonts w:ascii="Times New Roman" w:hAnsi="Times New Roman"/>
                <w:szCs w:val="21"/>
              </w:rPr>
            </w:pPr>
            <w:permStart w:id="27" w:edGrp="everyone"/>
            <w:permEnd w:id="27"/>
          </w:p>
        </w:tc>
        <w:tc>
          <w:tcPr>
            <w:tcW w:w="9253" w:type="dxa"/>
            <w:gridSpan w:val="3"/>
            <w:shd w:val="clear" w:color="auto" w:fill="D9D9D9"/>
            <w:vAlign w:val="center"/>
          </w:tcPr>
          <w:p>
            <w:pPr>
              <w:jc w:val="both"/>
              <w:rPr>
                <w:szCs w:val="21"/>
              </w:rPr>
            </w:pPr>
            <w:r>
              <w:rPr>
                <w:rFonts w:hint="eastAsia"/>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ind w:firstLine="0" w:firstLineChars="0"/>
              <w:rPr>
                <w:rFonts w:ascii="Times New Roman" w:hAnsi="Times New Roman"/>
                <w:szCs w:val="21"/>
              </w:rPr>
            </w:pPr>
            <w:permStart w:id="28" w:edGrp="everyone"/>
          </w:p>
        </w:tc>
        <w:tc>
          <w:tcPr>
            <w:tcW w:w="9253" w:type="dxa"/>
            <w:gridSpan w:val="3"/>
            <w:vAlign w:val="center"/>
          </w:tcPr>
          <w:p>
            <w:pPr>
              <w:jc w:val="both"/>
              <w:rPr>
                <w:szCs w:val="21"/>
                <w:lang w:eastAsia="zh-CN"/>
              </w:rPr>
            </w:pPr>
            <w:r>
              <w:rPr>
                <w:color w:val="000000"/>
                <w:szCs w:val="21"/>
                <w:lang w:val="en-US" w:eastAsia="zh-CN"/>
              </w:rPr>
              <w:t>N/A</w:t>
            </w:r>
          </w:p>
        </w:tc>
      </w:tr>
      <w:permEnd w:id="28"/>
    </w:tbl>
    <w:p>
      <w:pPr>
        <w:spacing w:after="158" w:afterLines="50"/>
        <w:rPr>
          <w:b/>
          <w:lang w:eastAsia="zh-CN"/>
        </w:rPr>
      </w:pPr>
    </w:p>
    <w:p>
      <w:pPr>
        <w:pStyle w:val="44"/>
        <w:numPr>
          <w:ilvl w:val="0"/>
          <w:numId w:val="3"/>
        </w:numPr>
        <w:spacing w:after="158" w:afterLines="50"/>
        <w:ind w:left="426" w:hanging="426" w:hangingChars="202"/>
        <w:outlineLvl w:val="0"/>
        <w:rPr>
          <w:rFonts w:ascii="Times New Roman" w:hAnsi="Times New Roman"/>
          <w:b/>
        </w:rPr>
      </w:pPr>
      <w:bookmarkStart w:id="41" w:name="_Toc522716123"/>
      <w:r>
        <w:rPr>
          <w:rFonts w:hint="eastAsia" w:ascii="Times New Roman" w:hAnsi="Times New Roman"/>
          <w:b/>
        </w:rPr>
        <w:t>安全要求</w:t>
      </w:r>
      <w:bookmarkEnd w:id="28"/>
      <w:bookmarkEnd w:id="41"/>
    </w:p>
    <w:p>
      <w:pPr>
        <w:pStyle w:val="53"/>
        <w:spacing w:before="0" w:line="360" w:lineRule="auto"/>
        <w:ind w:left="357"/>
        <w:jc w:val="left"/>
        <w:rPr>
          <w:i/>
          <w:color w:val="4472C4"/>
          <w:szCs w:val="21"/>
          <w:lang w:eastAsia="zh-CN"/>
        </w:rPr>
      </w:pPr>
      <w:permStart w:id="29" w:edGrp="everyone"/>
    </w:p>
    <w:permEnd w:id="29"/>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30" w:edGrp="everyone"/>
          </w:p>
        </w:tc>
        <w:tc>
          <w:tcPr>
            <w:tcW w:w="7128" w:type="dxa"/>
            <w:vAlign w:val="center"/>
          </w:tcPr>
          <w:p>
            <w:pPr>
              <w:pStyle w:val="51"/>
              <w:jc w:val="both"/>
              <w:rPr>
                <w:sz w:val="21"/>
                <w:szCs w:val="21"/>
              </w:rPr>
            </w:pPr>
            <w:r>
              <w:rPr>
                <w:rFonts w:hint="eastAsia"/>
                <w:sz w:val="21"/>
                <w:szCs w:val="21"/>
              </w:rPr>
              <w:t>设备密封性完好。</w:t>
            </w:r>
            <w:r>
              <w:rPr>
                <w:sz w:val="21"/>
                <w:szCs w:val="21"/>
              </w:rPr>
              <w:t xml:space="preserve"> </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51"/>
              <w:jc w:val="both"/>
              <w:rPr>
                <w:sz w:val="21"/>
                <w:szCs w:val="21"/>
              </w:rPr>
            </w:pPr>
            <w:r>
              <w:rPr>
                <w:rFonts w:hint="eastAsia"/>
                <w:sz w:val="21"/>
                <w:szCs w:val="21"/>
              </w:rPr>
              <w:t>保压能力正常，</w:t>
            </w:r>
            <w:r>
              <w:rPr>
                <w:rFonts w:ascii="Times New Roman"/>
                <w:sz w:val="21"/>
                <w:szCs w:val="21"/>
              </w:rPr>
              <w:t>15min</w:t>
            </w:r>
            <w:r>
              <w:rPr>
                <w:rFonts w:hint="eastAsia"/>
                <w:sz w:val="21"/>
                <w:szCs w:val="21"/>
              </w:rPr>
              <w:t>压力下降</w:t>
            </w:r>
            <w:r>
              <w:rPr>
                <w:rFonts w:ascii="Times New Roman"/>
                <w:sz w:val="21"/>
                <w:szCs w:val="21"/>
              </w:rPr>
              <w:t>2%</w:t>
            </w:r>
            <w:r>
              <w:rPr>
                <w:rFonts w:hint="eastAsia"/>
                <w:sz w:val="21"/>
                <w:szCs w:val="21"/>
              </w:rPr>
              <w:t>以内</w:t>
            </w:r>
            <w:r>
              <w:rPr>
                <w:sz w:val="21"/>
                <w:szCs w:val="21"/>
              </w:rPr>
              <w:t xml:space="preserve"> </w:t>
            </w:r>
          </w:p>
        </w:tc>
        <w:tc>
          <w:tcPr>
            <w:tcW w:w="2125" w:type="dxa"/>
            <w:vAlign w:val="center"/>
          </w:tcPr>
          <w:p>
            <w:pPr>
              <w:jc w:val="center"/>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ermStart w:id="31" w:edGrp="everyone"/>
            <w:permEnd w:id="31"/>
          </w:p>
        </w:tc>
        <w:tc>
          <w:tcPr>
            <w:tcW w:w="7128" w:type="dxa"/>
            <w:shd w:val="clear" w:color="auto" w:fill="D9D9D9"/>
            <w:vAlign w:val="center"/>
          </w:tcPr>
          <w:p>
            <w:pPr>
              <w:jc w:val="both"/>
              <w:rPr>
                <w:szCs w:val="21"/>
                <w:lang w:eastAsia="zh-CN"/>
              </w:rPr>
            </w:pPr>
            <w:r>
              <w:rPr>
                <w:rFonts w:hint="eastAsia"/>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32" w:edGrp="everyone"/>
          </w:p>
        </w:tc>
        <w:tc>
          <w:tcPr>
            <w:tcW w:w="7128" w:type="dxa"/>
            <w:vAlign w:val="center"/>
          </w:tcPr>
          <w:p>
            <w:pPr>
              <w:pStyle w:val="51"/>
              <w:jc w:val="both"/>
              <w:rPr>
                <w:sz w:val="21"/>
                <w:szCs w:val="21"/>
              </w:rPr>
            </w:pPr>
            <w:r>
              <w:rPr>
                <w:rFonts w:hint="eastAsia"/>
                <w:szCs w:val="21"/>
              </w:rPr>
              <w:t>电气安全应符合GB4793.1和GB4793.4的要求；</w:t>
            </w:r>
            <w:r>
              <w:rPr>
                <w:rFonts w:hint="eastAsia"/>
              </w:rPr>
              <w:t>外部线缆应按照国家标准进行固定，并使用线管或线槽保护</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51"/>
              <w:jc w:val="both"/>
              <w:rPr>
                <w:rFonts w:hint="eastAsia"/>
                <w:sz w:val="21"/>
                <w:szCs w:val="21"/>
              </w:rPr>
            </w:pPr>
            <w:r>
              <w:rPr>
                <w:rFonts w:hint="eastAsia"/>
                <w:szCs w:val="21"/>
              </w:rPr>
              <w:t>电磁兼容性应符合GB/T18268—2000的要求。</w:t>
            </w:r>
          </w:p>
        </w:tc>
        <w:tc>
          <w:tcPr>
            <w:tcW w:w="2125" w:type="dxa"/>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51"/>
              <w:jc w:val="both"/>
              <w:rPr>
                <w:rFonts w:ascii="宋体" w:cs="宋体"/>
                <w:color w:val="323232"/>
                <w:sz w:val="21"/>
                <w:szCs w:val="21"/>
              </w:rPr>
            </w:pPr>
            <w:r>
              <w:rPr>
                <w:color w:val="323232"/>
                <w:sz w:val="21"/>
                <w:szCs w:val="21"/>
              </w:rPr>
              <w:t xml:space="preserve">1) </w:t>
            </w:r>
            <w:r>
              <w:rPr>
                <w:rFonts w:hint="eastAsia" w:ascii="宋体" w:cs="宋体"/>
                <w:color w:val="323232"/>
                <w:sz w:val="21"/>
                <w:szCs w:val="21"/>
              </w:rPr>
              <w:t>在预期的环境条件下，不会因外界的非机械影响而危及操作人员。</w:t>
            </w:r>
            <w:r>
              <w:rPr>
                <w:rFonts w:ascii="宋体" w:cs="宋体"/>
                <w:color w:val="323232"/>
                <w:sz w:val="21"/>
                <w:szCs w:val="21"/>
              </w:rPr>
              <w:t xml:space="preserve"> </w:t>
            </w:r>
          </w:p>
          <w:p>
            <w:pPr>
              <w:pStyle w:val="51"/>
              <w:jc w:val="both"/>
              <w:rPr>
                <w:rFonts w:ascii="宋体" w:cs="宋体"/>
                <w:color w:val="323232"/>
                <w:sz w:val="21"/>
                <w:szCs w:val="21"/>
              </w:rPr>
            </w:pPr>
            <w:r>
              <w:rPr>
                <w:color w:val="323232"/>
                <w:sz w:val="21"/>
                <w:szCs w:val="21"/>
              </w:rPr>
              <w:t xml:space="preserve">2) </w:t>
            </w:r>
            <w:r>
              <w:rPr>
                <w:rFonts w:hint="eastAsia" w:ascii="宋体" w:cs="宋体"/>
                <w:color w:val="323232"/>
                <w:sz w:val="21"/>
                <w:szCs w:val="21"/>
              </w:rPr>
              <w:t>在满足预期的机械性能要求下，不应危及操作人员。</w:t>
            </w:r>
            <w:r>
              <w:rPr>
                <w:rFonts w:ascii="宋体" w:cs="宋体"/>
                <w:color w:val="323232"/>
                <w:sz w:val="21"/>
                <w:szCs w:val="21"/>
              </w:rPr>
              <w:t xml:space="preserve"> </w:t>
            </w:r>
          </w:p>
          <w:p>
            <w:pPr>
              <w:pStyle w:val="51"/>
              <w:jc w:val="both"/>
              <w:rPr>
                <w:rFonts w:ascii="宋体" w:cs="宋体"/>
                <w:color w:val="323232"/>
                <w:sz w:val="21"/>
                <w:szCs w:val="21"/>
              </w:rPr>
            </w:pPr>
            <w:r>
              <w:rPr>
                <w:color w:val="323232"/>
                <w:sz w:val="21"/>
                <w:szCs w:val="21"/>
              </w:rPr>
              <w:t xml:space="preserve">3) </w:t>
            </w:r>
            <w:r>
              <w:rPr>
                <w:rFonts w:hint="eastAsia" w:ascii="宋体" w:cs="宋体"/>
                <w:color w:val="323232"/>
                <w:sz w:val="21"/>
                <w:szCs w:val="21"/>
              </w:rPr>
              <w:t>在可预见的过载情况下，不应危及操作人员。</w:t>
            </w:r>
            <w:r>
              <w:rPr>
                <w:rFonts w:ascii="宋体" w:cs="宋体"/>
                <w:color w:val="323232"/>
                <w:sz w:val="21"/>
                <w:szCs w:val="21"/>
              </w:rPr>
              <w:t xml:space="preserve"> </w:t>
            </w:r>
          </w:p>
          <w:p>
            <w:pPr>
              <w:pStyle w:val="51"/>
              <w:jc w:val="both"/>
              <w:rPr>
                <w:rFonts w:ascii="宋体" w:cs="宋体"/>
                <w:color w:val="323232"/>
                <w:sz w:val="21"/>
                <w:szCs w:val="21"/>
              </w:rPr>
            </w:pPr>
            <w:r>
              <w:rPr>
                <w:color w:val="323232"/>
                <w:sz w:val="21"/>
                <w:szCs w:val="21"/>
              </w:rPr>
              <w:t xml:space="preserve">4) </w:t>
            </w:r>
            <w:r>
              <w:rPr>
                <w:rFonts w:hint="eastAsia" w:ascii="宋体" w:cs="宋体"/>
                <w:color w:val="323232"/>
                <w:sz w:val="21"/>
                <w:szCs w:val="21"/>
              </w:rPr>
              <w:t>在正常使用条件下，对人直接触电或间接触电所引起的身体伤害，及其他危害应采取足够的防护。</w:t>
            </w:r>
            <w:r>
              <w:rPr>
                <w:rFonts w:ascii="宋体" w:cs="宋体"/>
                <w:color w:val="323232"/>
                <w:sz w:val="21"/>
                <w:szCs w:val="21"/>
              </w:rPr>
              <w:t xml:space="preserve"> </w:t>
            </w:r>
          </w:p>
          <w:p>
            <w:pPr>
              <w:pStyle w:val="51"/>
              <w:jc w:val="both"/>
              <w:rPr>
                <w:rFonts w:ascii="宋体" w:cs="宋体"/>
                <w:color w:val="323232"/>
                <w:sz w:val="21"/>
                <w:szCs w:val="21"/>
              </w:rPr>
            </w:pPr>
            <w:r>
              <w:rPr>
                <w:color w:val="323232"/>
                <w:sz w:val="21"/>
                <w:szCs w:val="21"/>
              </w:rPr>
              <w:t xml:space="preserve">5) </w:t>
            </w:r>
            <w:r>
              <w:rPr>
                <w:rFonts w:hint="eastAsia" w:ascii="宋体" w:cs="宋体"/>
                <w:color w:val="323232"/>
                <w:sz w:val="21"/>
                <w:szCs w:val="21"/>
              </w:rPr>
              <w:t>用电部分的绝缘应符合相关标准规定。</w:t>
            </w:r>
            <w:r>
              <w:rPr>
                <w:rFonts w:ascii="宋体" w:cs="宋体"/>
                <w:color w:val="323232"/>
                <w:sz w:val="21"/>
                <w:szCs w:val="21"/>
              </w:rPr>
              <w:t xml:space="preserve"> </w:t>
            </w:r>
          </w:p>
          <w:p>
            <w:pPr>
              <w:pStyle w:val="51"/>
              <w:jc w:val="both"/>
              <w:rPr>
                <w:rFonts w:ascii="宋体" w:cs="宋体"/>
                <w:color w:val="323232"/>
                <w:sz w:val="21"/>
                <w:szCs w:val="21"/>
              </w:rPr>
            </w:pPr>
            <w:r>
              <w:rPr>
                <w:color w:val="323232"/>
                <w:sz w:val="21"/>
                <w:szCs w:val="21"/>
              </w:rPr>
              <w:t xml:space="preserve">6) </w:t>
            </w:r>
            <w:r>
              <w:rPr>
                <w:rFonts w:hint="eastAsia" w:ascii="宋体" w:cs="宋体"/>
                <w:color w:val="323232"/>
                <w:sz w:val="21"/>
                <w:szCs w:val="21"/>
              </w:rPr>
              <w:t>对危及人的其他危险，应采取足够的防护。</w:t>
            </w:r>
            <w:r>
              <w:rPr>
                <w:rFonts w:ascii="宋体" w:cs="宋体"/>
                <w:color w:val="323232"/>
                <w:sz w:val="21"/>
                <w:szCs w:val="21"/>
              </w:rPr>
              <w:t xml:space="preserve"> </w:t>
            </w:r>
          </w:p>
        </w:tc>
        <w:tc>
          <w:tcPr>
            <w:tcW w:w="2125" w:type="dxa"/>
            <w:vAlign w:val="center"/>
          </w:tcPr>
          <w:p>
            <w:pPr>
              <w:jc w:val="center"/>
              <w:rPr>
                <w:szCs w:val="21"/>
                <w:lang w:eastAsia="zh-CN"/>
              </w:rPr>
            </w:pPr>
            <w:r>
              <w:rPr>
                <w:rFonts w:hint="eastAsia"/>
                <w:szCs w:val="21"/>
                <w:lang w:eastAsia="zh-CN"/>
              </w:rPr>
              <w:t>关键</w:t>
            </w:r>
          </w:p>
        </w:tc>
      </w:tr>
      <w:permEnd w:id="32"/>
    </w:tbl>
    <w:p>
      <w:pPr>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hint="eastAsia" w:ascii="Times New Roman" w:hAnsi="Times New Roman"/>
          <w:b/>
        </w:rPr>
        <w:t>文件要求</w:t>
      </w:r>
      <w:bookmarkEnd w:id="42"/>
      <w:bookmarkEnd w:id="43"/>
    </w:p>
    <w:p>
      <w:pPr>
        <w:pStyle w:val="53"/>
        <w:spacing w:before="0" w:line="360" w:lineRule="auto"/>
        <w:ind w:left="357"/>
        <w:jc w:val="left"/>
        <w:rPr>
          <w:i/>
          <w:szCs w:val="21"/>
          <w:lang w:eastAsia="zh-CN"/>
        </w:rPr>
      </w:pPr>
      <w:permStart w:id="33" w:edGrp="everyone"/>
    </w:p>
    <w:permEnd w:id="33"/>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34" w:edGrp="everyone"/>
          </w:p>
        </w:tc>
        <w:tc>
          <w:tcPr>
            <w:tcW w:w="7128" w:type="dxa"/>
            <w:vAlign w:val="center"/>
          </w:tcPr>
          <w:p>
            <w:pPr>
              <w:jc w:val="both"/>
              <w:rPr>
                <w:szCs w:val="21"/>
                <w:lang w:eastAsia="zh-CN"/>
              </w:rPr>
            </w:pPr>
            <w:r>
              <w:rPr>
                <w:rFonts w:hint="eastAsia"/>
                <w:szCs w:val="21"/>
                <w:lang w:eastAsia="zh-CN"/>
              </w:rPr>
              <w:t>投标文件、合同及订单。</w:t>
            </w:r>
          </w:p>
        </w:tc>
        <w:tc>
          <w:tcPr>
            <w:tcW w:w="2125" w:type="dxa"/>
            <w:vAlign w:val="center"/>
          </w:tcPr>
          <w:p>
            <w:pPr>
              <w:jc w:val="center"/>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35" w:edGrp="everyone"/>
          </w:p>
        </w:tc>
        <w:tc>
          <w:tcPr>
            <w:tcW w:w="7128" w:type="dxa"/>
            <w:vAlign w:val="center"/>
          </w:tcPr>
          <w:p>
            <w:pPr>
              <w:jc w:val="both"/>
              <w:rPr>
                <w:szCs w:val="21"/>
                <w:lang w:eastAsia="zh-CN"/>
              </w:rPr>
            </w:pPr>
            <w:r>
              <w:rPr>
                <w:rFonts w:hint="eastAsia"/>
                <w:szCs w:val="21"/>
                <w:lang w:eastAsia="zh-CN"/>
              </w:rPr>
              <w:t>卖方发运清单及相关检验报告。提交</w:t>
            </w:r>
            <w:r>
              <w:rPr>
                <w:szCs w:val="21"/>
                <w:lang w:eastAsia="zh-CN"/>
              </w:rPr>
              <w:t>时限：</w:t>
            </w:r>
            <w:r>
              <w:rPr>
                <w:rFonts w:hint="eastAsia"/>
                <w:szCs w:val="21"/>
                <w:lang w:eastAsia="zh-CN"/>
              </w:rPr>
              <w:t>设备开箱验收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功能设计及详细设计文件：详细设计说明；须提供工艺描述和功能标准。提交</w:t>
            </w:r>
            <w:r>
              <w:rPr>
                <w:szCs w:val="21"/>
                <w:lang w:eastAsia="zh-CN"/>
              </w:rPr>
              <w:t>时限：</w:t>
            </w:r>
            <w:r>
              <w:rPr>
                <w:rFonts w:hint="eastAsia"/>
                <w:szCs w:val="21"/>
                <w:lang w:eastAsia="zh-CN"/>
              </w:rPr>
              <w:t>DQ开始前完成审批</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rFonts w:hint="eastAsia"/>
                <w:szCs w:val="21"/>
                <w:lang w:eastAsia="zh-CN"/>
              </w:rPr>
              <w:t>图纸：实物图；各种安装、验证、维修等活动所需的电子版、设备尺寸图、设备局部图（与工艺、功能相关的细节图）、外部系统接口图、</w:t>
            </w:r>
            <w:r>
              <w:rPr>
                <w:szCs w:val="21"/>
                <w:lang w:eastAsia="zh-CN"/>
              </w:rPr>
              <w:t>P&amp;ID</w:t>
            </w:r>
            <w:r>
              <w:rPr>
                <w:rFonts w:hint="eastAsia"/>
                <w:szCs w:val="21"/>
                <w:lang w:eastAsia="zh-CN"/>
              </w:rPr>
              <w:t>图、控制原理图、安装图、图纸清单等。</w:t>
            </w:r>
            <w:r>
              <w:rPr>
                <w:rFonts w:hint="eastAsia"/>
                <w:szCs w:val="21"/>
              </w:rPr>
              <w:t>提交</w:t>
            </w:r>
            <w:r>
              <w:rPr>
                <w:szCs w:val="21"/>
              </w:rPr>
              <w:t>时限：</w:t>
            </w:r>
            <w:r>
              <w:rPr>
                <w:rFonts w:hint="eastAsia"/>
                <w:szCs w:val="21"/>
              </w:rPr>
              <w:t>不晚于IQ开始前。</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零配件、部件、元件清单：包括编号、对应厂家名称、生产地、规格及必要说明。提交</w:t>
            </w:r>
            <w:r>
              <w:rPr>
                <w:szCs w:val="21"/>
                <w:lang w:eastAsia="zh-CN"/>
              </w:rPr>
              <w:t>时限：</w:t>
            </w:r>
            <w:r>
              <w:rPr>
                <w:rFonts w:hint="eastAsia"/>
                <w:szCs w:val="21"/>
                <w:lang w:eastAsia="zh-CN"/>
              </w:rPr>
              <w:t>不晚于IQ开始前。</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设备上所有外采部件需单独提供说明书或操作手册、合格证、质量证书或验收报告 ，设备所使用的仪器仪表须有校验资质单位出具的校验证书。</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hint="eastAsia"/>
                <w:szCs w:val="21"/>
                <w:lang w:eastAsia="zh-CN"/>
              </w:rPr>
            </w:pPr>
            <w:r>
              <w:rPr>
                <w:rFonts w:hint="eastAsia"/>
                <w:szCs w:val="21"/>
                <w:lang w:eastAsia="zh-CN"/>
              </w:rPr>
              <w:t>设备厂家相关文件：工厂相关检测报告、必要的材质报告及合格证、必要的验证</w:t>
            </w:r>
            <w:r>
              <w:rPr>
                <w:szCs w:val="21"/>
                <w:lang w:eastAsia="zh-CN"/>
              </w:rPr>
              <w:t>/</w:t>
            </w:r>
            <w:r>
              <w:rPr>
                <w:rFonts w:hint="eastAsia"/>
                <w:szCs w:val="21"/>
                <w:lang w:eastAsia="zh-CN"/>
              </w:rPr>
              <w:t>测试报告、各种标示、适用的消毒剂、制造此台设备的执行标准、出厂合格证、必要的说明等。</w:t>
            </w:r>
            <w:r>
              <w:rPr>
                <w:rFonts w:hint="eastAsia"/>
                <w:szCs w:val="21"/>
              </w:rPr>
              <w:t>提交</w:t>
            </w:r>
            <w:r>
              <w:rPr>
                <w:szCs w:val="21"/>
              </w:rPr>
              <w:t>时限：</w:t>
            </w:r>
            <w:r>
              <w:rPr>
                <w:rFonts w:hint="eastAsia"/>
                <w:szCs w:val="21"/>
              </w:rPr>
              <w:t>不晚于IQ开始前。</w:t>
            </w:r>
          </w:p>
        </w:tc>
        <w:tc>
          <w:tcPr>
            <w:tcW w:w="2125" w:type="dxa"/>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44"/>
              <w:ind w:firstLine="0" w:firstLineChars="0"/>
              <w:rPr>
                <w:szCs w:val="21"/>
              </w:rPr>
            </w:pPr>
            <w:r>
              <w:rPr>
                <w:rFonts w:hint="eastAsia"/>
                <w:szCs w:val="21"/>
              </w:rPr>
              <w:t>IQ开始前设备厂家同时需提供以下：</w:t>
            </w:r>
          </w:p>
          <w:p>
            <w:pPr>
              <w:pStyle w:val="44"/>
              <w:ind w:firstLine="0" w:firstLineChars="0"/>
              <w:rPr>
                <w:szCs w:val="21"/>
              </w:rPr>
            </w:pPr>
            <w:r>
              <w:rPr>
                <w:rFonts w:hint="eastAsia"/>
                <w:szCs w:val="21"/>
              </w:rPr>
              <w:t>1.称重系统：需提供具有CNAS、CMA资质的第三方计量机构出具的计量证书或报告。计量项目参照JJG 539-2016《数字指示秤检定规程》，包括称量、偏载、重复性。</w:t>
            </w:r>
          </w:p>
          <w:p>
            <w:pPr>
              <w:pStyle w:val="44"/>
              <w:ind w:firstLine="0" w:firstLineChars="0"/>
              <w:rPr>
                <w:szCs w:val="21"/>
              </w:rPr>
            </w:pPr>
            <w:r>
              <w:rPr>
                <w:rFonts w:hint="eastAsia"/>
                <w:szCs w:val="21"/>
              </w:rPr>
              <w:t>2.转速：需提供具有CNAS、CMA资质的第三方计量机构出具的计量证书或报告。计量项目依照客户要求及《产品使用说明书》，包括转速示值误差、转速稳定度。</w:t>
            </w:r>
          </w:p>
          <w:p>
            <w:pPr>
              <w:jc w:val="both"/>
              <w:rPr>
                <w:rFonts w:hint="eastAsia"/>
                <w:szCs w:val="21"/>
                <w:lang w:eastAsia="zh-CN"/>
              </w:rPr>
            </w:pPr>
            <w:r>
              <w:rPr>
                <w:rFonts w:hint="eastAsia"/>
                <w:szCs w:val="21"/>
                <w:lang w:val="en-US" w:eastAsia="zh-CN"/>
              </w:rPr>
              <w:t xml:space="preserve">3.液位：需提供具有CNAS、CMA资质的第三方计量机构出具的计量证书或报告。计量项目参照JJG 971-2019《液位计检定规程》进行输入输出数值对比。       </w:t>
            </w:r>
          </w:p>
        </w:tc>
        <w:tc>
          <w:tcPr>
            <w:tcW w:w="2125" w:type="dxa"/>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51"/>
              <w:jc w:val="both"/>
              <w:rPr>
                <w:sz w:val="21"/>
                <w:szCs w:val="21"/>
              </w:rPr>
            </w:pPr>
            <w:r>
              <w:rPr>
                <w:rFonts w:hint="eastAsia"/>
                <w:szCs w:val="21"/>
              </w:rPr>
              <w:t>易损件清单。（硅胶O形垫圈10个、标准快装接头5套、转头2个/罐）提交</w:t>
            </w:r>
            <w:r>
              <w:rPr>
                <w:szCs w:val="21"/>
              </w:rPr>
              <w:t>时限：</w:t>
            </w:r>
            <w:r>
              <w:rPr>
                <w:rFonts w:hint="eastAsia"/>
                <w:szCs w:val="21"/>
              </w:rPr>
              <w:t>设备开箱验收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51"/>
              <w:jc w:val="both"/>
              <w:rPr>
                <w:rFonts w:hint="eastAsia"/>
                <w:szCs w:val="21"/>
              </w:rPr>
            </w:pPr>
            <w:r>
              <w:rPr>
                <w:rFonts w:hint="eastAsia"/>
                <w:szCs w:val="21"/>
              </w:rPr>
              <w:t>备用零部件清单。（卫生隔膜阀2个）提交</w:t>
            </w:r>
            <w:r>
              <w:rPr>
                <w:szCs w:val="21"/>
              </w:rPr>
              <w:t>时限：</w:t>
            </w:r>
            <w:r>
              <w:rPr>
                <w:rFonts w:hint="eastAsia"/>
                <w:szCs w:val="21"/>
              </w:rPr>
              <w:t>设备开箱验收。</w:t>
            </w:r>
          </w:p>
        </w:tc>
        <w:tc>
          <w:tcPr>
            <w:tcW w:w="2125" w:type="dxa"/>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lang w:eastAsia="zh-CN"/>
              </w:rPr>
              <w:t>调试文件：调试计划（调试说明、调试清单、现场验收测试、保修信息、培训计划等），总测试计划，检查计划，检测清单，各测试结果，调试总结报告等</w:t>
            </w:r>
            <w:r>
              <w:rPr>
                <w:rFonts w:hint="eastAsia"/>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44"/>
              <w:ind w:firstLine="0" w:firstLineChars="0"/>
              <w:rPr>
                <w:szCs w:val="21"/>
              </w:rPr>
            </w:pPr>
            <w:r>
              <w:rPr>
                <w:rFonts w:hint="eastAsia"/>
                <w:szCs w:val="21"/>
              </w:rPr>
              <w:t>安全报告。提交</w:t>
            </w:r>
            <w:r>
              <w:rPr>
                <w:szCs w:val="21"/>
              </w:rPr>
              <w:t>时限：</w:t>
            </w:r>
            <w:r>
              <w:rPr>
                <w:rFonts w:hint="eastAsia"/>
                <w:szCs w:val="21"/>
              </w:rPr>
              <w:t>设备开箱验收</w:t>
            </w:r>
          </w:p>
          <w:p>
            <w:pPr>
              <w:pStyle w:val="44"/>
              <w:ind w:firstLine="0" w:firstLineChars="0"/>
              <w:rPr>
                <w:szCs w:val="21"/>
              </w:rPr>
            </w:pPr>
            <w:r>
              <w:rPr>
                <w:rFonts w:hint="eastAsia"/>
                <w:szCs w:val="21"/>
              </w:rPr>
              <w:t>同时移动搅拌罐属于压力容器的还应提供以下资料：</w:t>
            </w:r>
          </w:p>
          <w:p>
            <w:pPr>
              <w:pStyle w:val="44"/>
              <w:ind w:firstLine="0" w:firstLineChars="0"/>
              <w:rPr>
                <w:szCs w:val="21"/>
              </w:rPr>
            </w:pPr>
            <w:r>
              <w:rPr>
                <w:rFonts w:hint="eastAsia"/>
                <w:szCs w:val="21"/>
              </w:rPr>
              <w:t>1、特种设备产品安全性能监督检验证书（当地特种设备监督管理部门出具）</w:t>
            </w:r>
          </w:p>
          <w:p>
            <w:pPr>
              <w:pStyle w:val="44"/>
              <w:ind w:firstLine="0" w:firstLineChars="0"/>
              <w:rPr>
                <w:szCs w:val="21"/>
              </w:rPr>
            </w:pPr>
            <w:r>
              <w:rPr>
                <w:rFonts w:hint="eastAsia"/>
                <w:szCs w:val="21"/>
              </w:rPr>
              <w:t>2、特种设备产品合格证</w:t>
            </w:r>
          </w:p>
          <w:p>
            <w:pPr>
              <w:pStyle w:val="44"/>
              <w:ind w:firstLine="0" w:firstLineChars="0"/>
              <w:rPr>
                <w:szCs w:val="21"/>
              </w:rPr>
            </w:pPr>
            <w:r>
              <w:rPr>
                <w:rFonts w:hint="eastAsia"/>
                <w:szCs w:val="21"/>
              </w:rPr>
              <w:t>3、特种设备产品数据表</w:t>
            </w:r>
          </w:p>
          <w:p>
            <w:pPr>
              <w:pStyle w:val="44"/>
              <w:ind w:firstLine="0" w:firstLineChars="0"/>
              <w:rPr>
                <w:szCs w:val="21"/>
              </w:rPr>
            </w:pPr>
            <w:r>
              <w:rPr>
                <w:rFonts w:hint="eastAsia"/>
                <w:szCs w:val="21"/>
              </w:rPr>
              <w:t>4、质量计划书</w:t>
            </w:r>
          </w:p>
          <w:p>
            <w:pPr>
              <w:pStyle w:val="44"/>
              <w:ind w:firstLine="0" w:firstLineChars="0"/>
              <w:rPr>
                <w:szCs w:val="21"/>
              </w:rPr>
            </w:pPr>
            <w:r>
              <w:rPr>
                <w:rFonts w:hint="eastAsia"/>
                <w:szCs w:val="21"/>
              </w:rPr>
              <w:t>5、过程设备设计计算书</w:t>
            </w:r>
          </w:p>
          <w:p>
            <w:pPr>
              <w:pStyle w:val="44"/>
              <w:ind w:firstLine="0" w:firstLineChars="0"/>
              <w:rPr>
                <w:szCs w:val="21"/>
              </w:rPr>
            </w:pPr>
            <w:r>
              <w:rPr>
                <w:rFonts w:hint="eastAsia"/>
                <w:szCs w:val="21"/>
              </w:rPr>
              <w:t>6、材料清单及焊接清单</w:t>
            </w:r>
          </w:p>
          <w:p>
            <w:pPr>
              <w:pStyle w:val="44"/>
              <w:ind w:firstLine="0" w:firstLineChars="0"/>
              <w:rPr>
                <w:szCs w:val="21"/>
              </w:rPr>
            </w:pPr>
            <w:r>
              <w:rPr>
                <w:rFonts w:hint="eastAsia"/>
                <w:szCs w:val="21"/>
              </w:rPr>
              <w:t>7、管口表</w:t>
            </w:r>
          </w:p>
          <w:p>
            <w:pPr>
              <w:pStyle w:val="44"/>
              <w:ind w:firstLine="0" w:firstLineChars="0"/>
              <w:rPr>
                <w:szCs w:val="21"/>
              </w:rPr>
            </w:pPr>
            <w:r>
              <w:rPr>
                <w:rFonts w:hint="eastAsia"/>
                <w:szCs w:val="21"/>
              </w:rPr>
              <w:t>8、封头合格证</w:t>
            </w:r>
          </w:p>
          <w:p>
            <w:pPr>
              <w:pStyle w:val="44"/>
              <w:ind w:firstLine="0" w:firstLineChars="0"/>
              <w:rPr>
                <w:szCs w:val="21"/>
              </w:rPr>
            </w:pPr>
            <w:r>
              <w:rPr>
                <w:rFonts w:hint="eastAsia"/>
                <w:szCs w:val="21"/>
              </w:rPr>
              <w:t>9、主要元件质量证书复印件</w:t>
            </w:r>
          </w:p>
          <w:p>
            <w:pPr>
              <w:pStyle w:val="44"/>
              <w:ind w:firstLine="0" w:firstLineChars="0"/>
              <w:rPr>
                <w:szCs w:val="21"/>
              </w:rPr>
            </w:pPr>
            <w:r>
              <w:rPr>
                <w:rFonts w:hint="eastAsia"/>
                <w:szCs w:val="21"/>
              </w:rPr>
              <w:t>10、焊材材质书复印件</w:t>
            </w:r>
          </w:p>
          <w:p>
            <w:pPr>
              <w:pStyle w:val="44"/>
              <w:ind w:firstLine="0" w:firstLineChars="0"/>
              <w:rPr>
                <w:szCs w:val="21"/>
              </w:rPr>
            </w:pPr>
            <w:r>
              <w:rPr>
                <w:rFonts w:hint="eastAsia"/>
                <w:szCs w:val="21"/>
              </w:rPr>
              <w:t>11、焊工钢印、焊接记录汇总表</w:t>
            </w:r>
          </w:p>
          <w:p>
            <w:pPr>
              <w:pStyle w:val="44"/>
              <w:ind w:firstLine="0" w:firstLineChars="0"/>
              <w:rPr>
                <w:szCs w:val="21"/>
              </w:rPr>
            </w:pPr>
            <w:r>
              <w:rPr>
                <w:rFonts w:hint="eastAsia"/>
                <w:szCs w:val="21"/>
              </w:rPr>
              <w:t>12、主要材料标记及焊工钢印</w:t>
            </w:r>
          </w:p>
          <w:p>
            <w:pPr>
              <w:pStyle w:val="44"/>
              <w:ind w:firstLine="0" w:firstLineChars="0"/>
              <w:rPr>
                <w:szCs w:val="21"/>
              </w:rPr>
            </w:pPr>
            <w:r>
              <w:rPr>
                <w:rFonts w:hint="eastAsia"/>
                <w:szCs w:val="21"/>
              </w:rPr>
              <w:t>13、焊缝射线检测报告、底片评定表、检测位置示意图</w:t>
            </w:r>
          </w:p>
          <w:p>
            <w:pPr>
              <w:pStyle w:val="44"/>
              <w:ind w:firstLine="0" w:firstLineChars="0"/>
              <w:rPr>
                <w:szCs w:val="21"/>
              </w:rPr>
            </w:pPr>
            <w:r>
              <w:rPr>
                <w:rFonts w:hint="eastAsia"/>
                <w:szCs w:val="21"/>
              </w:rPr>
              <w:t>14、人孔射线检测报告</w:t>
            </w:r>
          </w:p>
          <w:p>
            <w:pPr>
              <w:pStyle w:val="44"/>
              <w:ind w:firstLine="0" w:firstLineChars="0"/>
              <w:rPr>
                <w:szCs w:val="21"/>
              </w:rPr>
            </w:pPr>
            <w:r>
              <w:rPr>
                <w:rFonts w:hint="eastAsia"/>
                <w:szCs w:val="21"/>
              </w:rPr>
              <w:t>15、渗透检测报告</w:t>
            </w:r>
          </w:p>
          <w:p>
            <w:pPr>
              <w:pStyle w:val="44"/>
              <w:ind w:firstLine="0" w:firstLineChars="0"/>
              <w:rPr>
                <w:szCs w:val="21"/>
              </w:rPr>
            </w:pPr>
            <w:r>
              <w:rPr>
                <w:rFonts w:hint="eastAsia"/>
                <w:szCs w:val="21"/>
              </w:rPr>
              <w:t>16、压力试验检验报告</w:t>
            </w:r>
          </w:p>
          <w:p>
            <w:pPr>
              <w:pStyle w:val="44"/>
              <w:ind w:firstLine="0" w:firstLineChars="0"/>
              <w:rPr>
                <w:szCs w:val="21"/>
              </w:rPr>
            </w:pPr>
            <w:r>
              <w:rPr>
                <w:rFonts w:hint="eastAsia"/>
                <w:szCs w:val="21"/>
              </w:rPr>
              <w:t>17、表面粗糙度检测报告</w:t>
            </w:r>
          </w:p>
          <w:p>
            <w:pPr>
              <w:pStyle w:val="44"/>
              <w:ind w:firstLine="0" w:firstLineChars="0"/>
              <w:rPr>
                <w:szCs w:val="21"/>
              </w:rPr>
            </w:pPr>
            <w:r>
              <w:rPr>
                <w:rFonts w:hint="eastAsia"/>
                <w:szCs w:val="21"/>
              </w:rPr>
              <w:t>18、酸洗钝化及电化学抛光检验报告</w:t>
            </w:r>
          </w:p>
          <w:p>
            <w:pPr>
              <w:pStyle w:val="44"/>
              <w:ind w:firstLine="0" w:firstLineChars="0"/>
              <w:rPr>
                <w:szCs w:val="21"/>
              </w:rPr>
            </w:pPr>
            <w:r>
              <w:rPr>
                <w:rFonts w:hint="eastAsia"/>
                <w:szCs w:val="21"/>
              </w:rPr>
              <w:t>19、外观检验及几何尺寸检验报告</w:t>
            </w:r>
          </w:p>
          <w:p>
            <w:pPr>
              <w:pStyle w:val="44"/>
              <w:ind w:firstLine="0" w:firstLineChars="0"/>
              <w:rPr>
                <w:szCs w:val="21"/>
              </w:rPr>
            </w:pPr>
            <w:r>
              <w:rPr>
                <w:rFonts w:hint="eastAsia"/>
                <w:szCs w:val="21"/>
              </w:rPr>
              <w:t>20、产品铭牌（拓印件或复印件）</w:t>
            </w:r>
          </w:p>
          <w:p>
            <w:pPr>
              <w:pStyle w:val="44"/>
              <w:ind w:firstLine="0" w:firstLineChars="0"/>
              <w:rPr>
                <w:szCs w:val="21"/>
              </w:rPr>
            </w:pPr>
            <w:r>
              <w:rPr>
                <w:rFonts w:hint="eastAsia"/>
                <w:szCs w:val="21"/>
              </w:rPr>
              <w:t>21、材料代用申请表</w:t>
            </w:r>
          </w:p>
          <w:p>
            <w:pPr>
              <w:pStyle w:val="44"/>
              <w:ind w:firstLine="0" w:firstLineChars="0"/>
              <w:rPr>
                <w:szCs w:val="21"/>
              </w:rPr>
            </w:pPr>
            <w:r>
              <w:rPr>
                <w:rFonts w:hint="eastAsia"/>
                <w:szCs w:val="21"/>
              </w:rPr>
              <w:t>22、产品竣工图</w:t>
            </w:r>
          </w:p>
          <w:p>
            <w:pPr>
              <w:pStyle w:val="44"/>
              <w:ind w:firstLine="0" w:firstLineChars="0"/>
              <w:rPr>
                <w:szCs w:val="21"/>
              </w:rPr>
            </w:pPr>
            <w:r>
              <w:rPr>
                <w:rFonts w:hint="eastAsia"/>
                <w:szCs w:val="21"/>
              </w:rPr>
              <w:t>23、特种设备安装告知书（向江夏区市场监督管理局申报办理）</w:t>
            </w:r>
          </w:p>
          <w:p>
            <w:pPr>
              <w:pStyle w:val="44"/>
              <w:ind w:firstLine="0" w:firstLineChars="0"/>
              <w:rPr>
                <w:szCs w:val="21"/>
              </w:rPr>
            </w:pPr>
            <w:r>
              <w:rPr>
                <w:rFonts w:hint="eastAsia"/>
                <w:szCs w:val="21"/>
              </w:rPr>
              <w:t>24、安全附件，如：安全阀、爆破片、压力表、传感器等的合格证书以及第三方校验证书</w:t>
            </w:r>
          </w:p>
          <w:p>
            <w:pPr>
              <w:jc w:val="both"/>
              <w:rPr>
                <w:rFonts w:hint="eastAsia" w:ascii="宋体" w:hAnsi="宋体"/>
                <w:lang w:eastAsia="zh-CN"/>
              </w:rPr>
            </w:pPr>
            <w:r>
              <w:rPr>
                <w:rFonts w:hint="eastAsia"/>
                <w:szCs w:val="21"/>
                <w:lang w:val="en-US" w:eastAsia="zh-CN"/>
              </w:rPr>
              <w:t>25、进口设备另需提供商检报告</w:t>
            </w:r>
          </w:p>
        </w:tc>
        <w:tc>
          <w:tcPr>
            <w:tcW w:w="2125" w:type="dxa"/>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44"/>
              <w:ind w:firstLine="0" w:firstLineChars="0"/>
              <w:rPr>
                <w:rFonts w:hint="eastAsia"/>
                <w:szCs w:val="21"/>
              </w:rPr>
            </w:pPr>
            <w:r>
              <w:rPr>
                <w:rFonts w:hint="eastAsia"/>
                <w:szCs w:val="21"/>
              </w:rPr>
              <w:t>现场验收测试（</w:t>
            </w:r>
            <w:r>
              <w:rPr>
                <w:szCs w:val="21"/>
              </w:rPr>
              <w:t>SAT</w:t>
            </w:r>
            <w:r>
              <w:rPr>
                <w:rFonts w:hint="eastAsia"/>
                <w:szCs w:val="21"/>
              </w:rPr>
              <w:t>）报告。提交</w:t>
            </w:r>
            <w:r>
              <w:rPr>
                <w:szCs w:val="21"/>
              </w:rPr>
              <w:t>时限：</w:t>
            </w:r>
            <w:r>
              <w:rPr>
                <w:rFonts w:hint="eastAsia"/>
                <w:szCs w:val="21"/>
              </w:rPr>
              <w:t xml:space="preserve"> IQ开始前完成审批并提交</w:t>
            </w:r>
          </w:p>
        </w:tc>
        <w:tc>
          <w:tcPr>
            <w:tcW w:w="2125" w:type="dxa"/>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44"/>
              <w:ind w:firstLine="0" w:firstLineChars="0"/>
              <w:rPr>
                <w:rFonts w:hint="eastAsia"/>
                <w:szCs w:val="21"/>
              </w:rPr>
            </w:pPr>
            <w:r>
              <w:rPr>
                <w:rFonts w:hint="eastAsia"/>
                <w:szCs w:val="21"/>
              </w:rPr>
              <w:t>调试文件：调试计划（调试说明书、调试清单、保修信息、培训计划、再调试计划等），检查计划，检测清单，各测试结果，调试总结报告等。提交</w:t>
            </w:r>
            <w:r>
              <w:rPr>
                <w:szCs w:val="21"/>
              </w:rPr>
              <w:t>时限：</w:t>
            </w:r>
            <w:r>
              <w:rPr>
                <w:rFonts w:hint="eastAsia"/>
                <w:szCs w:val="21"/>
              </w:rPr>
              <w:t xml:space="preserve"> IQ开始前完成审批并提交</w:t>
            </w:r>
          </w:p>
        </w:tc>
        <w:tc>
          <w:tcPr>
            <w:tcW w:w="2125" w:type="dxa"/>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44"/>
              <w:ind w:firstLine="0" w:firstLineChars="0"/>
              <w:rPr>
                <w:szCs w:val="21"/>
              </w:rPr>
            </w:pPr>
            <w:r>
              <w:rPr>
                <w:rFonts w:hint="eastAsia"/>
                <w:szCs w:val="21"/>
              </w:rPr>
              <w:t>验证文件：（1）设计确认及文件（DQ）；（2</w:t>
            </w:r>
            <w:r>
              <w:rPr>
                <w:szCs w:val="21"/>
              </w:rPr>
              <w:t>）</w:t>
            </w:r>
            <w:r>
              <w:rPr>
                <w:rFonts w:hint="eastAsia"/>
                <w:szCs w:val="21"/>
              </w:rPr>
              <w:t>安装确认及文件（IQ）；（3</w:t>
            </w:r>
            <w:r>
              <w:rPr>
                <w:szCs w:val="21"/>
              </w:rPr>
              <w:t>）</w:t>
            </w:r>
            <w:r>
              <w:rPr>
                <w:rFonts w:hint="eastAsia"/>
                <w:szCs w:val="21"/>
              </w:rPr>
              <w:t>运行确认及文件（OQ）；设备生产商负责制定设备验证计划、DQ/IQ/OQ验证文件，并负责验证工作的实施，该验证文件作为设备必备文件。</w:t>
            </w:r>
          </w:p>
          <w:p>
            <w:pPr>
              <w:pStyle w:val="44"/>
              <w:ind w:firstLine="0" w:firstLineChars="0"/>
              <w:rPr>
                <w:szCs w:val="21"/>
              </w:rPr>
            </w:pPr>
            <w:r>
              <w:rPr>
                <w:rFonts w:hint="eastAsia"/>
                <w:szCs w:val="21"/>
              </w:rPr>
              <w:t>DQ文件</w:t>
            </w:r>
            <w:r>
              <w:rPr>
                <w:szCs w:val="21"/>
              </w:rPr>
              <w:t>提交时限：</w:t>
            </w:r>
            <w:r>
              <w:rPr>
                <w:rFonts w:hint="eastAsia"/>
                <w:szCs w:val="21"/>
              </w:rPr>
              <w:t>设计完成后，制造及安装开始前完成审批并提交。</w:t>
            </w:r>
          </w:p>
          <w:p>
            <w:pPr>
              <w:pStyle w:val="44"/>
              <w:ind w:firstLine="0" w:firstLineChars="0"/>
              <w:rPr>
                <w:rFonts w:ascii="宋体"/>
                <w:szCs w:val="21"/>
              </w:rPr>
            </w:pPr>
            <w:r>
              <w:rPr>
                <w:rFonts w:ascii="宋体"/>
                <w:szCs w:val="21"/>
              </w:rPr>
              <w:t>IQ</w:t>
            </w:r>
            <w:r>
              <w:rPr>
                <w:rFonts w:hint="eastAsia" w:ascii="宋体"/>
                <w:szCs w:val="21"/>
              </w:rPr>
              <w:t>提交</w:t>
            </w:r>
            <w:r>
              <w:rPr>
                <w:rFonts w:ascii="宋体"/>
                <w:szCs w:val="21"/>
              </w:rPr>
              <w:t>时限：</w:t>
            </w:r>
            <w:r>
              <w:rPr>
                <w:rFonts w:hint="eastAsia" w:ascii="宋体"/>
                <w:szCs w:val="21"/>
              </w:rPr>
              <w:t>SAT批准后开始执行，OQ开始前完成审批并提交。</w:t>
            </w:r>
          </w:p>
          <w:p>
            <w:pPr>
              <w:pStyle w:val="51"/>
              <w:jc w:val="both"/>
              <w:rPr>
                <w:sz w:val="21"/>
                <w:szCs w:val="21"/>
              </w:rPr>
            </w:pPr>
            <w:r>
              <w:rPr>
                <w:rFonts w:ascii="宋体"/>
                <w:szCs w:val="21"/>
              </w:rPr>
              <w:t>OQ</w:t>
            </w:r>
            <w:r>
              <w:rPr>
                <w:rFonts w:hint="eastAsia" w:ascii="宋体"/>
                <w:szCs w:val="21"/>
              </w:rPr>
              <w:t>提交</w:t>
            </w:r>
            <w:r>
              <w:rPr>
                <w:rFonts w:ascii="宋体"/>
                <w:szCs w:val="21"/>
              </w:rPr>
              <w:t>时限：</w:t>
            </w:r>
            <w:r>
              <w:rPr>
                <w:rFonts w:hint="eastAsia" w:ascii="宋体"/>
                <w:szCs w:val="21"/>
              </w:rPr>
              <w:t>IQ批准后开始执行，PQ开始前完成审批并提交</w:t>
            </w:r>
          </w:p>
        </w:tc>
        <w:tc>
          <w:tcPr>
            <w:tcW w:w="2125" w:type="dxa"/>
            <w:vAlign w:val="center"/>
          </w:tcPr>
          <w:p>
            <w:pPr>
              <w:jc w:val="center"/>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51"/>
              <w:jc w:val="both"/>
              <w:rPr>
                <w:sz w:val="21"/>
                <w:szCs w:val="21"/>
              </w:rPr>
            </w:pPr>
            <w:r>
              <w:rPr>
                <w:rFonts w:hint="eastAsia"/>
                <w:szCs w:val="21"/>
              </w:rPr>
              <w:t>使用操作说明书及维护保养说明（即运行及维护手册）1份。提交</w:t>
            </w:r>
            <w:r>
              <w:rPr>
                <w:szCs w:val="21"/>
              </w:rPr>
              <w:t>时限：</w:t>
            </w:r>
            <w:r>
              <w:rPr>
                <w:rFonts w:hint="eastAsia"/>
                <w:szCs w:val="21"/>
              </w:rPr>
              <w:t>设备开箱验收</w:t>
            </w:r>
          </w:p>
        </w:tc>
        <w:tc>
          <w:tcPr>
            <w:tcW w:w="2125" w:type="dxa"/>
            <w:vAlign w:val="center"/>
          </w:tcPr>
          <w:p>
            <w:pPr>
              <w:jc w:val="center"/>
              <w:rPr>
                <w:color w:val="000000"/>
                <w:szCs w:val="21"/>
                <w:lang w:val="en-US" w:eastAsia="zh-CN"/>
              </w:rPr>
            </w:pPr>
            <w:r>
              <w:rPr>
                <w:rFonts w:hint="eastAsia"/>
                <w:color w:val="000000"/>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提供设备及其零部件使用寿命清单。提交</w:t>
            </w:r>
            <w:r>
              <w:rPr>
                <w:szCs w:val="21"/>
                <w:lang w:eastAsia="zh-CN"/>
              </w:rPr>
              <w:t>时限：</w:t>
            </w:r>
            <w:r>
              <w:rPr>
                <w:rFonts w:hint="eastAsia"/>
                <w:szCs w:val="21"/>
                <w:lang w:eastAsia="zh-CN"/>
              </w:rPr>
              <w:t>设备开箱验收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51"/>
              <w:jc w:val="both"/>
              <w:rPr>
                <w:sz w:val="21"/>
                <w:szCs w:val="21"/>
              </w:rPr>
            </w:pPr>
            <w:r>
              <w:rPr>
                <w:rFonts w:hint="eastAsia"/>
                <w:szCs w:val="21"/>
              </w:rPr>
              <w:t>标书中明确设备所有组件的品牌、材质、型号，并且注明每一个组件的保修期；提交</w:t>
            </w:r>
            <w:r>
              <w:rPr>
                <w:szCs w:val="21"/>
              </w:rPr>
              <w:t>时限：</w:t>
            </w:r>
            <w:r>
              <w:rPr>
                <w:rFonts w:hint="eastAsia"/>
                <w:szCs w:val="21"/>
              </w:rPr>
              <w:t>设备开箱验收</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以上文件必须在开箱验收时提供纸质版及电子版文件。</w:t>
            </w:r>
          </w:p>
        </w:tc>
        <w:tc>
          <w:tcPr>
            <w:tcW w:w="2125" w:type="dxa"/>
            <w:vAlign w:val="center"/>
          </w:tcPr>
          <w:p>
            <w:pPr>
              <w:jc w:val="center"/>
              <w:rPr>
                <w:szCs w:val="21"/>
                <w:lang w:eastAsia="zh-CN"/>
              </w:rPr>
            </w:pPr>
            <w:r>
              <w:rPr>
                <w:rFonts w:hint="eastAsia"/>
                <w:szCs w:val="21"/>
                <w:lang w:eastAsia="zh-CN"/>
              </w:rPr>
              <w:t>关键</w:t>
            </w:r>
          </w:p>
        </w:tc>
      </w:tr>
      <w:permEnd w:id="35"/>
    </w:tbl>
    <w:p>
      <w:pPr>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44" w:name="_Toc522716125"/>
      <w:r>
        <w:rPr>
          <w:rFonts w:hint="eastAsia" w:ascii="Times New Roman" w:hAnsi="Times New Roman"/>
          <w:b/>
          <w:szCs w:val="21"/>
        </w:rPr>
        <w:t>服务要求</w:t>
      </w:r>
      <w:bookmarkEnd w:id="44"/>
    </w:p>
    <w:p>
      <w:pPr>
        <w:pStyle w:val="53"/>
        <w:spacing w:before="0" w:line="360" w:lineRule="auto"/>
        <w:ind w:left="357"/>
        <w:jc w:val="left"/>
        <w:rPr>
          <w:i/>
          <w:color w:val="4472C4"/>
          <w:szCs w:val="21"/>
          <w:lang w:eastAsia="zh-CN"/>
        </w:rPr>
      </w:pPr>
      <w:permStart w:id="36" w:edGrp="everyone"/>
    </w:p>
    <w:permEnd w:id="36"/>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6" w:type="dxa"/>
            <w:shd w:val="clear" w:color="auto" w:fill="D9D9D9"/>
            <w:vAlign w:val="center"/>
          </w:tcPr>
          <w:p>
            <w:pPr>
              <w:jc w:val="center"/>
              <w:rPr>
                <w:b/>
                <w:szCs w:val="21"/>
                <w:lang w:eastAsia="zh-CN"/>
              </w:rPr>
            </w:pPr>
            <w:r>
              <w:rPr>
                <w:rFonts w:hint="eastAsia"/>
                <w:b/>
                <w:szCs w:val="21"/>
                <w:lang w:eastAsia="zh-CN"/>
              </w:rPr>
              <w:t>需求</w:t>
            </w:r>
          </w:p>
        </w:tc>
        <w:tc>
          <w:tcPr>
            <w:tcW w:w="2127"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37" w:edGrp="everyone"/>
          </w:p>
        </w:tc>
        <w:tc>
          <w:tcPr>
            <w:tcW w:w="7126" w:type="dxa"/>
            <w:vAlign w:val="center"/>
          </w:tcPr>
          <w:p>
            <w:pPr>
              <w:spacing w:line="276" w:lineRule="auto"/>
              <w:jc w:val="both"/>
              <w:rPr>
                <w:color w:val="0070C0"/>
                <w:szCs w:val="21"/>
                <w:lang w:eastAsia="zh-CN"/>
              </w:rPr>
            </w:pPr>
            <w:r>
              <w:rPr>
                <w:rFonts w:hint="eastAsia"/>
                <w:lang w:eastAsia="zh-CN"/>
              </w:rPr>
              <w:t>设备供应商应免费对设备使用方人员进行全面培训，包括对生产操作人员及设备维护、维修人员，并填写培训记录。</w:t>
            </w:r>
          </w:p>
        </w:tc>
        <w:tc>
          <w:tcPr>
            <w:tcW w:w="2127" w:type="dxa"/>
            <w:vAlign w:val="center"/>
          </w:tcPr>
          <w:p>
            <w:pPr>
              <w:jc w:val="center"/>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38" w:edGrp="everyone"/>
          </w:p>
        </w:tc>
        <w:tc>
          <w:tcPr>
            <w:tcW w:w="7126" w:type="dxa"/>
            <w:vAlign w:val="center"/>
          </w:tcPr>
          <w:p>
            <w:pPr>
              <w:spacing w:line="276" w:lineRule="auto"/>
              <w:jc w:val="both"/>
              <w:rPr>
                <w:color w:val="0070C0"/>
                <w:szCs w:val="21"/>
                <w:lang w:eastAsia="zh-CN"/>
              </w:rPr>
            </w:pPr>
            <w:r>
              <w:rPr>
                <w:rFonts w:hint="eastAsia"/>
                <w:lang w:eastAsia="zh-CN"/>
              </w:rPr>
              <w:t>生产操作人员培训包括设备结构原理、性能、操作、清洗消毒、故障排除等基本</w:t>
            </w:r>
            <w:r>
              <w:rPr>
                <w:rFonts w:hint="eastAsia"/>
                <w:szCs w:val="21"/>
                <w:lang w:eastAsia="zh-CN"/>
              </w:rPr>
              <w:t>知识</w:t>
            </w:r>
            <w:r>
              <w:rPr>
                <w:rFonts w:hint="eastAsia"/>
                <w:lang w:eastAsia="zh-CN"/>
              </w:rPr>
              <w:t>。合格标准为用户参加培训人员能够独立正确操作设备，会排除常见故障。</w:t>
            </w:r>
          </w:p>
        </w:tc>
        <w:tc>
          <w:tcPr>
            <w:tcW w:w="2127" w:type="dxa"/>
            <w:vAlign w:val="center"/>
          </w:tcPr>
          <w:p>
            <w:pPr>
              <w:jc w:val="center"/>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39" w:edGrp="everyone"/>
          </w:p>
        </w:tc>
        <w:tc>
          <w:tcPr>
            <w:tcW w:w="7126" w:type="dxa"/>
            <w:vAlign w:val="center"/>
          </w:tcPr>
          <w:p>
            <w:pPr>
              <w:spacing w:line="276" w:lineRule="auto"/>
              <w:jc w:val="both"/>
              <w:rPr>
                <w:color w:val="0070C0"/>
                <w:lang w:eastAsia="zh-CN"/>
              </w:rPr>
            </w:pPr>
            <w:r>
              <w:rPr>
                <w:rFonts w:hint="eastAsia"/>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7" w:type="dxa"/>
            <w:vAlign w:val="center"/>
          </w:tcPr>
          <w:p>
            <w:pPr>
              <w:jc w:val="center"/>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40" w:edGrp="everyone"/>
          </w:p>
        </w:tc>
        <w:tc>
          <w:tcPr>
            <w:tcW w:w="7126" w:type="dxa"/>
            <w:vAlign w:val="center"/>
          </w:tcPr>
          <w:p>
            <w:pPr>
              <w:spacing w:line="276" w:lineRule="auto"/>
              <w:jc w:val="both"/>
              <w:rPr>
                <w:szCs w:val="21"/>
                <w:lang w:eastAsia="zh-CN"/>
              </w:rPr>
            </w:pPr>
            <w:r>
              <w:rPr>
                <w:rFonts w:hint="eastAsia"/>
                <w:lang w:eastAsia="zh-CN"/>
              </w:rPr>
              <w:t>设备运输在运输途中需做好防护措施，不得有任何损伤。</w:t>
            </w:r>
          </w:p>
        </w:tc>
        <w:tc>
          <w:tcPr>
            <w:tcW w:w="2127" w:type="dxa"/>
            <w:vAlign w:val="center"/>
          </w:tcPr>
          <w:p>
            <w:pPr>
              <w:jc w:val="center"/>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vAlign w:val="center"/>
          </w:tcPr>
          <w:p>
            <w:pPr>
              <w:pStyle w:val="44"/>
              <w:numPr>
                <w:ilvl w:val="0"/>
                <w:numId w:val="7"/>
              </w:numPr>
              <w:ind w:left="470" w:hanging="120" w:firstLineChars="0"/>
              <w:rPr>
                <w:rFonts w:ascii="Times New Roman" w:hAnsi="Times New Roman"/>
                <w:szCs w:val="21"/>
              </w:rPr>
            </w:pPr>
            <w:permStart w:id="41" w:edGrp="everyone"/>
          </w:p>
        </w:tc>
        <w:tc>
          <w:tcPr>
            <w:tcW w:w="7126" w:type="dxa"/>
            <w:vAlign w:val="center"/>
          </w:tcPr>
          <w:p>
            <w:pPr>
              <w:pStyle w:val="51"/>
              <w:jc w:val="both"/>
              <w:rPr>
                <w:sz w:val="21"/>
                <w:szCs w:val="21"/>
              </w:rPr>
            </w:pPr>
            <w:r>
              <w:rPr>
                <w:rFonts w:hint="eastAsia"/>
                <w:sz w:val="21"/>
                <w:szCs w:val="21"/>
              </w:rPr>
              <w:t>验证包括验证计划、系统评估、风险评估、</w:t>
            </w:r>
            <w:r>
              <w:rPr>
                <w:sz w:val="21"/>
                <w:szCs w:val="21"/>
              </w:rPr>
              <w:t>DQ</w:t>
            </w:r>
            <w:r>
              <w:rPr>
                <w:rFonts w:hint="eastAsia"/>
                <w:sz w:val="21"/>
                <w:szCs w:val="21"/>
              </w:rPr>
              <w:t>、</w:t>
            </w:r>
            <w:r>
              <w:rPr>
                <w:sz w:val="21"/>
                <w:szCs w:val="21"/>
              </w:rPr>
              <w:t>SAT</w:t>
            </w:r>
            <w:r>
              <w:rPr>
                <w:rFonts w:hint="eastAsia"/>
                <w:sz w:val="21"/>
                <w:szCs w:val="21"/>
              </w:rPr>
              <w:t>、</w:t>
            </w:r>
            <w:r>
              <w:rPr>
                <w:sz w:val="21"/>
                <w:szCs w:val="21"/>
              </w:rPr>
              <w:t>IQ</w:t>
            </w:r>
            <w:r>
              <w:rPr>
                <w:rFonts w:hint="eastAsia"/>
                <w:sz w:val="21"/>
                <w:szCs w:val="21"/>
              </w:rPr>
              <w:t>、</w:t>
            </w:r>
            <w:r>
              <w:rPr>
                <w:sz w:val="21"/>
                <w:szCs w:val="21"/>
              </w:rPr>
              <w:t>OQ</w:t>
            </w:r>
            <w:r>
              <w:rPr>
                <w:rFonts w:hint="eastAsia"/>
                <w:sz w:val="21"/>
                <w:szCs w:val="21"/>
              </w:rPr>
              <w:t>、</w:t>
            </w:r>
            <w:r>
              <w:rPr>
                <w:sz w:val="21"/>
                <w:szCs w:val="21"/>
              </w:rPr>
              <w:t>RTM</w:t>
            </w:r>
            <w:r>
              <w:rPr>
                <w:rFonts w:hint="eastAsia"/>
                <w:sz w:val="21"/>
                <w:szCs w:val="21"/>
              </w:rPr>
              <w:t>、</w:t>
            </w:r>
            <w:r>
              <w:rPr>
                <w:sz w:val="21"/>
                <w:szCs w:val="21"/>
              </w:rPr>
              <w:t>VSR</w:t>
            </w:r>
            <w:r>
              <w:rPr>
                <w:rFonts w:hint="eastAsia"/>
                <w:sz w:val="21"/>
                <w:szCs w:val="21"/>
              </w:rPr>
              <w:t>文件与服务，供应商必须派出具备该类系统验证经验，且熟悉验证相关文件编写及验证工作实施的验证工程师开展验证工作。供应商协助完成</w:t>
            </w:r>
            <w:r>
              <w:rPr>
                <w:sz w:val="21"/>
                <w:szCs w:val="21"/>
              </w:rPr>
              <w:t>PQ</w:t>
            </w:r>
            <w:r>
              <w:rPr>
                <w:rFonts w:hint="eastAsia"/>
                <w:sz w:val="21"/>
                <w:szCs w:val="21"/>
              </w:rPr>
              <w:t>。</w:t>
            </w:r>
            <w:r>
              <w:rPr>
                <w:sz w:val="21"/>
                <w:szCs w:val="21"/>
              </w:rPr>
              <w:t xml:space="preserve"> </w:t>
            </w:r>
          </w:p>
        </w:tc>
        <w:tc>
          <w:tcPr>
            <w:tcW w:w="2127"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vAlign w:val="center"/>
          </w:tcPr>
          <w:p>
            <w:pPr>
              <w:pStyle w:val="44"/>
              <w:numPr>
                <w:ilvl w:val="0"/>
                <w:numId w:val="7"/>
              </w:numPr>
              <w:ind w:left="470" w:hanging="120" w:firstLineChars="0"/>
              <w:rPr>
                <w:rFonts w:ascii="Times New Roman" w:hAnsi="Times New Roman"/>
                <w:szCs w:val="21"/>
              </w:rPr>
            </w:pPr>
          </w:p>
        </w:tc>
        <w:tc>
          <w:tcPr>
            <w:tcW w:w="7126" w:type="dxa"/>
            <w:vAlign w:val="center"/>
          </w:tcPr>
          <w:p>
            <w:pPr>
              <w:jc w:val="both"/>
              <w:rPr>
                <w:szCs w:val="21"/>
                <w:lang w:eastAsia="zh-CN"/>
              </w:rPr>
            </w:pPr>
            <w:r>
              <w:rPr>
                <w:rFonts w:hint="eastAsia"/>
                <w:szCs w:val="21"/>
                <w:lang w:eastAsia="zh-CN"/>
              </w:rPr>
              <w:t>投标方按</w:t>
            </w:r>
            <w:r>
              <w:rPr>
                <w:szCs w:val="21"/>
                <w:lang w:eastAsia="zh-CN"/>
              </w:rPr>
              <w:t>GMP</w:t>
            </w:r>
            <w:r>
              <w:rPr>
                <w:rFonts w:hint="eastAsia"/>
                <w:szCs w:val="21"/>
                <w:lang w:eastAsia="zh-CN"/>
              </w:rPr>
              <w:t>规范完成上述所有验证工作，并提供相应文件（文件必须无条件符合我所</w:t>
            </w:r>
            <w:r>
              <w:rPr>
                <w:szCs w:val="21"/>
                <w:lang w:eastAsia="zh-CN"/>
              </w:rPr>
              <w:t>QA</w:t>
            </w:r>
            <w:r>
              <w:rPr>
                <w:rFonts w:hint="eastAsia"/>
                <w:szCs w:val="21"/>
                <w:lang w:eastAsia="zh-CN"/>
              </w:rPr>
              <w:t>要求）。各验证工作开始前验证方案需经过本公司相关部门审核，并经质量保证部批准。</w:t>
            </w:r>
          </w:p>
        </w:tc>
        <w:tc>
          <w:tcPr>
            <w:tcW w:w="2127"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vAlign w:val="center"/>
          </w:tcPr>
          <w:p>
            <w:pPr>
              <w:pStyle w:val="44"/>
              <w:numPr>
                <w:ilvl w:val="0"/>
                <w:numId w:val="7"/>
              </w:numPr>
              <w:ind w:left="470" w:hanging="120" w:firstLineChars="0"/>
              <w:rPr>
                <w:rFonts w:ascii="Times New Roman" w:hAnsi="Times New Roman"/>
                <w:szCs w:val="21"/>
              </w:rPr>
            </w:pPr>
          </w:p>
        </w:tc>
        <w:tc>
          <w:tcPr>
            <w:tcW w:w="7126" w:type="dxa"/>
            <w:vAlign w:val="center"/>
          </w:tcPr>
          <w:p>
            <w:pPr>
              <w:jc w:val="both"/>
              <w:rPr>
                <w:szCs w:val="21"/>
                <w:lang w:eastAsia="zh-CN"/>
              </w:rPr>
            </w:pPr>
            <w:r>
              <w:rPr>
                <w:rFonts w:hint="eastAsia"/>
                <w:szCs w:val="21"/>
                <w:lang w:eastAsia="zh-CN"/>
              </w:rPr>
              <w:t>验证工作应按时保质完成，供应商需提供验证工作计划表。</w:t>
            </w:r>
          </w:p>
        </w:tc>
        <w:tc>
          <w:tcPr>
            <w:tcW w:w="2127"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vAlign w:val="center"/>
          </w:tcPr>
          <w:p>
            <w:pPr>
              <w:pStyle w:val="44"/>
              <w:numPr>
                <w:ilvl w:val="0"/>
                <w:numId w:val="7"/>
              </w:numPr>
              <w:ind w:left="470" w:hanging="120" w:firstLineChars="0"/>
              <w:rPr>
                <w:rFonts w:ascii="Times New Roman" w:hAnsi="Times New Roman"/>
                <w:szCs w:val="21"/>
              </w:rPr>
            </w:pPr>
          </w:p>
        </w:tc>
        <w:tc>
          <w:tcPr>
            <w:tcW w:w="7126" w:type="dxa"/>
            <w:vAlign w:val="center"/>
          </w:tcPr>
          <w:p>
            <w:pPr>
              <w:jc w:val="both"/>
              <w:rPr>
                <w:szCs w:val="21"/>
                <w:lang w:eastAsia="zh-CN"/>
              </w:rPr>
            </w:pPr>
            <w:r>
              <w:rPr>
                <w:rFonts w:hint="eastAsia"/>
                <w:szCs w:val="21"/>
                <w:lang w:eastAsia="zh-CN"/>
              </w:rPr>
              <w:t>验证项目应包含法规要求的测试项目，以及本公司提出的测试项目。</w:t>
            </w:r>
          </w:p>
        </w:tc>
        <w:tc>
          <w:tcPr>
            <w:tcW w:w="2127"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vAlign w:val="center"/>
          </w:tcPr>
          <w:p>
            <w:pPr>
              <w:pStyle w:val="44"/>
              <w:numPr>
                <w:ilvl w:val="0"/>
                <w:numId w:val="7"/>
              </w:numPr>
              <w:ind w:left="470" w:hanging="120" w:firstLineChars="0"/>
              <w:rPr>
                <w:rFonts w:ascii="Times New Roman" w:hAnsi="Times New Roman"/>
                <w:szCs w:val="21"/>
              </w:rPr>
            </w:pPr>
          </w:p>
        </w:tc>
        <w:tc>
          <w:tcPr>
            <w:tcW w:w="7126" w:type="dxa"/>
            <w:vAlign w:val="center"/>
          </w:tcPr>
          <w:p>
            <w:pPr>
              <w:jc w:val="both"/>
              <w:rPr>
                <w:szCs w:val="21"/>
                <w:lang w:eastAsia="zh-CN"/>
              </w:rPr>
            </w:pPr>
            <w:r>
              <w:rPr>
                <w:rFonts w:hint="eastAsia"/>
                <w:szCs w:val="21"/>
                <w:lang w:eastAsia="zh-CN"/>
              </w:rPr>
              <w:t>验证工作完成后，验证记录经本公司相关部门审核，并经质量保证部批准。</w:t>
            </w:r>
          </w:p>
        </w:tc>
        <w:tc>
          <w:tcPr>
            <w:tcW w:w="2127" w:type="dxa"/>
            <w:vAlign w:val="center"/>
          </w:tcPr>
          <w:p>
            <w:pPr>
              <w:jc w:val="center"/>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42" w:edGrp="everyone"/>
          </w:p>
        </w:tc>
        <w:tc>
          <w:tcPr>
            <w:tcW w:w="7126" w:type="dxa"/>
            <w:vAlign w:val="center"/>
          </w:tcPr>
          <w:p>
            <w:pPr>
              <w:spacing w:line="276" w:lineRule="auto"/>
              <w:jc w:val="both"/>
              <w:rPr>
                <w:szCs w:val="21"/>
                <w:lang w:eastAsia="zh-CN"/>
              </w:rPr>
            </w:pPr>
            <w:r>
              <w:rPr>
                <w:rFonts w:hint="eastAsia" w:ascii="宋体" w:hAnsi="宋体"/>
                <w:szCs w:val="21"/>
                <w:lang w:eastAsia="zh-CN"/>
              </w:rPr>
              <w:t>设备保质期从设备验收合格之日起计算</w:t>
            </w:r>
            <w:r>
              <w:rPr>
                <w:rFonts w:hint="eastAsia"/>
                <w:szCs w:val="21"/>
                <w:lang w:eastAsia="zh-CN"/>
              </w:rPr>
              <w:t>。</w:t>
            </w:r>
          </w:p>
        </w:tc>
        <w:tc>
          <w:tcPr>
            <w:tcW w:w="2127" w:type="dxa"/>
            <w:vAlign w:val="center"/>
          </w:tcPr>
          <w:p>
            <w:pPr>
              <w:jc w:val="center"/>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43" w:edGrp="everyone"/>
          </w:p>
        </w:tc>
        <w:tc>
          <w:tcPr>
            <w:tcW w:w="7126" w:type="dxa"/>
            <w:vAlign w:val="center"/>
          </w:tcPr>
          <w:p>
            <w:pPr>
              <w:spacing w:line="276" w:lineRule="auto"/>
              <w:jc w:val="both"/>
              <w:rPr>
                <w:szCs w:val="21"/>
                <w:lang w:eastAsia="zh-CN"/>
              </w:rPr>
            </w:pPr>
            <w:r>
              <w:rPr>
                <w:rFonts w:hint="eastAsia"/>
                <w:szCs w:val="21"/>
                <w:lang w:eastAsia="zh-CN"/>
              </w:rPr>
              <w:t>设备质保期为3年，3年内免费保修，3年后应提供良好的售后服务。</w:t>
            </w:r>
          </w:p>
        </w:tc>
        <w:tc>
          <w:tcPr>
            <w:tcW w:w="2127" w:type="dxa"/>
            <w:vAlign w:val="center"/>
          </w:tcPr>
          <w:p>
            <w:pPr>
              <w:jc w:val="center"/>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44" w:edGrp="everyone"/>
          </w:p>
        </w:tc>
        <w:tc>
          <w:tcPr>
            <w:tcW w:w="7126" w:type="dxa"/>
            <w:vAlign w:val="center"/>
          </w:tcPr>
          <w:p>
            <w:pPr>
              <w:spacing w:line="276" w:lineRule="auto"/>
              <w:jc w:val="both"/>
              <w:rPr>
                <w:szCs w:val="21"/>
                <w:lang w:eastAsia="zh-CN"/>
              </w:rPr>
            </w:pPr>
            <w:r>
              <w:rPr>
                <w:rFonts w:hint="eastAsia"/>
                <w:szCs w:val="21"/>
                <w:lang w:eastAsia="zh-CN"/>
              </w:rPr>
              <w:t>售后服务必须响应及时，要求设备出现须厂家维修的故障后，应在</w:t>
            </w:r>
            <w:r>
              <w:rPr>
                <w:szCs w:val="21"/>
                <w:lang w:eastAsia="zh-CN"/>
              </w:rPr>
              <w:t>4</w:t>
            </w:r>
            <w:r>
              <w:rPr>
                <w:rFonts w:hint="eastAsia"/>
                <w:szCs w:val="21"/>
                <w:lang w:eastAsia="zh-CN"/>
              </w:rPr>
              <w:t>小时内明确答复，当电话沟通无法解决时，须</w:t>
            </w:r>
            <w:r>
              <w:rPr>
                <w:szCs w:val="21"/>
                <w:lang w:eastAsia="zh-CN"/>
              </w:rPr>
              <w:t>48</w:t>
            </w:r>
            <w:r>
              <w:rPr>
                <w:rFonts w:hint="eastAsia"/>
                <w:szCs w:val="21"/>
                <w:lang w:eastAsia="zh-CN"/>
              </w:rPr>
              <w:t>小时内派人至现场解决。</w:t>
            </w:r>
          </w:p>
        </w:tc>
        <w:tc>
          <w:tcPr>
            <w:tcW w:w="2127" w:type="dxa"/>
            <w:vAlign w:val="center"/>
          </w:tcPr>
          <w:p>
            <w:pPr>
              <w:jc w:val="center"/>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45" w:edGrp="everyone"/>
          </w:p>
        </w:tc>
        <w:tc>
          <w:tcPr>
            <w:tcW w:w="7126" w:type="dxa"/>
            <w:vAlign w:val="center"/>
          </w:tcPr>
          <w:p>
            <w:pPr>
              <w:spacing w:line="276" w:lineRule="auto"/>
              <w:jc w:val="both"/>
              <w:rPr>
                <w:szCs w:val="21"/>
                <w:lang w:eastAsia="zh-CN"/>
              </w:rPr>
            </w:pPr>
            <w:r>
              <w:rPr>
                <w:rFonts w:hint="eastAsia"/>
                <w:szCs w:val="21"/>
                <w:lang w:eastAsia="zh-CN"/>
              </w:rPr>
              <w:t>三年免费保修期后，厂家应终生提供及时的维修、维护，厂家应定期回访，解决设备运行当中可能出现的疑问，排除潜在故障，使设备保持良好工作状态。</w:t>
            </w:r>
          </w:p>
        </w:tc>
        <w:tc>
          <w:tcPr>
            <w:tcW w:w="2127" w:type="dxa"/>
            <w:vAlign w:val="center"/>
          </w:tcPr>
          <w:p>
            <w:pPr>
              <w:jc w:val="center"/>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46" w:edGrp="everyone"/>
          </w:p>
        </w:tc>
        <w:tc>
          <w:tcPr>
            <w:tcW w:w="7126" w:type="dxa"/>
            <w:vAlign w:val="center"/>
          </w:tcPr>
          <w:p>
            <w:pPr>
              <w:spacing w:line="276" w:lineRule="auto"/>
              <w:jc w:val="both"/>
              <w:rPr>
                <w:szCs w:val="21"/>
                <w:lang w:eastAsia="zh-CN"/>
              </w:rPr>
            </w:pPr>
            <w:r>
              <w:rPr>
                <w:rFonts w:hint="eastAsia"/>
                <w:szCs w:val="21"/>
                <w:lang w:eastAsia="zh-CN"/>
              </w:rPr>
              <w:t>厂家应提供合格的备件，用于设备相应部件的维修、更换。</w:t>
            </w:r>
          </w:p>
        </w:tc>
        <w:tc>
          <w:tcPr>
            <w:tcW w:w="2127" w:type="dxa"/>
            <w:vAlign w:val="center"/>
          </w:tcPr>
          <w:p>
            <w:pPr>
              <w:jc w:val="center"/>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ermStart w:id="47" w:edGrp="everyone"/>
          </w:p>
        </w:tc>
        <w:tc>
          <w:tcPr>
            <w:tcW w:w="7126"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7"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6" w:type="dxa"/>
            <w:vAlign w:val="center"/>
          </w:tcPr>
          <w:p>
            <w:pPr>
              <w:spacing w:line="276" w:lineRule="auto"/>
              <w:jc w:val="both"/>
              <w:rPr>
                <w:szCs w:val="21"/>
                <w:lang w:eastAsia="zh-CN"/>
              </w:rPr>
            </w:pPr>
            <w:r>
              <w:rPr>
                <w:rFonts w:hint="eastAsia" w:ascii="宋体" w:hAnsi="宋体"/>
                <w:szCs w:val="21"/>
                <w:lang w:eastAsia="zh-CN"/>
              </w:rPr>
              <w:t>供应商进厂安装需遵守安全和安装规定</w:t>
            </w:r>
          </w:p>
        </w:tc>
        <w:tc>
          <w:tcPr>
            <w:tcW w:w="2127"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6" w:type="dxa"/>
            <w:vAlign w:val="center"/>
          </w:tcPr>
          <w:p>
            <w:pPr>
              <w:spacing w:line="276" w:lineRule="auto"/>
              <w:jc w:val="both"/>
              <w:rPr>
                <w:rFonts w:hint="eastAsia" w:ascii="宋体" w:hAnsi="宋体"/>
                <w:szCs w:val="21"/>
                <w:lang w:eastAsia="zh-CN"/>
              </w:rPr>
            </w:pPr>
            <w:r>
              <w:rPr>
                <w:rFonts w:hint="eastAsia"/>
                <w:szCs w:val="21"/>
                <w:lang w:eastAsia="zh-CN"/>
              </w:rPr>
              <w:t>确认试车验收合格后，买卖双方签订验收报告。</w:t>
            </w:r>
          </w:p>
        </w:tc>
        <w:tc>
          <w:tcPr>
            <w:tcW w:w="2127" w:type="dxa"/>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6" w:type="dxa"/>
            <w:vAlign w:val="center"/>
          </w:tcPr>
          <w:p>
            <w:pPr>
              <w:spacing w:line="276" w:lineRule="auto"/>
              <w:jc w:val="both"/>
              <w:rPr>
                <w:rFonts w:hint="eastAsia" w:ascii="宋体" w:hAnsi="宋体"/>
                <w:szCs w:val="21"/>
                <w:lang w:eastAsia="zh-CN"/>
              </w:rPr>
            </w:pPr>
            <w:r>
              <w:rPr>
                <w:rFonts w:hint="eastAsia"/>
                <w:szCs w:val="21"/>
                <w:lang w:eastAsia="zh-CN"/>
              </w:rPr>
              <w:t>货物到达买方使用现场后，由买卖双方共同验收，卖方工程师免费为买方提供调试。</w:t>
            </w:r>
          </w:p>
        </w:tc>
        <w:tc>
          <w:tcPr>
            <w:tcW w:w="2127" w:type="dxa"/>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6" w:type="dxa"/>
            <w:vAlign w:val="center"/>
          </w:tcPr>
          <w:p>
            <w:pPr>
              <w:spacing w:line="276" w:lineRule="auto"/>
              <w:jc w:val="both"/>
              <w:rPr>
                <w:rFonts w:hint="eastAsia"/>
                <w:szCs w:val="21"/>
                <w:lang w:eastAsia="zh-CN"/>
              </w:rPr>
            </w:pPr>
            <w:r>
              <w:rPr>
                <w:rFonts w:hint="eastAsia"/>
                <w:szCs w:val="21"/>
                <w:lang w:eastAsia="zh-CN"/>
              </w:rPr>
              <w:t>供应商进厂安装需遵守安全和安装规定。</w:t>
            </w:r>
          </w:p>
        </w:tc>
        <w:tc>
          <w:tcPr>
            <w:tcW w:w="2127" w:type="dxa"/>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6" w:type="dxa"/>
            <w:vAlign w:val="center"/>
          </w:tcPr>
          <w:p>
            <w:pPr>
              <w:spacing w:line="276" w:lineRule="auto"/>
              <w:jc w:val="both"/>
              <w:rPr>
                <w:rFonts w:hint="eastAsia"/>
                <w:szCs w:val="21"/>
                <w:lang w:eastAsia="zh-CN"/>
              </w:rPr>
            </w:pPr>
            <w:r>
              <w:rPr>
                <w:rFonts w:hint="eastAsia"/>
                <w:szCs w:val="21"/>
                <w:lang w:eastAsia="zh-CN"/>
              </w:rPr>
              <w:t>确认试车验收合格后，买卖双方签订验收报告。</w:t>
            </w:r>
          </w:p>
        </w:tc>
        <w:tc>
          <w:tcPr>
            <w:tcW w:w="2127" w:type="dxa"/>
            <w:vAlign w:val="center"/>
          </w:tcPr>
          <w:p>
            <w:pPr>
              <w:jc w:val="center"/>
              <w:rPr>
                <w:rFonts w:hint="eastAsia"/>
                <w:szCs w:val="21"/>
                <w:lang w:eastAsia="zh-CN"/>
              </w:rPr>
            </w:pPr>
            <w:r>
              <w:rPr>
                <w:rFonts w:hint="eastAsia"/>
                <w:szCs w:val="21"/>
                <w:lang w:eastAsia="zh-CN"/>
              </w:rPr>
              <w:t>关键</w:t>
            </w:r>
          </w:p>
        </w:tc>
      </w:tr>
      <w:permEnd w:id="47"/>
    </w:tbl>
    <w:p/>
    <w:p>
      <w:pPr>
        <w:pStyle w:val="44"/>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hint="eastAsia"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53"/>
        <w:spacing w:before="0" w:line="360" w:lineRule="auto"/>
        <w:ind w:left="357"/>
        <w:jc w:val="left"/>
        <w:rPr>
          <w:color w:val="4472C4"/>
          <w:sz w:val="21"/>
          <w:szCs w:val="21"/>
          <w:lang w:eastAsia="zh-CN"/>
        </w:rPr>
      </w:pPr>
      <w:permStart w:id="48" w:edGrp="everyone"/>
      <w:r>
        <w:rPr>
          <w:rFonts w:hint="eastAsia"/>
          <w:sz w:val="21"/>
          <w:szCs w:val="21"/>
          <w:lang w:eastAsia="zh-CN"/>
        </w:rPr>
        <w:t>不适用</w:t>
      </w:r>
      <w:permEnd w:id="48"/>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PMingLiUfalt">
    <w:altName w:val="MingLiU-ExtB"/>
    <w:panose1 w:val="00000000000000000000"/>
    <w:charset w:val="88"/>
    <w:family w:val="roma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cs="Times New Roman"/>
        <w:sz w:val="22"/>
      </w:rPr>
    </w:lvl>
    <w:lvl w:ilvl="1" w:tentative="0">
      <w:start w:val="1"/>
      <w:numFmt w:val="decimal"/>
      <w:lvlText w:val="%1.%2."/>
      <w:lvlJc w:val="left"/>
      <w:pPr>
        <w:tabs>
          <w:tab w:val="left" w:pos="567"/>
        </w:tabs>
        <w:ind w:left="567" w:hanging="567"/>
      </w:pPr>
      <w:rPr>
        <w:rFonts w:hint="default" w:cs="Times New Roman"/>
        <w:sz w:val="22"/>
      </w:rPr>
    </w:lvl>
    <w:lvl w:ilvl="2" w:tentative="0">
      <w:start w:val="1"/>
      <w:numFmt w:val="decimal"/>
      <w:lvlText w:val="%1.%2.%3."/>
      <w:lvlJc w:val="left"/>
      <w:pPr>
        <w:tabs>
          <w:tab w:val="left" w:pos="709"/>
        </w:tabs>
        <w:ind w:left="709" w:hanging="709"/>
      </w:pPr>
      <w:rPr>
        <w:rFonts w:hint="default" w:cs="Times New Roman"/>
      </w:rPr>
    </w:lvl>
    <w:lvl w:ilvl="3" w:tentative="0">
      <w:start w:val="1"/>
      <w:numFmt w:val="decimal"/>
      <w:lvlText w:val="%1.%2.%3.%4."/>
      <w:lvlJc w:val="left"/>
      <w:pPr>
        <w:tabs>
          <w:tab w:val="left" w:pos="851"/>
        </w:tabs>
        <w:ind w:left="851" w:hanging="851"/>
      </w:pPr>
      <w:rPr>
        <w:rFonts w:hint="default" w:cs="Times New Roman"/>
      </w:rPr>
    </w:lvl>
    <w:lvl w:ilvl="4" w:tentative="0">
      <w:start w:val="1"/>
      <w:numFmt w:val="decimal"/>
      <w:lvlText w:val="%1.%2.%3.%4.%5."/>
      <w:lvlJc w:val="left"/>
      <w:pPr>
        <w:tabs>
          <w:tab w:val="left" w:pos="992"/>
        </w:tabs>
        <w:ind w:left="992" w:hanging="992"/>
      </w:pPr>
      <w:rPr>
        <w:rFonts w:hint="default" w:cs="Times New Roman"/>
      </w:rPr>
    </w:lvl>
    <w:lvl w:ilvl="5" w:tentative="0">
      <w:start w:val="1"/>
      <w:numFmt w:val="decimal"/>
      <w:lvlText w:val="%1.%2.%3.%4.%5.%6."/>
      <w:lvlJc w:val="left"/>
      <w:pPr>
        <w:tabs>
          <w:tab w:val="left" w:pos="1134"/>
        </w:tabs>
        <w:ind w:left="1134" w:hanging="1134"/>
      </w:pPr>
      <w:rPr>
        <w:rFonts w:hint="default" w:cs="Times New Roman"/>
      </w:rPr>
    </w:lvl>
    <w:lvl w:ilvl="6" w:tentative="0">
      <w:start w:val="1"/>
      <w:numFmt w:val="decimal"/>
      <w:lvlText w:val="%1.%2.%3.%4.%5.%6.%7."/>
      <w:lvlJc w:val="left"/>
      <w:pPr>
        <w:tabs>
          <w:tab w:val="left" w:pos="1276"/>
        </w:tabs>
        <w:ind w:left="1276" w:hanging="1276"/>
      </w:pPr>
      <w:rPr>
        <w:rFonts w:hint="default" w:cs="Times New Roman"/>
      </w:rPr>
    </w:lvl>
    <w:lvl w:ilvl="7" w:tentative="0">
      <w:start w:val="1"/>
      <w:numFmt w:val="decimal"/>
      <w:lvlText w:val="%1.%2.%3.%4.%5.%6.%7.%8."/>
      <w:lvlJc w:val="left"/>
      <w:pPr>
        <w:tabs>
          <w:tab w:val="left" w:pos="1418"/>
        </w:tabs>
        <w:ind w:left="1418" w:hanging="1418"/>
      </w:pPr>
      <w:rPr>
        <w:rFonts w:hint="default" w:cs="Times New Roman"/>
      </w:rPr>
    </w:lvl>
    <w:lvl w:ilvl="8" w:tentative="0">
      <w:start w:val="1"/>
      <w:numFmt w:val="decimal"/>
      <w:lvlText w:val="%1.%2.%3.%4.%5.%6.%7.%8.%9."/>
      <w:lvlJc w:val="left"/>
      <w:pPr>
        <w:tabs>
          <w:tab w:val="left" w:pos="1559"/>
        </w:tabs>
        <w:ind w:left="1559" w:hanging="1559"/>
      </w:pPr>
      <w:rPr>
        <w:rFonts w:hint="default" w:cs="Times New Roman"/>
      </w:rPr>
    </w:lvl>
  </w:abstractNum>
  <w:abstractNum w:abstractNumId="2">
    <w:nsid w:val="0BB07E03"/>
    <w:multiLevelType w:val="multilevel"/>
    <w:tmpl w:val="0BB07E03"/>
    <w:lvl w:ilvl="0" w:tentative="0">
      <w:start w:val="1"/>
      <w:numFmt w:val="decimal"/>
      <w:lvlText w:val="9.%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11273409"/>
    <w:multiLevelType w:val="multilevel"/>
    <w:tmpl w:val="11273409"/>
    <w:lvl w:ilvl="0" w:tentative="0">
      <w:start w:val="1"/>
      <w:numFmt w:val="decimal"/>
      <w:lvlText w:val="7.%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6D341CC"/>
    <w:multiLevelType w:val="multilevel"/>
    <w:tmpl w:val="16D341CC"/>
    <w:lvl w:ilvl="0" w:tentative="0">
      <w:start w:val="1"/>
      <w:numFmt w:val="decimal"/>
      <w:lvlText w:val="URS %1"/>
      <w:lvlJc w:val="left"/>
      <w:pPr>
        <w:ind w:left="1413" w:hanging="420"/>
      </w:pPr>
      <w:rPr>
        <w:rFonts w:hint="eastAsia"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rPr>
        <w:rFonts w:cs="Times New Roman"/>
      </w:rPr>
    </w:lvl>
    <w:lvl w:ilvl="1" w:tentative="0">
      <w:start w:val="1"/>
      <w:numFmt w:val="decimal"/>
      <w:lvlText w:val="%1.%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7">
    <w:nsid w:val="320B1F6D"/>
    <w:multiLevelType w:val="multilevel"/>
    <w:tmpl w:val="320B1F6D"/>
    <w:lvl w:ilvl="0" w:tentative="0">
      <w:start w:val="1"/>
      <w:numFmt w:val="decimal"/>
      <w:lvlText w:val="8.%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decimal"/>
      <w:lvlText w:val="8.%3"/>
      <w:lvlJc w:val="right"/>
      <w:pPr>
        <w:ind w:left="1260" w:hanging="420"/>
      </w:pPr>
      <w:rPr>
        <w:rFonts w:hint="eastAsia"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549A640C"/>
    <w:multiLevelType w:val="multilevel"/>
    <w:tmpl w:val="549A640C"/>
    <w:lvl w:ilvl="0" w:tentative="0">
      <w:start w:val="1"/>
      <w:numFmt w:val="decimal"/>
      <w:lvlText w:val="12.%1"/>
      <w:lvlJc w:val="left"/>
      <w:pPr>
        <w:ind w:left="846"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629402F4"/>
    <w:multiLevelType w:val="multilevel"/>
    <w:tmpl w:val="629402F4"/>
    <w:lvl w:ilvl="0" w:tentative="0">
      <w:start w:val="1"/>
      <w:numFmt w:val="decimal"/>
      <w:lvlText w:val="3.%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86546ED"/>
    <w:multiLevelType w:val="multilevel"/>
    <w:tmpl w:val="686546ED"/>
    <w:lvl w:ilvl="0" w:tentative="0">
      <w:start w:val="1"/>
      <w:numFmt w:val="decimal"/>
      <w:pStyle w:val="49"/>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1">
    <w:nsid w:val="6A7D7EF9"/>
    <w:multiLevelType w:val="multilevel"/>
    <w:tmpl w:val="6A7D7EF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11"/>
  </w:num>
  <w:num w:numId="9">
    <w:abstractNumId w:val="3"/>
  </w:num>
  <w:num w:numId="10">
    <w:abstractNumId w:val="7"/>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noLineBreaksAfter w:lang="zh-CN" w:val="$([{£¥·‘“〈《「『【〔〖〝﹙﹛﹝＄（．［｛￡￥"/>
  <w:noLineBreaksBefore w:lang="zh-CN" w:val="!%),.:;&gt;?]}¢¨°·ˇˉ―‖’”…‰′″›℃∶、。〃〉》」』】〕〗〞︶︺︾﹀﹄﹚﹜﹞！＂％＇），．：；？］｀｜｝～￠"/>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4300"/>
    <w:rsid w:val="000154E3"/>
    <w:rsid w:val="000169DD"/>
    <w:rsid w:val="00020FEA"/>
    <w:rsid w:val="00022818"/>
    <w:rsid w:val="000233DE"/>
    <w:rsid w:val="00023B07"/>
    <w:rsid w:val="00023CAD"/>
    <w:rsid w:val="0002457E"/>
    <w:rsid w:val="000275E7"/>
    <w:rsid w:val="000303D0"/>
    <w:rsid w:val="00031243"/>
    <w:rsid w:val="00031900"/>
    <w:rsid w:val="0003308D"/>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9F6"/>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601A"/>
    <w:rsid w:val="0012642C"/>
    <w:rsid w:val="001273B0"/>
    <w:rsid w:val="00127CB8"/>
    <w:rsid w:val="001313C3"/>
    <w:rsid w:val="00132F4C"/>
    <w:rsid w:val="00134C68"/>
    <w:rsid w:val="00135FD6"/>
    <w:rsid w:val="001374CF"/>
    <w:rsid w:val="00141CE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5134"/>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0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C5823"/>
    <w:rsid w:val="001D1FA0"/>
    <w:rsid w:val="001D32D4"/>
    <w:rsid w:val="001D3C96"/>
    <w:rsid w:val="001D4383"/>
    <w:rsid w:val="001D4742"/>
    <w:rsid w:val="001D474B"/>
    <w:rsid w:val="001D48B0"/>
    <w:rsid w:val="001D5314"/>
    <w:rsid w:val="001D5549"/>
    <w:rsid w:val="001E0376"/>
    <w:rsid w:val="001E13E0"/>
    <w:rsid w:val="001E2B2B"/>
    <w:rsid w:val="001E353E"/>
    <w:rsid w:val="001E3CBE"/>
    <w:rsid w:val="001E5657"/>
    <w:rsid w:val="001E5F94"/>
    <w:rsid w:val="001E744F"/>
    <w:rsid w:val="001F065A"/>
    <w:rsid w:val="001F1FE7"/>
    <w:rsid w:val="001F25DD"/>
    <w:rsid w:val="001F32B5"/>
    <w:rsid w:val="001F3552"/>
    <w:rsid w:val="001F3A2C"/>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2F45"/>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2A06"/>
    <w:rsid w:val="00244D7B"/>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0355"/>
    <w:rsid w:val="002810E3"/>
    <w:rsid w:val="00282EAA"/>
    <w:rsid w:val="0028384D"/>
    <w:rsid w:val="00283E7B"/>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BB"/>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5705B"/>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15DB"/>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2BA"/>
    <w:rsid w:val="004D1A73"/>
    <w:rsid w:val="004D48C2"/>
    <w:rsid w:val="004D67B1"/>
    <w:rsid w:val="004D7128"/>
    <w:rsid w:val="004D751D"/>
    <w:rsid w:val="004D7534"/>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856"/>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468F2"/>
    <w:rsid w:val="00551120"/>
    <w:rsid w:val="00551539"/>
    <w:rsid w:val="005520A3"/>
    <w:rsid w:val="00552EFE"/>
    <w:rsid w:val="00554ABB"/>
    <w:rsid w:val="0055552D"/>
    <w:rsid w:val="00555668"/>
    <w:rsid w:val="0055679E"/>
    <w:rsid w:val="0056090D"/>
    <w:rsid w:val="00561E9C"/>
    <w:rsid w:val="0056432A"/>
    <w:rsid w:val="00565C7A"/>
    <w:rsid w:val="0056659A"/>
    <w:rsid w:val="00567E14"/>
    <w:rsid w:val="005701C2"/>
    <w:rsid w:val="005705A7"/>
    <w:rsid w:val="0057277E"/>
    <w:rsid w:val="00572F0E"/>
    <w:rsid w:val="00574D60"/>
    <w:rsid w:val="00575318"/>
    <w:rsid w:val="00576DB7"/>
    <w:rsid w:val="00577142"/>
    <w:rsid w:val="005773E5"/>
    <w:rsid w:val="00580019"/>
    <w:rsid w:val="00581AD5"/>
    <w:rsid w:val="00581C4E"/>
    <w:rsid w:val="00582DB0"/>
    <w:rsid w:val="00584B8E"/>
    <w:rsid w:val="00586EFD"/>
    <w:rsid w:val="00587AC1"/>
    <w:rsid w:val="00587DE8"/>
    <w:rsid w:val="00590694"/>
    <w:rsid w:val="00590AA6"/>
    <w:rsid w:val="00591A70"/>
    <w:rsid w:val="00592624"/>
    <w:rsid w:val="00592C04"/>
    <w:rsid w:val="00593AF8"/>
    <w:rsid w:val="00593EC9"/>
    <w:rsid w:val="005964B1"/>
    <w:rsid w:val="005965FD"/>
    <w:rsid w:val="00597FCC"/>
    <w:rsid w:val="005A132A"/>
    <w:rsid w:val="005A337C"/>
    <w:rsid w:val="005A34B0"/>
    <w:rsid w:val="005A3ECF"/>
    <w:rsid w:val="005A6821"/>
    <w:rsid w:val="005B2393"/>
    <w:rsid w:val="005B750A"/>
    <w:rsid w:val="005C0C8B"/>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64F"/>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521"/>
    <w:rsid w:val="00652D22"/>
    <w:rsid w:val="006546F3"/>
    <w:rsid w:val="00656797"/>
    <w:rsid w:val="006571EC"/>
    <w:rsid w:val="0066086B"/>
    <w:rsid w:val="00660A8C"/>
    <w:rsid w:val="006632B2"/>
    <w:rsid w:val="00664084"/>
    <w:rsid w:val="0066445E"/>
    <w:rsid w:val="00667045"/>
    <w:rsid w:val="00670A00"/>
    <w:rsid w:val="00670C23"/>
    <w:rsid w:val="00672B86"/>
    <w:rsid w:val="00672F43"/>
    <w:rsid w:val="00673031"/>
    <w:rsid w:val="00673EB3"/>
    <w:rsid w:val="00676B41"/>
    <w:rsid w:val="00680BE8"/>
    <w:rsid w:val="00686409"/>
    <w:rsid w:val="00686D19"/>
    <w:rsid w:val="0068777F"/>
    <w:rsid w:val="00693018"/>
    <w:rsid w:val="00694EA3"/>
    <w:rsid w:val="006A0059"/>
    <w:rsid w:val="006A7425"/>
    <w:rsid w:val="006B058A"/>
    <w:rsid w:val="006B1299"/>
    <w:rsid w:val="006B26D9"/>
    <w:rsid w:val="006B310C"/>
    <w:rsid w:val="006B664C"/>
    <w:rsid w:val="006C1125"/>
    <w:rsid w:val="006C1C83"/>
    <w:rsid w:val="006C3E78"/>
    <w:rsid w:val="006C54E6"/>
    <w:rsid w:val="006C5762"/>
    <w:rsid w:val="006C690D"/>
    <w:rsid w:val="006D0056"/>
    <w:rsid w:val="006D149F"/>
    <w:rsid w:val="006D3396"/>
    <w:rsid w:val="006D5AFF"/>
    <w:rsid w:val="006D7AAE"/>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78E"/>
    <w:rsid w:val="00712B1B"/>
    <w:rsid w:val="0071622D"/>
    <w:rsid w:val="007168CC"/>
    <w:rsid w:val="007176BB"/>
    <w:rsid w:val="00717811"/>
    <w:rsid w:val="00720A17"/>
    <w:rsid w:val="00720D4B"/>
    <w:rsid w:val="00723A0F"/>
    <w:rsid w:val="00726CB6"/>
    <w:rsid w:val="00727255"/>
    <w:rsid w:val="0072779B"/>
    <w:rsid w:val="00727CCF"/>
    <w:rsid w:val="007300C1"/>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77666"/>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2B97"/>
    <w:rsid w:val="00803CF3"/>
    <w:rsid w:val="00806EAB"/>
    <w:rsid w:val="00810E52"/>
    <w:rsid w:val="00811CA7"/>
    <w:rsid w:val="008157C9"/>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17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221C"/>
    <w:rsid w:val="0089348A"/>
    <w:rsid w:val="00894E9F"/>
    <w:rsid w:val="00895424"/>
    <w:rsid w:val="00896CEC"/>
    <w:rsid w:val="008A06BC"/>
    <w:rsid w:val="008A0AA3"/>
    <w:rsid w:val="008A0EAA"/>
    <w:rsid w:val="008A149F"/>
    <w:rsid w:val="008A19FD"/>
    <w:rsid w:val="008A1A25"/>
    <w:rsid w:val="008A37E6"/>
    <w:rsid w:val="008A4E05"/>
    <w:rsid w:val="008A56DB"/>
    <w:rsid w:val="008A6770"/>
    <w:rsid w:val="008A6CFC"/>
    <w:rsid w:val="008B2125"/>
    <w:rsid w:val="008B25D4"/>
    <w:rsid w:val="008B38E5"/>
    <w:rsid w:val="008B58C4"/>
    <w:rsid w:val="008B6CD2"/>
    <w:rsid w:val="008B72DD"/>
    <w:rsid w:val="008C050B"/>
    <w:rsid w:val="008C1132"/>
    <w:rsid w:val="008C25F7"/>
    <w:rsid w:val="008C302A"/>
    <w:rsid w:val="008C3E42"/>
    <w:rsid w:val="008C4B72"/>
    <w:rsid w:val="008C5279"/>
    <w:rsid w:val="008C527D"/>
    <w:rsid w:val="008C5C9F"/>
    <w:rsid w:val="008C6773"/>
    <w:rsid w:val="008C72BB"/>
    <w:rsid w:val="008D140C"/>
    <w:rsid w:val="008D2BAE"/>
    <w:rsid w:val="008D2C9E"/>
    <w:rsid w:val="008D41F5"/>
    <w:rsid w:val="008D43E3"/>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5C0"/>
    <w:rsid w:val="00923F7E"/>
    <w:rsid w:val="00924C96"/>
    <w:rsid w:val="00925030"/>
    <w:rsid w:val="00925B32"/>
    <w:rsid w:val="00930A64"/>
    <w:rsid w:val="00930BE5"/>
    <w:rsid w:val="00931403"/>
    <w:rsid w:val="00934991"/>
    <w:rsid w:val="009351A7"/>
    <w:rsid w:val="009354BB"/>
    <w:rsid w:val="009426B9"/>
    <w:rsid w:val="00944E85"/>
    <w:rsid w:val="0094634C"/>
    <w:rsid w:val="009463AB"/>
    <w:rsid w:val="00950239"/>
    <w:rsid w:val="00950332"/>
    <w:rsid w:val="009525B5"/>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2F6E"/>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06AE"/>
    <w:rsid w:val="0099128D"/>
    <w:rsid w:val="009917F1"/>
    <w:rsid w:val="00991E37"/>
    <w:rsid w:val="00991E74"/>
    <w:rsid w:val="009926A6"/>
    <w:rsid w:val="0099415E"/>
    <w:rsid w:val="009948BF"/>
    <w:rsid w:val="00997844"/>
    <w:rsid w:val="009978C2"/>
    <w:rsid w:val="00997934"/>
    <w:rsid w:val="009A345F"/>
    <w:rsid w:val="009A3726"/>
    <w:rsid w:val="009A4AE5"/>
    <w:rsid w:val="009A5218"/>
    <w:rsid w:val="009A6806"/>
    <w:rsid w:val="009B1717"/>
    <w:rsid w:val="009B22D2"/>
    <w:rsid w:val="009B2839"/>
    <w:rsid w:val="009B4C17"/>
    <w:rsid w:val="009B5A5D"/>
    <w:rsid w:val="009B5BF6"/>
    <w:rsid w:val="009C1C79"/>
    <w:rsid w:val="009C2424"/>
    <w:rsid w:val="009C339C"/>
    <w:rsid w:val="009C33B8"/>
    <w:rsid w:val="009D07A0"/>
    <w:rsid w:val="009D107D"/>
    <w:rsid w:val="009D1871"/>
    <w:rsid w:val="009D2985"/>
    <w:rsid w:val="009D3033"/>
    <w:rsid w:val="009D5770"/>
    <w:rsid w:val="009D6AF5"/>
    <w:rsid w:val="009D6CF1"/>
    <w:rsid w:val="009D74BA"/>
    <w:rsid w:val="009E0874"/>
    <w:rsid w:val="009E126A"/>
    <w:rsid w:val="009E1A16"/>
    <w:rsid w:val="009E2045"/>
    <w:rsid w:val="009E4A84"/>
    <w:rsid w:val="009E6973"/>
    <w:rsid w:val="009F0466"/>
    <w:rsid w:val="009F05C7"/>
    <w:rsid w:val="009F4200"/>
    <w:rsid w:val="009F4933"/>
    <w:rsid w:val="009F5FD0"/>
    <w:rsid w:val="009F6DD5"/>
    <w:rsid w:val="009F7B12"/>
    <w:rsid w:val="00A020A2"/>
    <w:rsid w:val="00A0297B"/>
    <w:rsid w:val="00A0358E"/>
    <w:rsid w:val="00A049F9"/>
    <w:rsid w:val="00A0529B"/>
    <w:rsid w:val="00A0766F"/>
    <w:rsid w:val="00A10713"/>
    <w:rsid w:val="00A11C14"/>
    <w:rsid w:val="00A11EE6"/>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445C"/>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329"/>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1C1B"/>
    <w:rsid w:val="00AC2BFD"/>
    <w:rsid w:val="00AC4DDD"/>
    <w:rsid w:val="00AC5A43"/>
    <w:rsid w:val="00AC5D2C"/>
    <w:rsid w:val="00AC6B6D"/>
    <w:rsid w:val="00AD03E4"/>
    <w:rsid w:val="00AD3304"/>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5AE"/>
    <w:rsid w:val="00B14F05"/>
    <w:rsid w:val="00B15D01"/>
    <w:rsid w:val="00B20EBF"/>
    <w:rsid w:val="00B24F44"/>
    <w:rsid w:val="00B25428"/>
    <w:rsid w:val="00B255BB"/>
    <w:rsid w:val="00B25E24"/>
    <w:rsid w:val="00B2609A"/>
    <w:rsid w:val="00B26E38"/>
    <w:rsid w:val="00B301B1"/>
    <w:rsid w:val="00B353E7"/>
    <w:rsid w:val="00B35759"/>
    <w:rsid w:val="00B3619A"/>
    <w:rsid w:val="00B365B7"/>
    <w:rsid w:val="00B40BCA"/>
    <w:rsid w:val="00B4308D"/>
    <w:rsid w:val="00B440DA"/>
    <w:rsid w:val="00B4415A"/>
    <w:rsid w:val="00B503CD"/>
    <w:rsid w:val="00B548AB"/>
    <w:rsid w:val="00B54BBE"/>
    <w:rsid w:val="00B553F8"/>
    <w:rsid w:val="00B55F7F"/>
    <w:rsid w:val="00B560B6"/>
    <w:rsid w:val="00B5630E"/>
    <w:rsid w:val="00B62FB6"/>
    <w:rsid w:val="00B635BF"/>
    <w:rsid w:val="00B7050A"/>
    <w:rsid w:val="00B70904"/>
    <w:rsid w:val="00B70A42"/>
    <w:rsid w:val="00B74791"/>
    <w:rsid w:val="00B76AF9"/>
    <w:rsid w:val="00B76DCC"/>
    <w:rsid w:val="00B8115B"/>
    <w:rsid w:val="00B81AE2"/>
    <w:rsid w:val="00B82D30"/>
    <w:rsid w:val="00B87F62"/>
    <w:rsid w:val="00B914A4"/>
    <w:rsid w:val="00B92497"/>
    <w:rsid w:val="00B92D41"/>
    <w:rsid w:val="00B93679"/>
    <w:rsid w:val="00B9422D"/>
    <w:rsid w:val="00B95A1D"/>
    <w:rsid w:val="00B9634B"/>
    <w:rsid w:val="00B97C9A"/>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D5CD9"/>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0410"/>
    <w:rsid w:val="00C11905"/>
    <w:rsid w:val="00C14462"/>
    <w:rsid w:val="00C16542"/>
    <w:rsid w:val="00C22382"/>
    <w:rsid w:val="00C2355B"/>
    <w:rsid w:val="00C274A6"/>
    <w:rsid w:val="00C312DB"/>
    <w:rsid w:val="00C32C50"/>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528"/>
    <w:rsid w:val="00CB0837"/>
    <w:rsid w:val="00CB2BFA"/>
    <w:rsid w:val="00CB3888"/>
    <w:rsid w:val="00CB400E"/>
    <w:rsid w:val="00CB48F6"/>
    <w:rsid w:val="00CB5F04"/>
    <w:rsid w:val="00CB67F1"/>
    <w:rsid w:val="00CB773F"/>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7BE"/>
    <w:rsid w:val="00D20E20"/>
    <w:rsid w:val="00D21C3A"/>
    <w:rsid w:val="00D228DA"/>
    <w:rsid w:val="00D22E01"/>
    <w:rsid w:val="00D238A5"/>
    <w:rsid w:val="00D24621"/>
    <w:rsid w:val="00D2600F"/>
    <w:rsid w:val="00D30EEA"/>
    <w:rsid w:val="00D31534"/>
    <w:rsid w:val="00D32C1F"/>
    <w:rsid w:val="00D33FC2"/>
    <w:rsid w:val="00D35052"/>
    <w:rsid w:val="00D37394"/>
    <w:rsid w:val="00D46156"/>
    <w:rsid w:val="00D46699"/>
    <w:rsid w:val="00D47345"/>
    <w:rsid w:val="00D5073F"/>
    <w:rsid w:val="00D51573"/>
    <w:rsid w:val="00D5399A"/>
    <w:rsid w:val="00D5444F"/>
    <w:rsid w:val="00D54E0D"/>
    <w:rsid w:val="00D54F7D"/>
    <w:rsid w:val="00D57528"/>
    <w:rsid w:val="00D602CA"/>
    <w:rsid w:val="00D60DD8"/>
    <w:rsid w:val="00D64C6C"/>
    <w:rsid w:val="00D66D42"/>
    <w:rsid w:val="00D66E1A"/>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0EA9"/>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2171"/>
    <w:rsid w:val="00E84407"/>
    <w:rsid w:val="00E85E54"/>
    <w:rsid w:val="00E86146"/>
    <w:rsid w:val="00E86A76"/>
    <w:rsid w:val="00E87A90"/>
    <w:rsid w:val="00E904D1"/>
    <w:rsid w:val="00E92425"/>
    <w:rsid w:val="00E92AD3"/>
    <w:rsid w:val="00E959EA"/>
    <w:rsid w:val="00E96237"/>
    <w:rsid w:val="00E965D7"/>
    <w:rsid w:val="00E96D30"/>
    <w:rsid w:val="00EA0C10"/>
    <w:rsid w:val="00EA1327"/>
    <w:rsid w:val="00EA623C"/>
    <w:rsid w:val="00EA6395"/>
    <w:rsid w:val="00EB044B"/>
    <w:rsid w:val="00EB067C"/>
    <w:rsid w:val="00EB073B"/>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1BD9"/>
    <w:rsid w:val="00F22098"/>
    <w:rsid w:val="00F223BC"/>
    <w:rsid w:val="00F23780"/>
    <w:rsid w:val="00F26185"/>
    <w:rsid w:val="00F3178C"/>
    <w:rsid w:val="00F33DE5"/>
    <w:rsid w:val="00F34B8F"/>
    <w:rsid w:val="00F36D7F"/>
    <w:rsid w:val="00F37186"/>
    <w:rsid w:val="00F42FCF"/>
    <w:rsid w:val="00F44A83"/>
    <w:rsid w:val="00F51743"/>
    <w:rsid w:val="00F51E3F"/>
    <w:rsid w:val="00F529D4"/>
    <w:rsid w:val="00F530C2"/>
    <w:rsid w:val="00F54F27"/>
    <w:rsid w:val="00F55FC8"/>
    <w:rsid w:val="00F604E3"/>
    <w:rsid w:val="00F610E6"/>
    <w:rsid w:val="00F61FCC"/>
    <w:rsid w:val="00F66036"/>
    <w:rsid w:val="00F6689D"/>
    <w:rsid w:val="00F67E23"/>
    <w:rsid w:val="00F71601"/>
    <w:rsid w:val="00F72C75"/>
    <w:rsid w:val="00F74033"/>
    <w:rsid w:val="00F759EB"/>
    <w:rsid w:val="00F75EDA"/>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424B"/>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2A51A7B"/>
    <w:rsid w:val="10031A30"/>
    <w:rsid w:val="40063D11"/>
    <w:rsid w:val="41B32188"/>
    <w:rsid w:val="74F45F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99" w:semiHidden="0" w:name="Body Text 3"/>
    <w:lsdException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name="Balloon Text"/>
    <w:lsdException w:qFormat="1"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link w:val="25"/>
    <w:qFormat/>
    <w:uiPriority w:val="99"/>
    <w:pPr>
      <w:keepNext/>
      <w:keepLines/>
      <w:numPr>
        <w:ilvl w:val="0"/>
        <w:numId w:val="1"/>
      </w:numPr>
      <w:spacing w:line="360" w:lineRule="auto"/>
      <w:outlineLvl w:val="0"/>
    </w:pPr>
    <w:rPr>
      <w:b/>
      <w:bCs/>
      <w:kern w:val="44"/>
      <w:sz w:val="22"/>
      <w:szCs w:val="44"/>
    </w:rPr>
  </w:style>
  <w:style w:type="paragraph" w:styleId="3">
    <w:name w:val="heading 2"/>
    <w:basedOn w:val="1"/>
    <w:next w:val="1"/>
    <w:link w:val="26"/>
    <w:qFormat/>
    <w:uiPriority w:val="99"/>
    <w:pPr>
      <w:keepNext/>
      <w:keepLines/>
      <w:spacing w:line="360" w:lineRule="auto"/>
      <w:outlineLvl w:val="1"/>
    </w:pPr>
    <w:rPr>
      <w:bCs/>
      <w:sz w:val="22"/>
      <w:szCs w:val="32"/>
    </w:rPr>
  </w:style>
  <w:style w:type="paragraph" w:styleId="4">
    <w:name w:val="heading 3"/>
    <w:basedOn w:val="1"/>
    <w:next w:val="1"/>
    <w:link w:val="27"/>
    <w:qFormat/>
    <w:uiPriority w:val="99"/>
    <w:pPr>
      <w:keepNext/>
      <w:spacing w:line="360" w:lineRule="auto"/>
      <w:outlineLvl w:val="2"/>
    </w:pPr>
    <w:rPr>
      <w:sz w:val="22"/>
    </w:rPr>
  </w:style>
  <w:style w:type="paragraph" w:styleId="5">
    <w:name w:val="heading 4"/>
    <w:basedOn w:val="1"/>
    <w:next w:val="1"/>
    <w:link w:val="28"/>
    <w:qFormat/>
    <w:uiPriority w:val="99"/>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9"/>
    <w:semiHidden/>
    <w:uiPriority w:val="99"/>
    <w:rPr>
      <w:sz w:val="24"/>
    </w:rPr>
  </w:style>
  <w:style w:type="paragraph" w:styleId="7">
    <w:name w:val="Body Text 3"/>
    <w:basedOn w:val="1"/>
    <w:link w:val="30"/>
    <w:uiPriority w:val="99"/>
    <w:pPr>
      <w:spacing w:after="120"/>
    </w:pPr>
    <w:rPr>
      <w:sz w:val="16"/>
      <w:szCs w:val="16"/>
    </w:rPr>
  </w:style>
  <w:style w:type="paragraph" w:styleId="8">
    <w:name w:val="Body Text"/>
    <w:basedOn w:val="1"/>
    <w:link w:val="31"/>
    <w:qFormat/>
    <w:uiPriority w:val="99"/>
    <w:pPr>
      <w:ind w:right="56"/>
    </w:pPr>
    <w:rPr>
      <w:b/>
      <w:sz w:val="22"/>
    </w:rPr>
  </w:style>
  <w:style w:type="paragraph" w:styleId="9">
    <w:name w:val="Body Text Indent"/>
    <w:basedOn w:val="1"/>
    <w:link w:val="32"/>
    <w:qFormat/>
    <w:uiPriority w:val="99"/>
    <w:pPr>
      <w:spacing w:after="120"/>
      <w:ind w:left="420" w:leftChars="200"/>
    </w:pPr>
  </w:style>
  <w:style w:type="paragraph" w:styleId="10">
    <w:name w:val="toc 3"/>
    <w:basedOn w:val="1"/>
    <w:next w:val="1"/>
    <w:qFormat/>
    <w:uiPriority w:val="99"/>
    <w:pPr>
      <w:tabs>
        <w:tab w:val="right" w:leader="dot" w:pos="8302"/>
        <w:tab w:val="right" w:leader="dot" w:pos="8835"/>
      </w:tabs>
      <w:spacing w:line="360" w:lineRule="auto"/>
      <w:ind w:left="300" w:leftChars="300"/>
    </w:pPr>
    <w:rPr>
      <w:sz w:val="20"/>
    </w:rPr>
  </w:style>
  <w:style w:type="paragraph" w:styleId="11">
    <w:name w:val="Body Text Indent 2"/>
    <w:basedOn w:val="1"/>
    <w:link w:val="33"/>
    <w:uiPriority w:val="99"/>
    <w:pPr>
      <w:spacing w:after="120" w:line="480" w:lineRule="auto"/>
      <w:ind w:left="420" w:leftChars="200"/>
    </w:pPr>
  </w:style>
  <w:style w:type="paragraph" w:styleId="12">
    <w:name w:val="Balloon Text"/>
    <w:basedOn w:val="1"/>
    <w:link w:val="34"/>
    <w:semiHidden/>
    <w:qFormat/>
    <w:uiPriority w:val="99"/>
    <w:rPr>
      <w:sz w:val="18"/>
      <w:szCs w:val="18"/>
    </w:rPr>
  </w:style>
  <w:style w:type="paragraph" w:styleId="13">
    <w:name w:val="footer"/>
    <w:basedOn w:val="1"/>
    <w:link w:val="46"/>
    <w:qFormat/>
    <w:uiPriority w:val="99"/>
    <w:pPr>
      <w:tabs>
        <w:tab w:val="center" w:pos="4320"/>
        <w:tab w:val="right" w:pos="8640"/>
      </w:tabs>
    </w:pPr>
    <w:rPr>
      <w:sz w:val="24"/>
    </w:rPr>
  </w:style>
  <w:style w:type="paragraph" w:styleId="14">
    <w:name w:val="header"/>
    <w:basedOn w:val="1"/>
    <w:link w:val="36"/>
    <w:qFormat/>
    <w:uiPriority w:val="99"/>
    <w:pPr>
      <w:tabs>
        <w:tab w:val="center" w:pos="4320"/>
        <w:tab w:val="right" w:pos="8640"/>
      </w:tabs>
    </w:pPr>
    <w:rPr>
      <w:sz w:val="24"/>
    </w:rPr>
  </w:style>
  <w:style w:type="paragraph" w:styleId="15">
    <w:name w:val="toc 1"/>
    <w:basedOn w:val="1"/>
    <w:next w:val="1"/>
    <w:qFormat/>
    <w:uiPriority w:val="9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99"/>
    <w:pPr>
      <w:widowControl w:val="0"/>
      <w:tabs>
        <w:tab w:val="right" w:leader="dot" w:pos="8302"/>
      </w:tabs>
      <w:overflowPunct/>
      <w:autoSpaceDE/>
      <w:autoSpaceDN/>
      <w:adjustRightInd/>
      <w:spacing w:line="360" w:lineRule="auto"/>
      <w:ind w:left="200" w:leftChars="200"/>
      <w:textAlignment w:val="auto"/>
    </w:pPr>
    <w:rPr>
      <w:kern w:val="2"/>
      <w:lang w:val="en-US" w:eastAsia="zh-CN"/>
    </w:rPr>
  </w:style>
  <w:style w:type="paragraph" w:styleId="17">
    <w:name w:val="Title"/>
    <w:basedOn w:val="1"/>
    <w:next w:val="1"/>
    <w:link w:val="37"/>
    <w:qFormat/>
    <w:uiPriority w:val="99"/>
    <w:pPr>
      <w:spacing w:before="240" w:after="60"/>
      <w:jc w:val="center"/>
      <w:outlineLvl w:val="0"/>
    </w:pPr>
    <w:rPr>
      <w:rFonts w:ascii="Calibri Light" w:hAnsi="Calibri Light"/>
      <w:b/>
      <w:bCs/>
      <w:sz w:val="32"/>
      <w:szCs w:val="32"/>
    </w:rPr>
  </w:style>
  <w:style w:type="paragraph" w:styleId="18">
    <w:name w:val="annotation subject"/>
    <w:basedOn w:val="6"/>
    <w:next w:val="6"/>
    <w:link w:val="38"/>
    <w:semiHidden/>
    <w:qFormat/>
    <w:uiPriority w:val="99"/>
    <w:rPr>
      <w:b/>
      <w:bCs/>
    </w:rPr>
  </w:style>
  <w:style w:type="table" w:styleId="20">
    <w:name w:val="Table Grid"/>
    <w:basedOn w:val="19"/>
    <w:qFormat/>
    <w:uiPriority w:val="9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99"/>
    <w:rPr>
      <w:rFonts w:cs="Times New Roman"/>
    </w:rPr>
  </w:style>
  <w:style w:type="character" w:styleId="23">
    <w:name w:val="Hyperlink"/>
    <w:qFormat/>
    <w:uiPriority w:val="99"/>
    <w:rPr>
      <w:rFonts w:cs="Times New Roman"/>
      <w:color w:val="0000FF"/>
      <w:u w:val="single"/>
    </w:rPr>
  </w:style>
  <w:style w:type="character" w:styleId="24">
    <w:name w:val="annotation reference"/>
    <w:semiHidden/>
    <w:qFormat/>
    <w:uiPriority w:val="99"/>
    <w:rPr>
      <w:rFonts w:cs="Times New Roman"/>
      <w:sz w:val="21"/>
    </w:rPr>
  </w:style>
  <w:style w:type="character" w:customStyle="1" w:styleId="25">
    <w:name w:val="标题 1 Char"/>
    <w:link w:val="2"/>
    <w:qFormat/>
    <w:uiPriority w:val="9"/>
    <w:rPr>
      <w:b/>
      <w:bCs/>
      <w:kern w:val="44"/>
      <w:sz w:val="44"/>
      <w:szCs w:val="44"/>
      <w:lang w:val="en-GB" w:eastAsia="en-US"/>
    </w:rPr>
  </w:style>
  <w:style w:type="character" w:customStyle="1" w:styleId="26">
    <w:name w:val="标题 2 Char"/>
    <w:link w:val="3"/>
    <w:semiHidden/>
    <w:qFormat/>
    <w:uiPriority w:val="9"/>
    <w:rPr>
      <w:rFonts w:ascii="Cambria" w:hAnsi="Cambria" w:eastAsia="宋体" w:cs="Times New Roman"/>
      <w:b/>
      <w:bCs/>
      <w:kern w:val="0"/>
      <w:sz w:val="32"/>
      <w:szCs w:val="32"/>
      <w:lang w:val="en-GB" w:eastAsia="en-US"/>
    </w:rPr>
  </w:style>
  <w:style w:type="character" w:customStyle="1" w:styleId="27">
    <w:name w:val="标题 3 Char"/>
    <w:link w:val="4"/>
    <w:semiHidden/>
    <w:qFormat/>
    <w:uiPriority w:val="9"/>
    <w:rPr>
      <w:b/>
      <w:bCs/>
      <w:kern w:val="0"/>
      <w:sz w:val="32"/>
      <w:szCs w:val="32"/>
      <w:lang w:val="en-GB" w:eastAsia="en-US"/>
    </w:rPr>
  </w:style>
  <w:style w:type="character" w:customStyle="1" w:styleId="28">
    <w:name w:val="标题 4 Char"/>
    <w:link w:val="5"/>
    <w:semiHidden/>
    <w:qFormat/>
    <w:uiPriority w:val="9"/>
    <w:rPr>
      <w:rFonts w:ascii="Cambria" w:hAnsi="Cambria" w:eastAsia="宋体" w:cs="Times New Roman"/>
      <w:b/>
      <w:bCs/>
      <w:kern w:val="0"/>
      <w:sz w:val="28"/>
      <w:szCs w:val="28"/>
      <w:lang w:val="en-GB" w:eastAsia="en-US"/>
    </w:rPr>
  </w:style>
  <w:style w:type="character" w:customStyle="1" w:styleId="29">
    <w:name w:val="批注文字 Char"/>
    <w:link w:val="6"/>
    <w:semiHidden/>
    <w:qFormat/>
    <w:locked/>
    <w:uiPriority w:val="99"/>
    <w:rPr>
      <w:sz w:val="24"/>
      <w:lang w:val="en-GB" w:eastAsia="en-US"/>
    </w:rPr>
  </w:style>
  <w:style w:type="character" w:customStyle="1" w:styleId="30">
    <w:name w:val="正文文本 3 Char"/>
    <w:link w:val="7"/>
    <w:semiHidden/>
    <w:qFormat/>
    <w:uiPriority w:val="99"/>
    <w:rPr>
      <w:kern w:val="0"/>
      <w:sz w:val="16"/>
      <w:szCs w:val="16"/>
      <w:lang w:val="en-GB" w:eastAsia="en-US"/>
    </w:rPr>
  </w:style>
  <w:style w:type="character" w:customStyle="1" w:styleId="31">
    <w:name w:val="正文文本 Char"/>
    <w:link w:val="8"/>
    <w:semiHidden/>
    <w:qFormat/>
    <w:uiPriority w:val="99"/>
    <w:rPr>
      <w:kern w:val="0"/>
      <w:szCs w:val="20"/>
      <w:lang w:val="en-GB" w:eastAsia="en-US"/>
    </w:rPr>
  </w:style>
  <w:style w:type="character" w:customStyle="1" w:styleId="32">
    <w:name w:val="正文文本缩进 Char"/>
    <w:link w:val="9"/>
    <w:semiHidden/>
    <w:qFormat/>
    <w:uiPriority w:val="99"/>
    <w:rPr>
      <w:kern w:val="0"/>
      <w:szCs w:val="20"/>
      <w:lang w:val="en-GB" w:eastAsia="en-US"/>
    </w:rPr>
  </w:style>
  <w:style w:type="character" w:customStyle="1" w:styleId="33">
    <w:name w:val="正文文本缩进 2 Char"/>
    <w:link w:val="11"/>
    <w:semiHidden/>
    <w:qFormat/>
    <w:uiPriority w:val="99"/>
    <w:rPr>
      <w:kern w:val="0"/>
      <w:szCs w:val="20"/>
      <w:lang w:val="en-GB" w:eastAsia="en-US"/>
    </w:rPr>
  </w:style>
  <w:style w:type="character" w:customStyle="1" w:styleId="34">
    <w:name w:val="批注框文本 Char"/>
    <w:link w:val="12"/>
    <w:semiHidden/>
    <w:qFormat/>
    <w:uiPriority w:val="99"/>
    <w:rPr>
      <w:kern w:val="0"/>
      <w:sz w:val="0"/>
      <w:szCs w:val="0"/>
      <w:lang w:val="en-GB" w:eastAsia="en-US"/>
    </w:rPr>
  </w:style>
  <w:style w:type="character" w:customStyle="1" w:styleId="35">
    <w:name w:val="Footer Char"/>
    <w:semiHidden/>
    <w:qFormat/>
    <w:locked/>
    <w:uiPriority w:val="99"/>
    <w:rPr>
      <w:rFonts w:cs="Times New Roman"/>
      <w:sz w:val="18"/>
      <w:szCs w:val="18"/>
    </w:rPr>
  </w:style>
  <w:style w:type="character" w:customStyle="1" w:styleId="36">
    <w:name w:val="页眉 Char"/>
    <w:link w:val="14"/>
    <w:qFormat/>
    <w:locked/>
    <w:uiPriority w:val="99"/>
    <w:rPr>
      <w:rFonts w:eastAsia="宋体"/>
      <w:sz w:val="24"/>
      <w:lang w:val="en-GB" w:eastAsia="en-US"/>
    </w:rPr>
  </w:style>
  <w:style w:type="character" w:customStyle="1" w:styleId="37">
    <w:name w:val="标题 Char"/>
    <w:link w:val="17"/>
    <w:qFormat/>
    <w:locked/>
    <w:uiPriority w:val="99"/>
    <w:rPr>
      <w:rFonts w:ascii="Calibri Light" w:hAnsi="Calibri Light"/>
      <w:b/>
      <w:sz w:val="32"/>
      <w:lang w:val="en-GB" w:eastAsia="en-US"/>
    </w:rPr>
  </w:style>
  <w:style w:type="character" w:customStyle="1" w:styleId="38">
    <w:name w:val="批注主题 Char"/>
    <w:link w:val="18"/>
    <w:semiHidden/>
    <w:qFormat/>
    <w:uiPriority w:val="99"/>
    <w:rPr>
      <w:b/>
      <w:bCs/>
      <w:kern w:val="0"/>
      <w:sz w:val="24"/>
      <w:szCs w:val="20"/>
      <w:lang w:val="en-GB" w:eastAsia="en-US"/>
    </w:rPr>
  </w:style>
  <w:style w:type="paragraph" w:customStyle="1" w:styleId="39">
    <w:name w:val="Table"/>
    <w:basedOn w:val="1"/>
    <w:qFormat/>
    <w:uiPriority w:val="99"/>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40">
    <w:name w:val="Default Text"/>
    <w:basedOn w:val="1"/>
    <w:qFormat/>
    <w:uiPriority w:val="99"/>
    <w:pPr>
      <w:overflowPunct/>
      <w:textAlignment w:val="auto"/>
    </w:pPr>
    <w:rPr>
      <w:rFonts w:ascii="Arial" w:hAnsi="Arial"/>
      <w:szCs w:val="24"/>
      <w:lang w:val="en-US"/>
    </w:rPr>
  </w:style>
  <w:style w:type="paragraph" w:customStyle="1" w:styleId="41">
    <w:name w:val="Style"/>
    <w:basedOn w:val="1"/>
    <w:qFormat/>
    <w:uiPriority w:val="99"/>
    <w:pPr>
      <w:overflowPunct/>
      <w:textAlignment w:val="auto"/>
    </w:pPr>
    <w:rPr>
      <w:rFonts w:ascii="Arial" w:hAnsi="Arial"/>
      <w:szCs w:val="24"/>
      <w:lang w:val="en-US"/>
    </w:rPr>
  </w:style>
  <w:style w:type="paragraph" w:customStyle="1" w:styleId="42">
    <w:name w:val="正文1"/>
    <w:basedOn w:val="1"/>
    <w:qFormat/>
    <w:uiPriority w:val="99"/>
    <w:pPr>
      <w:overflowPunct/>
      <w:textAlignment w:val="auto"/>
    </w:pPr>
    <w:rPr>
      <w:rFonts w:ascii="Arial" w:hAnsi="Arial"/>
      <w:sz w:val="20"/>
      <w:lang w:val="en-US"/>
    </w:rPr>
  </w:style>
  <w:style w:type="paragraph" w:customStyle="1" w:styleId="43">
    <w:name w:val="Revision1"/>
    <w:hidden/>
    <w:semiHidden/>
    <w:qFormat/>
    <w:uiPriority w:val="99"/>
    <w:rPr>
      <w:rFonts w:ascii="Times New Roman" w:hAnsi="Times New Roman" w:eastAsia="宋体" w:cs="Times New Roman"/>
      <w:sz w:val="24"/>
      <w:lang w:val="en-GB" w:eastAsia="en-US" w:bidi="ar-SA"/>
    </w:rPr>
  </w:style>
  <w:style w:type="paragraph" w:styleId="44">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45">
    <w:name w:val="TOC Heading1"/>
    <w:basedOn w:val="2"/>
    <w:next w:val="1"/>
    <w:uiPriority w:val="99"/>
    <w:pPr>
      <w:numPr>
        <w:numId w:val="0"/>
      </w:numPr>
      <w:outlineLvl w:val="9"/>
    </w:pPr>
  </w:style>
  <w:style w:type="character" w:customStyle="1" w:styleId="46">
    <w:name w:val="页脚 Char"/>
    <w:link w:val="13"/>
    <w:qFormat/>
    <w:locked/>
    <w:uiPriority w:val="99"/>
    <w:rPr>
      <w:sz w:val="24"/>
      <w:lang w:val="en-GB" w:eastAsia="en-US"/>
    </w:rPr>
  </w:style>
  <w:style w:type="character" w:customStyle="1" w:styleId="47">
    <w:name w:val="instruction standard blue"/>
    <w:qFormat/>
    <w:uiPriority w:val="99"/>
    <w:rPr>
      <w:i/>
      <w:color w:val="0070C0"/>
    </w:rPr>
  </w:style>
  <w:style w:type="character" w:customStyle="1" w:styleId="48">
    <w:name w:val="keyword"/>
    <w:qFormat/>
    <w:uiPriority w:val="99"/>
    <w:rPr>
      <w:rFonts w:cs="Times New Roman"/>
    </w:rPr>
  </w:style>
  <w:style w:type="paragraph" w:customStyle="1" w:styleId="49">
    <w:name w:val="numbering blue"/>
    <w:basedOn w:val="1"/>
    <w:link w:val="50"/>
    <w:qFormat/>
    <w:uiPriority w:val="99"/>
    <w:pPr>
      <w:numPr>
        <w:ilvl w:val="0"/>
        <w:numId w:val="2"/>
      </w:numPr>
      <w:overflowPunct/>
      <w:autoSpaceDE/>
      <w:autoSpaceDN/>
      <w:adjustRightInd/>
      <w:spacing w:after="120"/>
      <w:ind w:left="357" w:hanging="357"/>
      <w:contextualSpacing/>
      <w:textAlignment w:val="auto"/>
    </w:pPr>
    <w:rPr>
      <w:rFonts w:ascii="Arial" w:hAnsi="Arial" w:eastAsia="PMingLiUfalt"/>
      <w:color w:val="0070C0"/>
      <w:sz w:val="20"/>
      <w:lang w:val="en-US" w:eastAsia="zh-TW"/>
    </w:rPr>
  </w:style>
  <w:style w:type="character" w:customStyle="1" w:styleId="50">
    <w:name w:val="numbering blue Zchn"/>
    <w:link w:val="49"/>
    <w:locked/>
    <w:uiPriority w:val="99"/>
    <w:rPr>
      <w:rFonts w:ascii="Arial" w:hAnsi="Arial" w:eastAsia="PMingLiUfalt"/>
      <w:color w:val="0070C0"/>
      <w:lang w:eastAsia="zh-TW"/>
    </w:rPr>
  </w:style>
  <w:style w:type="paragraph" w:customStyle="1" w:styleId="51">
    <w:name w:val="Default"/>
    <w:qFormat/>
    <w:uiPriority w:val="0"/>
    <w:pPr>
      <w:widowControl w:val="0"/>
      <w:autoSpaceDE w:val="0"/>
      <w:autoSpaceDN w:val="0"/>
    </w:pPr>
    <w:rPr>
      <w:rFonts w:ascii="Arial" w:hAnsi="Arial" w:eastAsia="宋体" w:cs="Times New Roman"/>
      <w:color w:val="000000"/>
      <w:sz w:val="24"/>
      <w:lang w:val="en-US" w:eastAsia="zh-CN" w:bidi="ar-SA"/>
    </w:rPr>
  </w:style>
  <w:style w:type="character" w:customStyle="1" w:styleId="52">
    <w:name w:val="Text Char"/>
    <w:link w:val="53"/>
    <w:qFormat/>
    <w:locked/>
    <w:uiPriority w:val="0"/>
    <w:rPr>
      <w:sz w:val="24"/>
      <w:lang w:eastAsia="en-US"/>
    </w:rPr>
  </w:style>
  <w:style w:type="paragraph" w:customStyle="1" w:styleId="53">
    <w:name w:val="Text"/>
    <w:basedOn w:val="1"/>
    <w:link w:val="52"/>
    <w:qFormat/>
    <w:uiPriority w:val="0"/>
    <w:pPr>
      <w:overflowPunct/>
      <w:autoSpaceDE/>
      <w:autoSpaceDN/>
      <w:adjustRightInd/>
      <w:spacing w:before="120"/>
      <w:jc w:val="both"/>
      <w:textAlignment w:val="auto"/>
    </w:pPr>
    <w:rPr>
      <w:sz w:val="24"/>
      <w:lang w:val="en-US"/>
    </w:rPr>
  </w:style>
  <w:style w:type="character" w:customStyle="1" w:styleId="54">
    <w:name w:val="ordinary-span-edit2"/>
    <w:qFormat/>
    <w:uiPriority w:val="99"/>
  </w:style>
  <w:style w:type="character" w:customStyle="1" w:styleId="55">
    <w:name w:val="apple-converted-space"/>
    <w:qFormat/>
    <w:uiPriority w:val="99"/>
    <w:rPr>
      <w:rFonts w:cs="Times New Roman"/>
    </w:rPr>
  </w:style>
  <w:style w:type="paragraph" w:customStyle="1" w:styleId="56">
    <w:name w:val="Table text"/>
    <w:basedOn w:val="1"/>
    <w:qFormat/>
    <w:uiPriority w:val="0"/>
    <w:pPr>
      <w:overflowPunct/>
      <w:autoSpaceDE/>
      <w:autoSpaceDN/>
      <w:adjustRightInd/>
      <w:spacing w:before="120" w:after="120"/>
      <w:jc w:val="both"/>
      <w:textAlignment w:val="auto"/>
    </w:pPr>
    <w:rPr>
      <w:lang w:val="en-US"/>
    </w:rPr>
  </w:style>
  <w:style w:type="paragraph" w:customStyle="1" w:styleId="57">
    <w:name w:val="Revision"/>
    <w:hidden/>
    <w:semiHidden/>
    <w:qFormat/>
    <w:uiPriority w:val="99"/>
    <w:rPr>
      <w:rFonts w:ascii="Times New Roman" w:hAnsi="Times New Roman" w:eastAsia="宋体" w:cs="Times New Roman"/>
      <w:sz w:val="21"/>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07606B-1EBD-425F-B587-ACD6DC343251}">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14</Pages>
  <Words>969</Words>
  <Characters>5524</Characters>
  <Lines>46</Lines>
  <Paragraphs>12</Paragraphs>
  <TotalTime>79</TotalTime>
  <ScaleCrop>false</ScaleCrop>
  <LinksUpToDate>false</LinksUpToDate>
  <CharactersWithSpaces>6481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2021-03-21T02:29:00Z</dcterms:created>
  <dc:creator>Lilly</dc:creator>
  <cp:lastModifiedBy>汪洋</cp:lastModifiedBy>
  <cp:lastPrinted>2021-03-25T02:06:00Z</cp:lastPrinted>
  <dcterms:modified xsi:type="dcterms:W3CDTF">2022-10-27T02:45:30Z</dcterms:modified>
  <dc:title>生效期：</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