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4532399"/>
      <w:bookmarkStart w:id="2" w:name="_Toc483400307"/>
      <w:bookmarkStart w:id="3" w:name="_Toc483227223"/>
      <w:bookmarkStart w:id="4" w:name="_Toc482717189"/>
    </w:p>
    <w:p>
      <w:pPr>
        <w:spacing w:after="158" w:afterLines="50"/>
        <w:jc w:val="center"/>
        <w:rPr>
          <w:b/>
          <w:szCs w:val="21"/>
          <w:lang w:eastAsia="zh-CN"/>
        </w:rPr>
      </w:pPr>
      <w:permStart w:id="0" w:edGrp="everyone"/>
      <w:r>
        <w:rPr>
          <w:rFonts w:hint="eastAsia"/>
          <w:b/>
          <w:color w:val="000000" w:themeColor="text1"/>
          <w:sz w:val="28"/>
          <w:szCs w:val="28"/>
          <w:lang w:eastAsia="zh-CN"/>
          <w14:textFill>
            <w14:solidFill>
              <w14:schemeClr w14:val="tx1"/>
            </w14:solidFill>
          </w14:textFill>
        </w:rPr>
        <w:t>细胞基质流感疫苗车间（一期）7.5L生物反应器</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4"/>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4"/>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4"/>
        </w:rPr>
        <w:t>1</w:t>
      </w:r>
      <w:r>
        <w:rPr>
          <w:b w:val="0"/>
          <w:bCs w:val="0"/>
          <w:caps w:val="0"/>
          <w:szCs w:val="22"/>
        </w:rPr>
        <w:tab/>
      </w:r>
      <w:r>
        <w:rPr>
          <w:rStyle w:val="24"/>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4"/>
        </w:rPr>
        <w:t>2</w:t>
      </w:r>
      <w:r>
        <w:rPr>
          <w:b w:val="0"/>
          <w:bCs w:val="0"/>
          <w:caps w:val="0"/>
          <w:szCs w:val="22"/>
        </w:rPr>
        <w:tab/>
      </w:r>
      <w:r>
        <w:rPr>
          <w:rStyle w:val="24"/>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4"/>
        </w:rPr>
        <w:t>3</w:t>
      </w:r>
      <w:r>
        <w:rPr>
          <w:b w:val="0"/>
          <w:bCs w:val="0"/>
          <w:caps w:val="0"/>
          <w:szCs w:val="22"/>
        </w:rPr>
        <w:tab/>
      </w:r>
      <w:r>
        <w:rPr>
          <w:rStyle w:val="24"/>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4"/>
        </w:rPr>
        <w:t>4</w:t>
      </w:r>
      <w:r>
        <w:rPr>
          <w:b w:val="0"/>
          <w:bCs w:val="0"/>
          <w:caps w:val="0"/>
          <w:szCs w:val="22"/>
        </w:rPr>
        <w:tab/>
      </w:r>
      <w:r>
        <w:rPr>
          <w:rStyle w:val="24"/>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4"/>
        </w:rPr>
        <w:t>5</w:t>
      </w:r>
      <w:r>
        <w:rPr>
          <w:b w:val="0"/>
          <w:bCs w:val="0"/>
          <w:caps w:val="0"/>
          <w:szCs w:val="22"/>
        </w:rPr>
        <w:tab/>
      </w:r>
      <w:r>
        <w:rPr>
          <w:rStyle w:val="24"/>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4"/>
        </w:rPr>
        <w:t>6</w:t>
      </w:r>
      <w:r>
        <w:rPr>
          <w:b w:val="0"/>
          <w:bCs w:val="0"/>
          <w:caps w:val="0"/>
          <w:szCs w:val="22"/>
        </w:rPr>
        <w:tab/>
      </w:r>
      <w:r>
        <w:rPr>
          <w:rStyle w:val="24"/>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4"/>
        </w:rPr>
        <w:t>7</w:t>
      </w:r>
      <w:r>
        <w:rPr>
          <w:b w:val="0"/>
          <w:bCs w:val="0"/>
          <w:caps w:val="0"/>
          <w:szCs w:val="22"/>
        </w:rPr>
        <w:tab/>
      </w:r>
      <w:r>
        <w:rPr>
          <w:rStyle w:val="24"/>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4"/>
        </w:rPr>
        <w:t>8</w:t>
      </w:r>
      <w:r>
        <w:rPr>
          <w:b w:val="0"/>
          <w:bCs w:val="0"/>
          <w:caps w:val="0"/>
          <w:szCs w:val="22"/>
        </w:rPr>
        <w:tab/>
      </w:r>
      <w:r>
        <w:rPr>
          <w:rStyle w:val="24"/>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4"/>
        </w:rPr>
        <w:t>9</w:t>
      </w:r>
      <w:r>
        <w:rPr>
          <w:b w:val="0"/>
          <w:bCs w:val="0"/>
          <w:caps w:val="0"/>
          <w:szCs w:val="22"/>
        </w:rPr>
        <w:tab/>
      </w:r>
      <w:r>
        <w:rPr>
          <w:rStyle w:val="24"/>
        </w:rPr>
        <w:t>安全要求</w:t>
      </w:r>
      <w:r>
        <w:tab/>
      </w:r>
      <w:r>
        <w:fldChar w:fldCharType="begin"/>
      </w:r>
      <w:r>
        <w:instrText xml:space="preserve"> PAGEREF _Toc522716123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4"/>
        </w:rPr>
        <w:t>10</w:t>
      </w:r>
      <w:r>
        <w:rPr>
          <w:b w:val="0"/>
          <w:bCs w:val="0"/>
          <w:caps w:val="0"/>
          <w:szCs w:val="22"/>
        </w:rPr>
        <w:tab/>
      </w:r>
      <w:r>
        <w:rPr>
          <w:rStyle w:val="24"/>
        </w:rPr>
        <w:t>文件要求</w:t>
      </w:r>
      <w:r>
        <w:tab/>
      </w:r>
      <w:r>
        <w:fldChar w:fldCharType="begin"/>
      </w:r>
      <w:r>
        <w:instrText xml:space="preserve"> PAGEREF _Toc522716124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4"/>
        </w:rPr>
        <w:t>11</w:t>
      </w:r>
      <w:r>
        <w:rPr>
          <w:b w:val="0"/>
          <w:bCs w:val="0"/>
          <w:caps w:val="0"/>
          <w:szCs w:val="22"/>
        </w:rPr>
        <w:tab/>
      </w:r>
      <w:r>
        <w:rPr>
          <w:rStyle w:val="24"/>
        </w:rPr>
        <w:t>服务要求</w:t>
      </w:r>
      <w:r>
        <w:tab/>
      </w:r>
      <w:r>
        <w:fldChar w:fldCharType="begin"/>
      </w:r>
      <w:r>
        <w:instrText xml:space="preserve"> PAGEREF _Toc522716125 \h </w:instrText>
      </w:r>
      <w:r>
        <w:fldChar w:fldCharType="separate"/>
      </w:r>
      <w:r>
        <w:t>9</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4"/>
        </w:rPr>
        <w:t>12</w:t>
      </w:r>
      <w:r>
        <w:rPr>
          <w:b w:val="0"/>
          <w:bCs w:val="0"/>
          <w:caps w:val="0"/>
          <w:szCs w:val="22"/>
        </w:rPr>
        <w:tab/>
      </w:r>
      <w:r>
        <w:rPr>
          <w:rStyle w:val="24"/>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2"/>
        <w:numPr>
          <w:ilvl w:val="0"/>
          <w:numId w:val="3"/>
        </w:numPr>
        <w:spacing w:after="158" w:afterLines="50"/>
        <w:ind w:left="426" w:hanging="426" w:hangingChars="202"/>
        <w:outlineLvl w:val="0"/>
        <w:rPr>
          <w:rFonts w:ascii="Times New Roman" w:hAnsi="Times New Roman"/>
          <w:b/>
        </w:rPr>
      </w:pPr>
      <w:bookmarkStart w:id="6" w:name="_Toc522716115"/>
      <w:bookmarkStart w:id="7" w:name="_Toc522107735"/>
      <w:r>
        <w:rPr>
          <w:rFonts w:ascii="Times New Roman" w:hAnsi="Times New Roman"/>
          <w:b/>
        </w:rPr>
        <w:t>目的</w:t>
      </w:r>
      <w:bookmarkEnd w:id="6"/>
      <w:bookmarkEnd w:id="7"/>
    </w:p>
    <w:p>
      <w:pPr>
        <w:pStyle w:val="42"/>
        <w:spacing w:before="0" w:line="360" w:lineRule="auto"/>
        <w:ind w:left="357"/>
        <w:jc w:val="left"/>
        <w:rPr>
          <w:szCs w:val="21"/>
          <w:lang w:eastAsia="zh-CN"/>
        </w:rPr>
      </w:pPr>
      <w:bookmarkStart w:id="8" w:name="_Toc482360281"/>
      <w:bookmarkStart w:id="9" w:name="_Toc481702475"/>
      <w:bookmarkStart w:id="10" w:name="_Toc482370141"/>
      <w:bookmarkStart w:id="11" w:name="_Toc482370757"/>
      <w:bookmarkStart w:id="12" w:name="_Toc482359936"/>
      <w:bookmarkStart w:id="13" w:name="_Toc482369805"/>
      <w:bookmarkStart w:id="14" w:name="_Toc482370061"/>
      <w:bookmarkStart w:id="15" w:name="_Toc482370349"/>
      <w:bookmarkStart w:id="16" w:name="_Toc482625279"/>
      <w:r>
        <w:rPr>
          <w:szCs w:val="21"/>
          <w:lang w:eastAsia="zh-CN"/>
        </w:rPr>
        <w:t>本文件的目的是描述武汉生物制品研究所有限责任公司</w:t>
      </w:r>
      <w:permStart w:id="3" w:edGrp="everyone"/>
      <w:r>
        <w:rPr>
          <w:rFonts w:hint="eastAsia"/>
          <w:color w:val="000000" w:themeColor="text1"/>
          <w:szCs w:val="21"/>
          <w:lang w:eastAsia="zh-CN"/>
          <w14:textFill>
            <w14:solidFill>
              <w14:schemeClr w14:val="tx1"/>
            </w14:solidFill>
          </w14:textFill>
        </w:rPr>
        <w:t>细胞基质流感疫苗车间（一期）7.5L</w:t>
      </w:r>
      <w:r>
        <w:rPr>
          <w:color w:val="000000" w:themeColor="text1"/>
          <w:szCs w:val="21"/>
          <w:lang w:eastAsia="zh-CN"/>
          <w14:textFill>
            <w14:solidFill>
              <w14:schemeClr w14:val="tx1"/>
            </w14:solidFill>
          </w14:textFill>
        </w:rPr>
        <w:t>生物反应器</w:t>
      </w:r>
      <w:permEnd w:id="3"/>
      <w:r>
        <w:rPr>
          <w:szCs w:val="21"/>
          <w:lang w:eastAsia="zh-CN"/>
        </w:rPr>
        <w:t>的用户需求说明（URS），以确保最终用户的需求在项目设计阶段得以实现，并作为后续验证工作的基础。</w:t>
      </w:r>
    </w:p>
    <w:p>
      <w:pPr>
        <w:pStyle w:val="42"/>
        <w:spacing w:before="0"/>
        <w:ind w:left="360"/>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42"/>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color w:val="000000" w:themeColor="text1"/>
          <w:szCs w:val="21"/>
          <w:lang w:eastAsia="zh-CN"/>
          <w14:textFill>
            <w14:solidFill>
              <w14:schemeClr w14:val="tx1"/>
            </w14:solidFill>
          </w14:textFill>
        </w:rPr>
        <w:t>细胞基质流感疫苗车间（一期）7.5L</w:t>
      </w:r>
      <w:r>
        <w:rPr>
          <w:color w:val="000000" w:themeColor="text1"/>
          <w:szCs w:val="21"/>
          <w:lang w:eastAsia="zh-CN"/>
          <w14:textFill>
            <w14:solidFill>
              <w14:schemeClr w14:val="tx1"/>
            </w14:solidFill>
          </w14:textFill>
        </w:rPr>
        <w:t>生物反应器</w:t>
      </w:r>
      <w:permEnd w:id="4"/>
      <w:r>
        <w:rPr>
          <w:szCs w:val="21"/>
          <w:lang w:eastAsia="zh-CN"/>
        </w:rPr>
        <w:t>。</w:t>
      </w:r>
      <w:bookmarkEnd w:id="8"/>
      <w:bookmarkEnd w:id="9"/>
      <w:bookmarkEnd w:id="10"/>
      <w:bookmarkEnd w:id="11"/>
      <w:bookmarkEnd w:id="12"/>
      <w:bookmarkEnd w:id="13"/>
      <w:bookmarkEnd w:id="14"/>
      <w:bookmarkEnd w:id="15"/>
      <w:bookmarkEnd w:id="16"/>
    </w:p>
    <w:p>
      <w:pPr>
        <w:pStyle w:val="42"/>
        <w:spacing w:before="0" w:line="360" w:lineRule="auto"/>
        <w:ind w:left="357"/>
        <w:jc w:val="left"/>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42"/>
        <w:numPr>
          <w:ilvl w:val="0"/>
          <w:numId w:val="4"/>
        </w:numPr>
        <w:spacing w:before="0" w:line="360" w:lineRule="auto"/>
        <w:jc w:val="left"/>
        <w:rPr>
          <w:color w:val="000000"/>
          <w:szCs w:val="21"/>
          <w:lang w:eastAsia="zh-CN"/>
        </w:rPr>
      </w:pPr>
      <w:r>
        <w:rPr>
          <w:color w:val="000000"/>
          <w:szCs w:val="21"/>
          <w:lang w:eastAsia="zh-CN"/>
        </w:rPr>
        <w:t>GMP法规指南和SOP</w:t>
      </w:r>
    </w:p>
    <w:p>
      <w:pPr>
        <w:pStyle w:val="42"/>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2"/>
        <w:numPr>
          <w:ilvl w:val="0"/>
          <w:numId w:val="5"/>
        </w:numPr>
        <w:spacing w:before="0" w:line="360" w:lineRule="auto"/>
        <w:ind w:left="777"/>
        <w:jc w:val="left"/>
        <w:rPr>
          <w:color w:val="000000" w:themeColor="text1"/>
          <w:szCs w:val="21"/>
          <w:lang w:eastAsia="zh-CN"/>
          <w14:textFill>
            <w14:solidFill>
              <w14:schemeClr w14:val="tx1"/>
            </w14:solidFill>
          </w14:textFill>
        </w:rPr>
      </w:pPr>
      <w:permStart w:id="5" w:edGrp="everyone"/>
      <w:r>
        <w:rPr>
          <w:color w:val="000000" w:themeColor="text1"/>
          <w:szCs w:val="21"/>
          <w:lang w:eastAsia="zh-CN"/>
          <w14:textFill>
            <w14:solidFill>
              <w14:schemeClr w14:val="tx1"/>
            </w14:solidFill>
          </w14:textFill>
        </w:rPr>
        <w:t xml:space="preserve">中国药典 </w:t>
      </w:r>
      <w:r>
        <w:rPr>
          <w:color w:val="000000" w:themeColor="text1"/>
          <w:szCs w:val="21"/>
          <w14:textFill>
            <w14:solidFill>
              <w14:schemeClr w14:val="tx1"/>
            </w14:solidFill>
          </w14:textFill>
        </w:rPr>
        <w:t>20</w:t>
      </w:r>
      <w:r>
        <w:rPr>
          <w:rFonts w:hint="eastAsia"/>
          <w:color w:val="000000" w:themeColor="text1"/>
          <w:szCs w:val="21"/>
          <w:lang w:eastAsia="zh-CN"/>
          <w14:textFill>
            <w14:solidFill>
              <w14:schemeClr w14:val="tx1"/>
            </w14:solidFill>
          </w14:textFill>
        </w:rPr>
        <w:t>20</w:t>
      </w:r>
      <w:r>
        <w:rPr>
          <w:color w:val="000000" w:themeColor="text1"/>
          <w:szCs w:val="21"/>
          <w14:textFill>
            <w14:solidFill>
              <w14:schemeClr w14:val="tx1"/>
            </w14:solidFill>
          </w14:textFill>
        </w:rPr>
        <w:t>年版</w:t>
      </w:r>
    </w:p>
    <w:p>
      <w:pPr>
        <w:pStyle w:val="42"/>
        <w:numPr>
          <w:ilvl w:val="0"/>
          <w:numId w:val="5"/>
        </w:numPr>
        <w:spacing w:before="0" w:line="360" w:lineRule="auto"/>
        <w:ind w:left="777"/>
        <w:jc w:val="left"/>
        <w:rPr>
          <w:color w:val="000000" w:themeColor="text1"/>
          <w:szCs w:val="21"/>
          <w:lang w:eastAsia="zh-CN"/>
          <w14:textFill>
            <w14:solidFill>
              <w14:schemeClr w14:val="tx1"/>
            </w14:solidFill>
          </w14:textFill>
        </w:rPr>
      </w:pPr>
      <w:r>
        <w:rPr>
          <w:rFonts w:hint="eastAsia"/>
          <w:lang w:eastAsia="zh-CN"/>
        </w:rPr>
        <w:t>GAMP5</w:t>
      </w:r>
    </w:p>
    <w:p>
      <w:pPr>
        <w:pStyle w:val="42"/>
        <w:numPr>
          <w:ilvl w:val="0"/>
          <w:numId w:val="5"/>
        </w:numPr>
        <w:spacing w:before="0" w:line="360" w:lineRule="auto"/>
        <w:ind w:left="777"/>
        <w:jc w:val="left"/>
        <w:rPr>
          <w:color w:val="000000" w:themeColor="text1"/>
          <w:szCs w:val="21"/>
          <w:lang w:eastAsia="zh-CN"/>
          <w14:textFill>
            <w14:solidFill>
              <w14:schemeClr w14:val="tx1"/>
            </w14:solidFill>
          </w14:textFill>
        </w:rPr>
      </w:pPr>
      <w:r>
        <w:rPr>
          <w:rFonts w:hint="eastAsia"/>
          <w:lang w:eastAsia="zh-CN"/>
        </w:rPr>
        <w:t>药品生产质量管理规范（2010年修订）及其附录</w:t>
      </w:r>
    </w:p>
    <w:permEnd w:id="5"/>
    <w:p>
      <w:pPr>
        <w:pStyle w:val="42"/>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2"/>
        <w:numPr>
          <w:ilvl w:val="0"/>
          <w:numId w:val="5"/>
        </w:numPr>
        <w:spacing w:before="0" w:line="360" w:lineRule="auto"/>
        <w:ind w:left="777"/>
        <w:jc w:val="left"/>
        <w:rPr>
          <w:color w:val="000000" w:themeColor="text1"/>
          <w:szCs w:val="21"/>
          <w:lang w:eastAsia="zh-CN"/>
          <w14:textFill>
            <w14:solidFill>
              <w14:schemeClr w14:val="tx1"/>
            </w14:solidFill>
          </w14:textFill>
        </w:rPr>
      </w:pPr>
      <w:permStart w:id="6" w:edGrp="everyone"/>
      <w:r>
        <w:rPr>
          <w:color w:val="000000" w:themeColor="text1"/>
          <w:szCs w:val="21"/>
          <w:lang w:eastAsia="zh-CN"/>
          <w14:textFill>
            <w14:solidFill>
              <w14:schemeClr w14:val="tx1"/>
            </w14:solidFill>
          </w14:textFill>
        </w:rPr>
        <w:t>电气安全应符合GB4793.1和GB4793.4的要求。</w:t>
      </w:r>
    </w:p>
    <w:permEnd w:id="6"/>
    <w:p>
      <w:pPr>
        <w:pStyle w:val="42"/>
        <w:spacing w:before="0" w:line="360" w:lineRule="auto"/>
        <w:ind w:left="357"/>
        <w:jc w:val="left"/>
        <w:rPr>
          <w:i/>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permStart w:id="7" w:edGrp="everyone"/>
      <w:permEnd w:id="7"/>
      <w:r>
        <w:rPr>
          <w:rFonts w:ascii="Times New Roman" w:hAnsi="Times New Roman"/>
          <w:b/>
        </w:rPr>
        <w:t>系统描述</w:t>
      </w:r>
      <w:bookmarkEnd w:id="21"/>
      <w:bookmarkEnd w:id="22"/>
    </w:p>
    <w:p>
      <w:pPr>
        <w:pStyle w:val="42"/>
        <w:spacing w:before="0" w:line="360" w:lineRule="auto"/>
        <w:ind w:left="357"/>
        <w:jc w:val="left"/>
        <w:rPr>
          <w:i/>
          <w:color w:val="4472C4"/>
          <w:szCs w:val="21"/>
          <w:lang w:eastAsia="zh-CN"/>
        </w:rPr>
      </w:pPr>
      <w:permStart w:id="8" w:edGrp="everyone"/>
      <w:r>
        <w:rPr>
          <w:rFonts w:hint="eastAsia"/>
          <w:color w:val="000000" w:themeColor="text1"/>
          <w:szCs w:val="21"/>
          <w:lang w:eastAsia="zh-CN"/>
          <w14:textFill>
            <w14:solidFill>
              <w14:schemeClr w14:val="tx1"/>
            </w14:solidFill>
          </w14:textFill>
        </w:rPr>
        <w:t>细胞基质流感疫苗车间（一期）</w:t>
      </w:r>
      <w:r>
        <w:rPr>
          <w:color w:val="000000" w:themeColor="text1"/>
          <w:szCs w:val="21"/>
          <w:lang w:eastAsia="zh-CN"/>
          <w14:textFill>
            <w14:solidFill>
              <w14:schemeClr w14:val="tx1"/>
            </w14:solidFill>
          </w14:textFill>
        </w:rPr>
        <w:t>拟购置</w:t>
      </w:r>
      <w:r>
        <w:rPr>
          <w:rFonts w:hint="eastAsia"/>
          <w:color w:val="000000" w:themeColor="text1"/>
          <w:szCs w:val="21"/>
          <w:lang w:eastAsia="zh-CN"/>
          <w14:textFill>
            <w14:solidFill>
              <w14:schemeClr w14:val="tx1"/>
            </w14:solidFill>
          </w14:textFill>
        </w:rPr>
        <w:t>三</w:t>
      </w:r>
      <w:r>
        <w:rPr>
          <w:color w:val="000000" w:themeColor="text1"/>
          <w:szCs w:val="21"/>
          <w:lang w:eastAsia="zh-CN"/>
          <w14:textFill>
            <w14:solidFill>
              <w14:schemeClr w14:val="tx1"/>
            </w14:solidFill>
          </w14:textFill>
        </w:rPr>
        <w:t>台</w:t>
      </w:r>
      <w:r>
        <w:rPr>
          <w:rFonts w:hint="eastAsia"/>
          <w:color w:val="000000" w:themeColor="text1"/>
          <w:szCs w:val="21"/>
          <w:lang w:eastAsia="zh-CN"/>
          <w14:textFill>
            <w14:solidFill>
              <w14:schemeClr w14:val="tx1"/>
            </w14:solidFill>
          </w14:textFill>
        </w:rPr>
        <w:t>7.5L反应器，用于本车间细胞培养等操作。</w:t>
      </w:r>
      <w:permEnd w:id="8"/>
    </w:p>
    <w:p>
      <w:pPr>
        <w:pStyle w:val="32"/>
        <w:numPr>
          <w:ilvl w:val="0"/>
          <w:numId w:val="3"/>
        </w:numPr>
        <w:spacing w:after="158" w:afterLines="50"/>
        <w:ind w:left="426" w:hanging="426" w:hangingChars="202"/>
        <w:outlineLvl w:val="0"/>
        <w:rPr>
          <w:rFonts w:ascii="Times New Roman" w:hAnsi="Times New Roman"/>
          <w:szCs w:val="21"/>
        </w:rPr>
      </w:pPr>
      <w:bookmarkStart w:id="23" w:name="_Toc522716120"/>
      <w:r>
        <w:rPr>
          <w:rFonts w:ascii="Times New Roman" w:hAnsi="Times New Roman"/>
          <w:b/>
          <w:szCs w:val="21"/>
        </w:rPr>
        <w:t>安装要求</w:t>
      </w:r>
      <w:bookmarkEnd w:id="23"/>
      <w:bookmarkStart w:id="50" w:name="_GoBack"/>
      <w:bookmarkEnd w:id="50"/>
      <w:permStart w:id="9" w:edGrp="everyone"/>
      <w:permEnd w:id="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2"/>
            <w:bookmarkStart w:id="25"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color w:val="0070C0"/>
                <w:szCs w:val="21"/>
                <w:lang w:val="en-US" w:eastAsia="zh-CN"/>
              </w:rPr>
            </w:pPr>
            <w:r>
              <w:rPr>
                <w:rFonts w:hint="eastAsia"/>
                <w:color w:val="000000" w:themeColor="text1"/>
                <w:szCs w:val="21"/>
                <w:lang w:eastAsia="zh-CN"/>
                <w14:textFill>
                  <w14:solidFill>
                    <w14:schemeClr w14:val="tx1"/>
                  </w14:solidFill>
                </w14:textFill>
              </w:rPr>
              <w:t>细胞基质流感疫苗车间（一期）反应器间</w:t>
            </w:r>
            <w:r>
              <w:rPr>
                <w:rFonts w:hint="eastAsia"/>
                <w:color w:val="000000" w:themeColor="text1"/>
                <w:szCs w:val="21"/>
                <w:lang w:val="en-US" w:eastAsia="zh-CN"/>
                <w14:textFill>
                  <w14:solidFill>
                    <w14:schemeClr w14:val="tx1"/>
                  </w14:solidFill>
                </w14:textFill>
              </w:rPr>
              <w:t>1</w:t>
            </w:r>
          </w:p>
        </w:tc>
        <w:tc>
          <w:tcPr>
            <w:tcW w:w="2125" w:type="dxa"/>
            <w:shd w:val="clear" w:color="auto" w:fill="auto"/>
            <w:vAlign w:val="center"/>
          </w:tcPr>
          <w:p>
            <w:pPr>
              <w:jc w:val="both"/>
              <w:rPr>
                <w:szCs w:val="21"/>
                <w:lang w:eastAsia="zh-CN"/>
              </w:rPr>
            </w:pPr>
            <w:r>
              <w:rPr>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color w:val="0070C0"/>
                <w:szCs w:val="21"/>
                <w:lang w:eastAsia="zh-CN"/>
              </w:rPr>
            </w:pPr>
            <w:r>
              <w:rPr>
                <w:color w:val="000000" w:themeColor="text1"/>
                <w:szCs w:val="21"/>
                <w:lang w:eastAsia="zh-CN"/>
                <w14:textFill>
                  <w14:solidFill>
                    <w14:schemeClr w14:val="tx1"/>
                  </w14:solidFill>
                </w14:textFill>
              </w:rPr>
              <w:t>供应商必须给出设备选型方案及相应附件选型方案，并交给我公司使用部门及工程类部门审核。</w:t>
            </w:r>
          </w:p>
        </w:tc>
        <w:tc>
          <w:tcPr>
            <w:tcW w:w="2125" w:type="dxa"/>
            <w:shd w:val="clear" w:color="auto" w:fill="auto"/>
            <w:vAlign w:val="center"/>
          </w:tcPr>
          <w:p>
            <w:pPr>
              <w:jc w:val="both"/>
              <w:rPr>
                <w:szCs w:val="21"/>
                <w:lang w:eastAsia="zh-CN"/>
              </w:rPr>
            </w:pPr>
            <w:r>
              <w:rPr>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color w:val="0070C0"/>
                <w:szCs w:val="21"/>
                <w:lang w:eastAsia="zh-CN"/>
              </w:rPr>
            </w:pPr>
            <w:r>
              <w:rPr>
                <w:rFonts w:hint="eastAsia"/>
                <w:color w:val="000000" w:themeColor="text1"/>
                <w:szCs w:val="21"/>
                <w:lang w:eastAsia="zh-CN"/>
                <w14:textFill>
                  <w14:solidFill>
                    <w14:schemeClr w14:val="tx1"/>
                  </w14:solidFill>
                </w14:textFill>
              </w:rPr>
              <w:t>符合桌面基本承重</w:t>
            </w:r>
          </w:p>
        </w:tc>
        <w:tc>
          <w:tcPr>
            <w:tcW w:w="2125" w:type="dxa"/>
            <w:shd w:val="clear" w:color="auto" w:fill="auto"/>
            <w:vAlign w:val="center"/>
          </w:tcPr>
          <w:p>
            <w:pPr>
              <w:jc w:val="both"/>
              <w:rPr>
                <w:szCs w:val="21"/>
                <w:lang w:eastAsia="zh-CN"/>
              </w:rPr>
            </w:pPr>
            <w:r>
              <w:rPr>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3" w:edGrp="everyone"/>
          </w:p>
        </w:tc>
        <w:tc>
          <w:tcPr>
            <w:tcW w:w="7128" w:type="dxa"/>
            <w:shd w:val="clear" w:color="auto" w:fill="auto"/>
            <w:vAlign w:val="center"/>
          </w:tcPr>
          <w:p>
            <w:pPr>
              <w:spacing w:line="276" w:lineRule="auto"/>
              <w:jc w:val="both"/>
              <w:rPr>
                <w:i/>
                <w:szCs w:val="21"/>
                <w:lang w:eastAsia="zh-CN"/>
              </w:rPr>
            </w:pPr>
            <w:r>
              <w:rPr>
                <w:lang w:eastAsia="zh-CN"/>
              </w:rPr>
              <w:t>配套接入220V电源、数据线、二氧化碳、氧气、压缩空气等。</w:t>
            </w:r>
          </w:p>
        </w:tc>
        <w:tc>
          <w:tcPr>
            <w:tcW w:w="2125" w:type="dxa"/>
            <w:shd w:val="clear" w:color="auto" w:fill="auto"/>
            <w:vAlign w:val="center"/>
          </w:tcPr>
          <w:p>
            <w:pPr>
              <w:jc w:val="both"/>
              <w:rPr>
                <w:szCs w:val="21"/>
                <w:lang w:eastAsia="zh-CN"/>
              </w:rPr>
            </w:pPr>
            <w:r>
              <w:rPr>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szCs w:val="21"/>
                <w:lang w:eastAsia="zh-CN"/>
              </w:rPr>
            </w:pPr>
            <w:r>
              <w:rPr>
                <w:color w:val="000000" w:themeColor="text1"/>
                <w:lang w:eastAsia="zh-CN"/>
                <w14:textFill>
                  <w14:solidFill>
                    <w14:schemeClr w14:val="tx1"/>
                  </w14:solidFill>
                </w14:textFill>
              </w:rPr>
              <w:t>工作环境温度：能适应10</w:t>
            </w:r>
            <w:r>
              <w:rPr>
                <w:rFonts w:hint="eastAsia" w:ascii="宋体" w:hAns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～32</w:t>
            </w:r>
            <w:r>
              <w:rPr>
                <w:rFonts w:hint="eastAsia" w:ascii="宋体" w:hAnsi="宋体" w:cs="宋体"/>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 xml:space="preserve">环境 </w:t>
            </w:r>
          </w:p>
        </w:tc>
        <w:tc>
          <w:tcPr>
            <w:tcW w:w="2125" w:type="dxa"/>
            <w:shd w:val="clear" w:color="auto" w:fill="auto"/>
            <w:vAlign w:val="center"/>
          </w:tcPr>
          <w:p>
            <w:pPr>
              <w:jc w:val="both"/>
              <w:rPr>
                <w:szCs w:val="21"/>
                <w:lang w:eastAsia="zh-CN"/>
              </w:rPr>
            </w:pPr>
            <w:r>
              <w:rPr>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color w:val="000000"/>
                <w:lang w:eastAsia="zh-CN"/>
              </w:rPr>
              <w:t>工作环境湿度：至少包括</w:t>
            </w:r>
            <w:r>
              <w:rPr>
                <w:color w:val="000000" w:themeColor="text1"/>
                <w:lang w:eastAsia="zh-CN"/>
                <w14:textFill>
                  <w14:solidFill>
                    <w14:schemeClr w14:val="tx1"/>
                  </w14:solidFill>
                </w14:textFill>
              </w:rPr>
              <w:t>45%～65%</w:t>
            </w:r>
          </w:p>
        </w:tc>
        <w:tc>
          <w:tcPr>
            <w:tcW w:w="2125" w:type="dxa"/>
            <w:shd w:val="clear" w:color="auto" w:fill="auto"/>
            <w:vAlign w:val="center"/>
          </w:tcPr>
          <w:p>
            <w:pPr>
              <w:jc w:val="both"/>
              <w:rPr>
                <w:szCs w:val="21"/>
                <w:lang w:eastAsia="zh-CN"/>
              </w:rPr>
            </w:pPr>
            <w:r>
              <w:rPr>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color w:val="000000"/>
                <w:lang w:eastAsia="zh-CN"/>
              </w:rPr>
            </w:pPr>
            <w:r>
              <w:rPr>
                <w:color w:val="000000"/>
                <w:lang w:eastAsia="zh-CN"/>
              </w:rPr>
              <w:t>工作环境洁净级别：</w:t>
            </w:r>
            <w:r>
              <w:rPr>
                <w:color w:val="000000" w:themeColor="text1"/>
                <w:lang w:eastAsia="zh-CN"/>
                <w14:textFill>
                  <w14:solidFill>
                    <w14:schemeClr w14:val="tx1"/>
                  </w14:solidFill>
                </w14:textFill>
              </w:rPr>
              <w:t xml:space="preserve"> C级</w:t>
            </w:r>
          </w:p>
        </w:tc>
        <w:tc>
          <w:tcPr>
            <w:tcW w:w="2125" w:type="dxa"/>
            <w:shd w:val="clear" w:color="auto" w:fill="auto"/>
            <w:vAlign w:val="center"/>
          </w:tcPr>
          <w:p>
            <w:pPr>
              <w:jc w:val="both"/>
              <w:rPr>
                <w:szCs w:val="21"/>
                <w:lang w:eastAsia="zh-CN"/>
              </w:rPr>
            </w:pPr>
            <w:r>
              <w:rPr>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color w:val="000000"/>
                <w:lang w:eastAsia="zh-CN"/>
              </w:rPr>
            </w:pPr>
            <w:r>
              <w:rPr>
                <w:color w:val="000000"/>
                <w:lang w:eastAsia="zh-CN"/>
              </w:rPr>
              <w:t>交流电电源：</w:t>
            </w:r>
            <w:r>
              <w:rPr>
                <w:color w:val="000000" w:themeColor="text1"/>
                <w:lang w:eastAsia="zh-CN"/>
                <w14:textFill>
                  <w14:solidFill>
                    <w14:schemeClr w14:val="tx1"/>
                  </w14:solidFill>
                </w14:textFill>
              </w:rPr>
              <w:t xml:space="preserve">～220±10%V，50±1Hz </w:t>
            </w:r>
          </w:p>
        </w:tc>
        <w:tc>
          <w:tcPr>
            <w:tcW w:w="2125" w:type="dxa"/>
            <w:shd w:val="clear" w:color="auto" w:fill="auto"/>
            <w:vAlign w:val="center"/>
          </w:tcPr>
          <w:p>
            <w:pPr>
              <w:jc w:val="both"/>
              <w:rPr>
                <w:szCs w:val="21"/>
                <w:lang w:eastAsia="zh-CN"/>
              </w:rPr>
            </w:pPr>
            <w:r>
              <w:rPr>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i/>
                <w:color w:val="000000"/>
                <w:lang w:eastAsia="zh-CN"/>
              </w:rPr>
            </w:pPr>
            <w:r>
              <w:rPr>
                <w:rFonts w:hint="eastAsia" w:ascii="新宋体" w:hAnsi="新宋体" w:eastAsia="新宋体" w:cs="新宋体"/>
                <w:lang w:eastAsia="zh-CN"/>
              </w:rPr>
              <w:t>任何与物料直接接触的部件必须采用SUS/AISI316L不锈钢/高硼硅玻璃，表面电抛光，光洁度Ra＜0.4</w:t>
            </w:r>
            <w:r>
              <w:rPr>
                <w:rFonts w:hint="eastAsia" w:ascii="新宋体" w:hAnsi="新宋体" w:eastAsia="新宋体" w:cs="新宋体"/>
              </w:rPr>
              <w:t>μ</w:t>
            </w:r>
            <w:r>
              <w:rPr>
                <w:rFonts w:hint="eastAsia" w:ascii="新宋体" w:hAnsi="新宋体" w:eastAsia="新宋体" w:cs="新宋体"/>
                <w:lang w:eastAsia="zh-CN"/>
              </w:rPr>
              <w:t>m，提供相关证明。</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2"/>
                <w:lang w:eastAsia="zh-CN"/>
              </w:rPr>
            </w:pPr>
            <w:r>
              <w:rPr>
                <w:rFonts w:hint="eastAsia" w:ascii="新宋体" w:hAnsi="新宋体" w:eastAsia="新宋体" w:cs="新宋体"/>
                <w:lang w:eastAsia="zh-CN"/>
              </w:rPr>
              <w:t>所有非产品接触金属部件表面应采用SUS/AISI3</w:t>
            </w:r>
            <w:r>
              <w:rPr>
                <w:rFonts w:hint="eastAsia" w:ascii="新宋体" w:hAnsi="新宋体" w:eastAsia="新宋体" w:cs="新宋体"/>
                <w:lang w:val="en-US" w:eastAsia="zh-CN"/>
              </w:rPr>
              <w:t>16L</w:t>
            </w:r>
            <w:r>
              <w:rPr>
                <w:rFonts w:hint="eastAsia" w:ascii="新宋体" w:hAnsi="新宋体" w:eastAsia="新宋体" w:cs="新宋体"/>
                <w:lang w:eastAsia="zh-CN"/>
              </w:rPr>
              <w:t>不锈钢或更好材料，外表面光洁度Ra＜0.</w:t>
            </w:r>
            <w:r>
              <w:rPr>
                <w:rFonts w:hint="eastAsia" w:ascii="新宋体" w:hAnsi="新宋体" w:eastAsia="新宋体" w:cs="新宋体"/>
                <w:lang w:val="en-US" w:eastAsia="zh-CN"/>
              </w:rPr>
              <w:t>4</w:t>
            </w:r>
            <w:r>
              <w:rPr>
                <w:rFonts w:hint="eastAsia" w:ascii="新宋体" w:hAnsi="新宋体" w:eastAsia="新宋体" w:cs="新宋体"/>
              </w:rPr>
              <w:t>μ</w:t>
            </w:r>
            <w:r>
              <w:rPr>
                <w:rFonts w:hint="eastAsia" w:ascii="新宋体" w:hAnsi="新宋体" w:eastAsia="新宋体" w:cs="新宋体"/>
                <w:lang w:eastAsia="zh-CN"/>
              </w:rPr>
              <w:t>m。</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2"/>
                <w:lang w:eastAsia="zh-CN"/>
              </w:rPr>
            </w:pPr>
            <w:r>
              <w:rPr>
                <w:rFonts w:hint="eastAsia" w:ascii="新宋体" w:hAnsi="新宋体" w:eastAsia="新宋体" w:cs="新宋体"/>
                <w:lang w:eastAsia="zh-CN"/>
              </w:rPr>
              <w:t>与产品接触非金属部件的材质要求：无毒、化学稳定性高、无污染、无脱落的材料。</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新宋体" w:hAnsi="新宋体" w:eastAsia="新宋体" w:cs="新宋体"/>
                <w:lang w:eastAsia="zh-CN"/>
              </w:rPr>
            </w:pPr>
            <w:r>
              <w:rPr>
                <w:rFonts w:hint="eastAsia" w:ascii="新宋体" w:hAnsi="新宋体" w:eastAsia="新宋体" w:cs="新宋体"/>
                <w:lang w:eastAsia="zh-CN"/>
              </w:rPr>
              <w:t>使用符合GMP要求的材质，不得存在对药液和环境等产生污染，安全无毒，并提供相关材质证明。</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新宋体" w:hAnsi="新宋体" w:eastAsia="新宋体" w:cs="新宋体"/>
                <w:lang w:eastAsia="zh-CN"/>
              </w:rPr>
            </w:pPr>
            <w:r>
              <w:rPr>
                <w:rFonts w:hint="eastAsia" w:ascii="新宋体" w:hAnsi="新宋体" w:eastAsia="新宋体" w:cs="新宋体"/>
                <w:lang w:eastAsia="zh-CN"/>
              </w:rPr>
              <w:t>垫圈、密封圈和O形圈只能用制药级聚合材料</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新宋体" w:hAnsi="新宋体" w:eastAsia="新宋体" w:cs="新宋体"/>
                <w:lang w:eastAsia="zh-CN"/>
              </w:rPr>
            </w:pPr>
            <w:r>
              <w:rPr>
                <w:rFonts w:hint="eastAsia" w:ascii="新宋体" w:hAnsi="新宋体" w:eastAsia="新宋体" w:cs="新宋体"/>
                <w:lang w:eastAsia="zh-CN"/>
              </w:rPr>
              <w:t>各种规格的耐压卫生级软管应足够长，无毒、化学稳定性高、无污染、无脱落的材料。</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szCs w:val="21"/>
                <w:lang w:val="en-US" w:eastAsia="zh-CN"/>
                <w14:textFill>
                  <w14:solidFill>
                    <w14:schemeClr w14:val="tx1"/>
                  </w14:solidFill>
                </w14:textFill>
              </w:rPr>
              <w:t>标识</w:t>
            </w:r>
            <w:r>
              <w:rPr>
                <w:color w:val="000000" w:themeColor="text1"/>
                <w:szCs w:val="21"/>
                <w:lang w:eastAsia="zh-CN"/>
                <w14:textFill>
                  <w14:solidFill>
                    <w14:schemeClr w14:val="tx1"/>
                  </w14:solidFill>
                </w14:textFill>
              </w:rPr>
              <w:t xml:space="preserve">：至少应有以下永久贴牢和清楚易认的标识： </w:t>
            </w:r>
          </w:p>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（1）制造/供应单位；</w:t>
            </w:r>
          </w:p>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（2）产品注册号；</w:t>
            </w:r>
          </w:p>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（3）型号；</w:t>
            </w:r>
          </w:p>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（4）生产日期或编号；</w:t>
            </w:r>
          </w:p>
          <w:p>
            <w:pPr>
              <w:spacing w:line="276" w:lineRule="auto"/>
              <w:jc w:val="both"/>
              <w:rPr>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（5）对设备必要的说明；</w:t>
            </w:r>
          </w:p>
          <w:p>
            <w:pPr>
              <w:pStyle w:val="7"/>
              <w:spacing w:line="276" w:lineRule="auto"/>
              <w:rPr>
                <w:color w:val="0070C0"/>
                <w:sz w:val="21"/>
                <w:szCs w:val="21"/>
                <w:lang w:eastAsia="zh-CN"/>
              </w:rPr>
            </w:pPr>
            <w:r>
              <w:rPr>
                <w:color w:val="000000" w:themeColor="text1"/>
                <w:sz w:val="21"/>
                <w:szCs w:val="21"/>
                <w14:textFill>
                  <w14:solidFill>
                    <w14:schemeClr w14:val="tx1"/>
                  </w14:solidFill>
                </w14:textFill>
              </w:rPr>
              <w:t>（</w:t>
            </w:r>
            <w:r>
              <w:rPr>
                <w:color w:val="000000" w:themeColor="text1"/>
                <w:sz w:val="21"/>
                <w:szCs w:val="21"/>
                <w:lang w:eastAsia="zh-CN"/>
                <w14:textFill>
                  <w14:solidFill>
                    <w14:schemeClr w14:val="tx1"/>
                  </w14:solidFill>
                </w14:textFill>
              </w:rPr>
              <w:t>6</w:t>
            </w:r>
            <w:r>
              <w:rPr>
                <w:color w:val="000000" w:themeColor="text1"/>
                <w:sz w:val="21"/>
                <w:szCs w:val="21"/>
                <w14:textFill>
                  <w14:solidFill>
                    <w14:schemeClr w14:val="tx1"/>
                  </w14:solidFill>
                </w14:textFill>
              </w:rPr>
              <w:t>）安全标识。</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在武汉生物制品研究所有限责任公司成功运行案例，且具有良好的口碑。</w:t>
            </w:r>
          </w:p>
        </w:tc>
        <w:tc>
          <w:tcPr>
            <w:tcW w:w="2125" w:type="dxa"/>
            <w:shd w:val="clear" w:color="auto" w:fill="auto"/>
            <w:vAlign w:val="center"/>
          </w:tcPr>
          <w:p>
            <w:pPr>
              <w:jc w:val="both"/>
              <w:rPr>
                <w:szCs w:val="21"/>
                <w:lang w:eastAsia="zh-CN"/>
              </w:rPr>
            </w:pPr>
            <w:r>
              <w:rPr>
                <w:rFonts w:hint="eastAsia"/>
                <w:szCs w:val="21"/>
                <w:lang w:val="en-US" w:eastAsia="zh-CN"/>
              </w:rPr>
              <w:t>关键</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在中生集团旗下其他公司有成功运行案例，且具有良好的口碑。</w:t>
            </w:r>
          </w:p>
        </w:tc>
        <w:tc>
          <w:tcPr>
            <w:tcW w:w="2125" w:type="dxa"/>
            <w:shd w:val="clear" w:color="auto" w:fill="auto"/>
            <w:vAlign w:val="center"/>
          </w:tcPr>
          <w:p>
            <w:pPr>
              <w:jc w:val="both"/>
              <w:rPr>
                <w:szCs w:val="21"/>
                <w:lang w:eastAsia="zh-CN"/>
              </w:rPr>
            </w:pPr>
            <w:r>
              <w:rPr>
                <w:rFonts w:hint="eastAsia"/>
                <w:szCs w:val="21"/>
                <w:lang w:val="en-US" w:eastAsia="zh-CN"/>
              </w:rPr>
              <w:t>关键</w:t>
            </w:r>
          </w:p>
        </w:tc>
      </w:tr>
      <w:bookmarkEnd w:id="24"/>
      <w:bookmarkEnd w:id="25"/>
      <w:permEnd w:id="18"/>
    </w:tbl>
    <w:p>
      <w:pPr>
        <w:pStyle w:val="32"/>
        <w:spacing w:after="158" w:afterLines="50"/>
        <w:ind w:left="425" w:firstLine="0" w:firstLineChars="0"/>
        <w:rPr>
          <w:rFonts w:ascii="Times New Roman" w:hAnsi="Times New Roman"/>
          <w:szCs w:val="21"/>
        </w:rPr>
      </w:pPr>
    </w:p>
    <w:p>
      <w:pPr>
        <w:pStyle w:val="32"/>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42"/>
        <w:spacing w:before="0" w:line="360" w:lineRule="auto"/>
        <w:ind w:left="357"/>
        <w:jc w:val="left"/>
        <w:rPr>
          <w:bCs/>
          <w:i/>
          <w:color w:val="4472C4"/>
          <w:kern w:val="44"/>
          <w:szCs w:val="21"/>
          <w:lang w:eastAsia="zh-CN"/>
        </w:rPr>
      </w:pPr>
      <w:permStart w:id="19" w:edGrp="everyone"/>
    </w:p>
    <w:permEnd w:id="19"/>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2"/>
              <w:ind w:firstLine="0" w:firstLineChars="0"/>
              <w:rPr>
                <w:rFonts w:ascii="Times New Roman" w:hAnsi="Times New Roman"/>
                <w:szCs w:val="21"/>
              </w:rPr>
            </w:pPr>
            <w:permStart w:id="20"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1" w:edGrp="everyone"/>
          </w:p>
        </w:tc>
        <w:tc>
          <w:tcPr>
            <w:tcW w:w="7128" w:type="dxa"/>
            <w:shd w:val="clear" w:color="auto" w:fill="auto"/>
            <w:vAlign w:val="center"/>
          </w:tcPr>
          <w:p>
            <w:pPr>
              <w:jc w:val="both"/>
              <w:rPr>
                <w:szCs w:val="21"/>
                <w:lang w:val="en-US" w:eastAsia="zh-CN"/>
              </w:rPr>
            </w:pPr>
            <w:r>
              <w:rPr>
                <w:rFonts w:hint="eastAsia"/>
                <w:color w:val="000000"/>
                <w:szCs w:val="21"/>
                <w:lang w:val="en-US" w:eastAsia="zh-CN"/>
              </w:rPr>
              <w:t>桌面级反应器。</w:t>
            </w:r>
            <w:r>
              <w:rPr>
                <w:rFonts w:hint="eastAsia"/>
                <w:color w:val="000000"/>
                <w:szCs w:val="21"/>
                <w:lang w:eastAsia="zh-CN"/>
              </w:rPr>
              <w:t>罐体工作体积</w:t>
            </w:r>
            <w:r>
              <w:rPr>
                <w:rFonts w:hint="eastAsia"/>
                <w:color w:val="000000"/>
                <w:szCs w:val="21"/>
                <w:lang w:val="en-US" w:eastAsia="zh-CN"/>
              </w:rPr>
              <w:t>5</w:t>
            </w:r>
            <w:r>
              <w:rPr>
                <w:rFonts w:hint="eastAsia"/>
                <w:color w:val="000000"/>
                <w:szCs w:val="21"/>
                <w:lang w:eastAsia="zh-CN"/>
              </w:rPr>
              <w:t>L。</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color w:val="000000"/>
                <w:szCs w:val="21"/>
                <w:lang w:eastAsia="zh-CN"/>
              </w:rPr>
            </w:pPr>
            <w:r>
              <w:rPr>
                <w:rFonts w:hint="eastAsia"/>
                <w:color w:val="000000"/>
                <w:szCs w:val="21"/>
                <w:lang w:eastAsia="zh-CN"/>
              </w:rPr>
              <w:t>能同时兼顾片状载体培养和悬浮细胞培养两种培养模式。</w:t>
            </w:r>
          </w:p>
        </w:tc>
        <w:tc>
          <w:tcPr>
            <w:tcW w:w="2125" w:type="dxa"/>
            <w:shd w:val="clear" w:color="auto" w:fill="auto"/>
            <w:vAlign w:val="center"/>
          </w:tcPr>
          <w:p>
            <w:pPr>
              <w:jc w:val="both"/>
              <w:rPr>
                <w:szCs w:val="21"/>
                <w:lang w:eastAsia="zh-CN"/>
              </w:rPr>
            </w:pPr>
            <w:r>
              <w:rPr>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2" w:edGrp="everyone"/>
          </w:p>
        </w:tc>
        <w:tc>
          <w:tcPr>
            <w:tcW w:w="7128" w:type="dxa"/>
            <w:shd w:val="clear" w:color="auto" w:fill="auto"/>
            <w:vAlign w:val="center"/>
          </w:tcPr>
          <w:p>
            <w:pPr>
              <w:spacing w:line="276" w:lineRule="auto"/>
              <w:jc w:val="both"/>
              <w:rPr>
                <w:szCs w:val="21"/>
                <w:lang w:val="en-US" w:eastAsia="zh-CN"/>
              </w:rPr>
            </w:pPr>
            <w:r>
              <w:rPr>
                <w:rFonts w:hint="eastAsia" w:ascii="新宋体" w:hAnsi="新宋体" w:eastAsia="新宋体" w:cs="新宋体"/>
                <w:lang w:eastAsia="zh-CN"/>
              </w:rPr>
              <w:t>单层高硼硅玻璃罐体。</w:t>
            </w:r>
            <w:r>
              <w:rPr>
                <w:rFonts w:hint="eastAsia" w:ascii="新宋体" w:hAnsi="新宋体" w:eastAsia="新宋体" w:cs="新宋体"/>
                <w:lang w:val="en-US" w:eastAsia="zh-CN"/>
              </w:rPr>
              <w:t>耐受0.2Mpa以内压力。</w:t>
            </w:r>
          </w:p>
        </w:tc>
        <w:tc>
          <w:tcPr>
            <w:tcW w:w="2125" w:type="dxa"/>
            <w:shd w:val="clear" w:color="auto" w:fill="auto"/>
            <w:vAlign w:val="center"/>
          </w:tcPr>
          <w:p>
            <w:pPr>
              <w:jc w:val="both"/>
              <w:rPr>
                <w:szCs w:val="21"/>
                <w:lang w:eastAsia="zh-CN"/>
              </w:rPr>
            </w:pPr>
            <w:r>
              <w:rPr>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jc w:val="both"/>
              <w:rPr>
                <w:szCs w:val="21"/>
                <w:lang w:val="en-US" w:eastAsia="zh-CN"/>
              </w:rPr>
            </w:pPr>
            <w:r>
              <w:rPr>
                <w:rFonts w:hint="eastAsia" w:ascii="新宋体" w:hAnsi="新宋体" w:eastAsia="新宋体" w:cs="新宋体"/>
                <w:lang w:eastAsia="zh-CN"/>
              </w:rPr>
              <w:t>开口至少10个（2个补料口、深层进气、表层/排气、DO、PH、温度探头、收获口、液位电极口、备用口）。</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eastAsia="楷体"/>
                <w:color w:val="000000"/>
                <w:szCs w:val="28"/>
                <w:lang w:eastAsia="zh-CN"/>
              </w:rPr>
            </w:pPr>
            <w:r>
              <w:rPr>
                <w:rFonts w:hint="eastAsia" w:ascii="新宋体" w:hAnsi="新宋体" w:eastAsia="新宋体" w:cs="新宋体"/>
                <w:lang w:eastAsia="zh-CN"/>
              </w:rPr>
              <w:t>配置</w:t>
            </w:r>
            <w:r>
              <w:rPr>
                <w:rFonts w:hint="eastAsia" w:ascii="新宋体" w:hAnsi="新宋体" w:eastAsia="新宋体" w:cs="新宋体"/>
                <w:lang w:val="en-US" w:eastAsia="zh-CN"/>
              </w:rPr>
              <w:t>125mm</w:t>
            </w:r>
            <w:r>
              <w:rPr>
                <w:rFonts w:hint="eastAsia" w:ascii="新宋体" w:hAnsi="新宋体" w:eastAsia="新宋体" w:cs="新宋体"/>
                <w:lang w:eastAsia="zh-CN"/>
              </w:rPr>
              <w:t>、</w:t>
            </w:r>
            <w:r>
              <w:rPr>
                <w:rFonts w:hint="eastAsia" w:ascii="新宋体" w:hAnsi="新宋体" w:eastAsia="新宋体" w:cs="新宋体"/>
                <w:lang w:val="en-US" w:eastAsia="zh-CN"/>
              </w:rPr>
              <w:t>2L、5L补料瓶各2个、4.8mm硅胶</w:t>
            </w:r>
            <w:r>
              <w:rPr>
                <w:rFonts w:hint="eastAsia" w:ascii="新宋体" w:hAnsi="新宋体" w:eastAsia="新宋体" w:cs="新宋体"/>
                <w:lang w:eastAsia="zh-CN"/>
              </w:rPr>
              <w:t>补料管</w:t>
            </w:r>
            <w:r>
              <w:rPr>
                <w:rFonts w:hint="eastAsia" w:ascii="新宋体" w:hAnsi="新宋体" w:eastAsia="新宋体" w:cs="新宋体"/>
                <w:lang w:val="en-US" w:eastAsia="zh-CN"/>
              </w:rPr>
              <w:t>（进口）1包</w:t>
            </w:r>
            <w:r>
              <w:rPr>
                <w:rFonts w:hint="eastAsia" w:ascii="新宋体" w:hAnsi="新宋体" w:eastAsia="新宋体" w:cs="新宋体"/>
                <w:lang w:eastAsia="zh-CN"/>
              </w:rPr>
              <w:t>、</w:t>
            </w:r>
            <w:r>
              <w:rPr>
                <w:rFonts w:hint="eastAsia" w:ascii="新宋体" w:hAnsi="新宋体" w:eastAsia="新宋体" w:cs="新宋体"/>
                <w:lang w:val="en-US" w:eastAsia="zh-CN"/>
              </w:rPr>
              <w:t>4.8mm耐磨管（进口）1包、4.8mm卫生级直通和三通各30个。配套CPC</w:t>
            </w:r>
            <w:r>
              <w:rPr>
                <w:rFonts w:hint="eastAsia" w:ascii="新宋体" w:hAnsi="新宋体" w:eastAsia="新宋体" w:cs="新宋体"/>
                <w:lang w:eastAsia="zh-CN"/>
              </w:rPr>
              <w:t>快接头</w:t>
            </w:r>
            <w:r>
              <w:rPr>
                <w:rStyle w:val="25"/>
                <w:rFonts w:hint="eastAsia"/>
                <w:lang w:val="en-US" w:eastAsia="zh-CN"/>
              </w:rPr>
              <w:t>20对，等</w:t>
            </w:r>
            <w:r>
              <w:rPr>
                <w:rFonts w:hint="eastAsia" w:ascii="新宋体" w:hAnsi="新宋体" w:eastAsia="新宋体" w:cs="新宋体"/>
                <w:lang w:eastAsia="zh-CN"/>
              </w:rPr>
              <w:t>。</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eastAsia="楷体"/>
                <w:color w:val="000000"/>
                <w:szCs w:val="28"/>
                <w:lang w:eastAsia="zh-CN"/>
              </w:rPr>
            </w:pPr>
            <w:r>
              <w:rPr>
                <w:rFonts w:hint="eastAsia" w:ascii="新宋体" w:hAnsi="新宋体" w:eastAsia="新宋体" w:cs="新宋体"/>
                <w:lang w:eastAsia="zh-CN"/>
              </w:rPr>
              <w:t>可自动完成搅拌、温度、PH、DO、通气等控制。</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eastAsia="楷体"/>
                <w:color w:val="000000"/>
                <w:szCs w:val="28"/>
                <w:lang w:eastAsia="zh-CN"/>
              </w:rPr>
            </w:pPr>
            <w:r>
              <w:rPr>
                <w:rFonts w:hint="eastAsia" w:ascii="新宋体" w:hAnsi="新宋体" w:eastAsia="新宋体" w:cs="新宋体"/>
                <w:lang w:eastAsia="zh-CN"/>
              </w:rPr>
              <w:t>搅拌模式为顶部</w:t>
            </w:r>
            <w:r>
              <w:rPr>
                <w:rFonts w:hint="eastAsia" w:ascii="新宋体" w:hAnsi="新宋体" w:eastAsia="新宋体" w:cs="新宋体"/>
                <w:lang w:val="en-US" w:eastAsia="zh-CN"/>
              </w:rPr>
              <w:t>搅拌。可以是</w:t>
            </w:r>
            <w:r>
              <w:rPr>
                <w:rFonts w:hint="eastAsia" w:ascii="新宋体" w:hAnsi="新宋体" w:eastAsia="新宋体" w:cs="新宋体"/>
                <w:lang w:eastAsia="zh-CN"/>
              </w:rPr>
              <w:t>机械搅拌</w:t>
            </w:r>
            <w:r>
              <w:rPr>
                <w:rFonts w:hint="eastAsia" w:ascii="新宋体" w:hAnsi="新宋体" w:eastAsia="新宋体" w:cs="新宋体"/>
                <w:lang w:val="en-US" w:eastAsia="zh-CN"/>
              </w:rPr>
              <w:t>或磁力搅拌</w:t>
            </w:r>
            <w:r>
              <w:rPr>
                <w:rFonts w:hint="eastAsia" w:ascii="新宋体" w:hAnsi="新宋体" w:eastAsia="新宋体" w:cs="新宋体"/>
                <w:lang w:eastAsia="zh-CN"/>
              </w:rPr>
              <w:t>。</w:t>
            </w:r>
            <w:r>
              <w:rPr>
                <w:rFonts w:hint="eastAsia" w:ascii="新宋体" w:hAnsi="新宋体" w:eastAsia="新宋体" w:cs="新宋体"/>
                <w:lang w:val="en-US" w:eastAsia="zh-CN"/>
              </w:rPr>
              <w:t>搅拌系统（包括搅拌桨、电极、轴承及可能的连接和密封件）要求密封性良好，</w:t>
            </w:r>
            <w:r>
              <w:rPr>
                <w:rFonts w:hint="eastAsia" w:ascii="新宋体" w:hAnsi="新宋体" w:eastAsia="新宋体" w:cs="新宋体"/>
                <w:lang w:eastAsia="zh-CN"/>
              </w:rPr>
              <w:t>无泄漏，</w:t>
            </w:r>
            <w:r>
              <w:rPr>
                <w:rFonts w:hint="eastAsia" w:ascii="新宋体" w:hAnsi="新宋体" w:eastAsia="新宋体" w:cs="新宋体"/>
                <w:lang w:val="en-US" w:eastAsia="zh-CN"/>
              </w:rPr>
              <w:t>不易</w:t>
            </w:r>
            <w:r>
              <w:rPr>
                <w:rFonts w:hint="eastAsia" w:ascii="新宋体" w:hAnsi="新宋体" w:eastAsia="新宋体" w:cs="新宋体"/>
                <w:lang w:eastAsia="zh-CN"/>
              </w:rPr>
              <w:t>磨损，</w:t>
            </w:r>
            <w:r>
              <w:rPr>
                <w:rFonts w:hint="eastAsia" w:ascii="新宋体" w:hAnsi="新宋体" w:eastAsia="新宋体" w:cs="新宋体"/>
                <w:lang w:val="en-US" w:eastAsia="zh-CN"/>
              </w:rPr>
              <w:t>可长期使用免</w:t>
            </w:r>
            <w:r>
              <w:rPr>
                <w:rFonts w:hint="eastAsia" w:ascii="新宋体" w:hAnsi="新宋体" w:eastAsia="新宋体" w:cs="新宋体"/>
                <w:lang w:eastAsia="zh-CN"/>
              </w:rPr>
              <w:t>维护，</w:t>
            </w:r>
            <w:r>
              <w:rPr>
                <w:rFonts w:hint="eastAsia" w:ascii="新宋体" w:hAnsi="新宋体" w:eastAsia="新宋体" w:cs="新宋体"/>
                <w:lang w:val="en-US" w:eastAsia="zh-CN"/>
              </w:rPr>
              <w:t>维修便捷</w:t>
            </w:r>
            <w:r>
              <w:rPr>
                <w:rFonts w:hint="eastAsia" w:ascii="新宋体" w:hAnsi="新宋体" w:eastAsia="新宋体" w:cs="新宋体"/>
                <w:lang w:eastAsia="zh-CN"/>
              </w:rPr>
              <w:t>。</w:t>
            </w:r>
            <w:r>
              <w:rPr>
                <w:rFonts w:hint="eastAsia" w:ascii="新宋体" w:hAnsi="新宋体" w:eastAsia="新宋体" w:cs="新宋体"/>
                <w:lang w:val="en-US" w:eastAsia="zh-CN"/>
              </w:rPr>
              <w:t>电机与搅拌桨有锁扣或其它形式安全固定装置。</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00" w:lineRule="exact"/>
              <w:rPr>
                <w:rFonts w:ascii="新宋体" w:hAnsi="新宋体" w:eastAsia="新宋体" w:cs="新宋体"/>
                <w:lang w:val="en-US" w:eastAsia="zh-CN"/>
              </w:rPr>
            </w:pPr>
            <w:r>
              <w:rPr>
                <w:rFonts w:hint="eastAsia" w:ascii="新宋体" w:hAnsi="新宋体" w:eastAsia="新宋体" w:cs="新宋体"/>
                <w:lang w:eastAsia="zh-CN"/>
              </w:rPr>
              <w:t>转速控制为PID自动控制。调速范围：0-</w:t>
            </w:r>
            <w:r>
              <w:rPr>
                <w:rFonts w:hint="eastAsia" w:ascii="新宋体" w:hAnsi="新宋体" w:eastAsia="新宋体" w:cs="新宋体"/>
                <w:lang w:val="en-US" w:eastAsia="zh-CN"/>
              </w:rPr>
              <w:t>300</w:t>
            </w:r>
            <w:r>
              <w:rPr>
                <w:rFonts w:hint="eastAsia" w:ascii="新宋体" w:hAnsi="新宋体" w:eastAsia="新宋体" w:cs="新宋体"/>
                <w:lang w:eastAsia="zh-CN"/>
              </w:rPr>
              <w:t>rpm，控制精度：±1%，分辨率：1rpm。</w:t>
            </w:r>
            <w:r>
              <w:rPr>
                <w:rFonts w:hint="eastAsia" w:ascii="新宋体" w:hAnsi="新宋体" w:eastAsia="新宋体" w:cs="新宋体"/>
                <w:lang w:val="en-US" w:eastAsia="zh-CN"/>
              </w:rPr>
              <w:t>调速范围内不影响设备整体正常运行和关键部件寿命。</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00" w:lineRule="exact"/>
              <w:rPr>
                <w:rFonts w:ascii="新宋体" w:hAnsi="新宋体" w:eastAsia="新宋体" w:cs="新宋体"/>
                <w:lang w:eastAsia="zh-CN"/>
              </w:rPr>
            </w:pPr>
            <w:r>
              <w:rPr>
                <w:szCs w:val="22"/>
                <w:lang w:eastAsia="zh-CN"/>
              </w:rPr>
              <w:t>搅拌桨</w:t>
            </w:r>
            <w:r>
              <w:rPr>
                <w:rFonts w:hint="eastAsia"/>
                <w:szCs w:val="22"/>
                <w:lang w:eastAsia="zh-CN"/>
              </w:rPr>
              <w:t>：</w:t>
            </w:r>
            <w:r>
              <w:rPr>
                <w:rFonts w:hint="eastAsia" w:ascii="新宋体" w:hAnsi="新宋体" w:eastAsia="新宋体" w:cs="新宋体"/>
                <w:lang w:eastAsia="zh-CN"/>
              </w:rPr>
              <w:t>桨叶</w:t>
            </w:r>
            <w:r>
              <w:rPr>
                <w:rFonts w:hint="eastAsia" w:ascii="新宋体" w:hAnsi="新宋体" w:eastAsia="新宋体" w:cs="新宋体"/>
                <w:lang w:val="en-US" w:eastAsia="zh-CN"/>
              </w:rPr>
              <w:t>1</w:t>
            </w:r>
            <w:r>
              <w:rPr>
                <w:rFonts w:hint="eastAsia" w:ascii="新宋体" w:hAnsi="新宋体" w:eastAsia="新宋体" w:cs="新宋体"/>
                <w:lang w:eastAsia="zh-CN"/>
              </w:rPr>
              <w:t>应具备适用片状载体固定床工艺，提升式桨叶。</w:t>
            </w:r>
            <w:r>
              <w:rPr>
                <w:rFonts w:hint="eastAsia" w:ascii="新宋体" w:hAnsi="新宋体" w:eastAsia="新宋体" w:cs="新宋体"/>
                <w:lang w:val="en-US" w:eastAsia="zh-CN"/>
              </w:rPr>
              <w:t>桨叶2为悬浮细胞搅拌桨，有良好的混匀效果。</w:t>
            </w:r>
            <w:r>
              <w:rPr>
                <w:rFonts w:hint="eastAsia" w:ascii="新宋体" w:hAnsi="新宋体" w:eastAsia="新宋体" w:cs="新宋体"/>
                <w:lang w:eastAsia="zh-CN"/>
              </w:rPr>
              <w:t>搅拌桨应当采用热处理过的316L</w:t>
            </w:r>
            <w:r>
              <w:rPr>
                <w:rFonts w:hint="eastAsia" w:ascii="新宋体" w:hAnsi="新宋体" w:eastAsia="新宋体" w:cs="新宋体"/>
                <w:lang w:val="en-US" w:eastAsia="zh-CN"/>
              </w:rPr>
              <w:t>及以上</w:t>
            </w:r>
            <w:r>
              <w:rPr>
                <w:rFonts w:hint="eastAsia" w:ascii="新宋体" w:hAnsi="新宋体" w:eastAsia="新宋体" w:cs="新宋体"/>
                <w:lang w:eastAsia="zh-CN"/>
              </w:rPr>
              <w:t>不锈钢，电抛光到0.4Ra</w:t>
            </w:r>
            <w:r>
              <w:rPr>
                <w:rFonts w:hint="eastAsia" w:ascii="新宋体" w:hAnsi="新宋体" w:eastAsia="新宋体" w:cs="新宋体"/>
              </w:rPr>
              <w:t>μ</w:t>
            </w:r>
            <w:r>
              <w:rPr>
                <w:rFonts w:hint="eastAsia" w:ascii="新宋体" w:hAnsi="新宋体" w:eastAsia="新宋体" w:cs="新宋体"/>
                <w:lang w:eastAsia="zh-CN"/>
              </w:rPr>
              <w:t>m。两种搅拌桨需具备良好的工艺性能，有利于气体分散及液体的混合。</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00" w:lineRule="exact"/>
              <w:rPr>
                <w:rFonts w:ascii="新宋体" w:hAnsi="新宋体" w:eastAsia="新宋体" w:cs="新宋体"/>
                <w:lang w:eastAsia="zh-CN"/>
              </w:rPr>
            </w:pPr>
            <w:r>
              <w:rPr>
                <w:rFonts w:hint="eastAsia" w:ascii="新宋体" w:hAnsi="新宋体" w:eastAsia="新宋体" w:cs="新宋体"/>
                <w:lang w:eastAsia="zh-CN"/>
              </w:rPr>
              <w:t>厂家需具备：</w:t>
            </w:r>
          </w:p>
          <w:p>
            <w:pPr>
              <w:spacing w:line="300" w:lineRule="exact"/>
              <w:rPr>
                <w:rFonts w:ascii="新宋体" w:hAnsi="新宋体" w:eastAsia="新宋体" w:cs="新宋体"/>
                <w:lang w:eastAsia="zh-CN"/>
              </w:rPr>
            </w:pPr>
            <w:r>
              <w:rPr>
                <w:rFonts w:hint="eastAsia" w:ascii="新宋体" w:hAnsi="新宋体" w:eastAsia="新宋体" w:cs="新宋体"/>
                <w:lang w:eastAsia="zh-CN"/>
              </w:rPr>
              <w:t>片状载体反应器成功放大案例；</w:t>
            </w:r>
          </w:p>
          <w:p>
            <w:pPr>
              <w:spacing w:line="300" w:lineRule="exact"/>
              <w:rPr>
                <w:rFonts w:ascii="新宋体" w:hAnsi="新宋体" w:eastAsia="新宋体" w:cs="新宋体"/>
                <w:lang w:eastAsia="zh-CN"/>
              </w:rPr>
            </w:pPr>
            <w:r>
              <w:rPr>
                <w:rFonts w:hint="eastAsia" w:ascii="新宋体" w:hAnsi="新宋体" w:eastAsia="新宋体" w:cs="新宋体"/>
                <w:lang w:eastAsia="zh-CN"/>
              </w:rPr>
              <w:t>较高的片状载体反应器设计能力，需明确包括但不限于反应器工作参数，包括氧传递系数、二氧化碳传质系数及叶轮叶尖速度等详细参数；</w:t>
            </w:r>
          </w:p>
          <w:p>
            <w:pPr>
              <w:spacing w:line="300" w:lineRule="exact"/>
              <w:rPr>
                <w:rFonts w:ascii="新宋体" w:hAnsi="新宋体" w:eastAsia="新宋体" w:cs="新宋体"/>
                <w:lang w:eastAsia="zh-CN"/>
              </w:rPr>
            </w:pPr>
            <w:r>
              <w:rPr>
                <w:rFonts w:hint="eastAsia" w:ascii="新宋体" w:hAnsi="新宋体" w:eastAsia="新宋体" w:cs="新宋体"/>
                <w:lang w:eastAsia="zh-CN"/>
              </w:rPr>
              <w:t>需明确包括但不限于片状载体气液传质模型、二氧化碳传质模型等能体现片状载体反应器良好工作性能模型；以上内容均需在标书提供。</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00" w:lineRule="exact"/>
              <w:rPr>
                <w:rFonts w:ascii="新宋体" w:hAnsi="新宋体" w:eastAsia="新宋体" w:cs="新宋体"/>
                <w:lang w:eastAsia="zh-CN"/>
              </w:rPr>
            </w:pPr>
            <w:r>
              <w:rPr>
                <w:rFonts w:hint="eastAsia" w:ascii="新宋体" w:hAnsi="新宋体" w:eastAsia="新宋体" w:cs="新宋体"/>
                <w:lang w:eastAsia="zh-CN"/>
              </w:rPr>
              <w:t>温度控制：PID自动控制，加热毯</w:t>
            </w:r>
            <w:r>
              <w:rPr>
                <w:rFonts w:hint="eastAsia" w:ascii="新宋体" w:hAnsi="新宋体" w:eastAsia="新宋体" w:cs="新宋体"/>
                <w:lang w:val="en-US" w:eastAsia="zh-CN"/>
              </w:rPr>
              <w:t>控温</w:t>
            </w:r>
            <w:r>
              <w:rPr>
                <w:rFonts w:hint="eastAsia" w:ascii="新宋体" w:hAnsi="新宋体" w:eastAsia="新宋体" w:cs="新宋体"/>
                <w:lang w:eastAsia="zh-CN"/>
              </w:rPr>
              <w:t>。</w:t>
            </w:r>
            <w:r>
              <w:rPr>
                <w:rFonts w:hint="eastAsia" w:ascii="新宋体" w:hAnsi="新宋体" w:eastAsia="新宋体" w:cs="新宋体"/>
                <w:lang w:val="en-US" w:eastAsia="zh-CN"/>
              </w:rPr>
              <w:t>加热毯应至少覆盖玻璃罐体&gt;80%面积，除罐底部和刻度标识处裸露外无大面积暴露。</w:t>
            </w:r>
            <w:r>
              <w:rPr>
                <w:rFonts w:hint="eastAsia" w:ascii="新宋体" w:hAnsi="新宋体" w:eastAsia="新宋体" w:cs="新宋体"/>
                <w:lang w:eastAsia="zh-CN"/>
              </w:rPr>
              <w:t>PT100温度电极。</w:t>
            </w:r>
            <w:r>
              <w:rPr>
                <w:rFonts w:hint="eastAsia" w:ascii="新宋体" w:hAnsi="新宋体" w:eastAsia="新宋体" w:cs="新宋体"/>
                <w:lang w:val="en-US" w:eastAsia="zh-CN"/>
              </w:rPr>
              <w:t>加热毯温度分布均匀，带温度探头，显示自身温度，可以在控制程序中设置加热毯温度上限。</w:t>
            </w:r>
            <w:r>
              <w:rPr>
                <w:rFonts w:hint="eastAsia" w:ascii="新宋体" w:hAnsi="新宋体" w:eastAsia="新宋体" w:cs="新宋体"/>
                <w:lang w:eastAsia="zh-CN"/>
              </w:rPr>
              <w:t>控制范围：设定温度-环境温度≥3℃，20-</w:t>
            </w:r>
            <w:r>
              <w:rPr>
                <w:rFonts w:hint="eastAsia" w:ascii="新宋体" w:hAnsi="新宋体" w:eastAsia="新宋体" w:cs="新宋体"/>
                <w:lang w:val="en-US" w:eastAsia="zh-CN"/>
              </w:rPr>
              <w:t>7</w:t>
            </w:r>
            <w:r>
              <w:rPr>
                <w:rFonts w:hint="eastAsia" w:ascii="新宋体" w:hAnsi="新宋体" w:eastAsia="新宋体" w:cs="新宋体"/>
                <w:lang w:eastAsia="zh-CN"/>
              </w:rPr>
              <w:t>0℃；控制精度：±0.1°C，分辨率：0.1°C。</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00" w:lineRule="exact"/>
              <w:rPr>
                <w:rFonts w:ascii="新宋体" w:hAnsi="新宋体" w:eastAsia="新宋体" w:cs="新宋体"/>
                <w:lang w:eastAsia="zh-CN"/>
              </w:rPr>
            </w:pPr>
            <w:r>
              <w:rPr>
                <w:rFonts w:hint="eastAsia" w:ascii="新宋体" w:hAnsi="新宋体" w:eastAsia="新宋体" w:cs="新宋体"/>
                <w:lang w:eastAsia="zh-CN"/>
              </w:rPr>
              <w:t>pH控制：具备1套pH控制系统。罐体侧下壁配置在线pH电极接口一个，1个pH探头、1条pH电极线和1个控制模块。通过pH电极可实时监测罐内pH值。</w:t>
            </w:r>
          </w:p>
          <w:p>
            <w:pPr>
              <w:spacing w:line="300" w:lineRule="exact"/>
              <w:rPr>
                <w:rFonts w:ascii="新宋体" w:hAnsi="新宋体" w:eastAsia="新宋体" w:cs="新宋体"/>
                <w:lang w:eastAsia="zh-CN"/>
              </w:rPr>
            </w:pPr>
            <w:r>
              <w:rPr>
                <w:rFonts w:hint="eastAsia" w:ascii="新宋体" w:hAnsi="新宋体" w:eastAsia="新宋体" w:cs="新宋体"/>
                <w:lang w:eastAsia="zh-CN"/>
              </w:rPr>
              <w:t>测量范围：2~12pH，分辨率：± 0.01 pH，系统可根据批次时间进行分段式pH设定值设定，控制精度±0.02。pH电极在线再校正功能。PID控制，可与蠕动泵、通气以及外接设备关联控制。选用梅特勒或者哈密尔顿</w:t>
            </w:r>
            <w:r>
              <w:rPr>
                <w:rFonts w:hint="eastAsia" w:ascii="新宋体" w:hAnsi="新宋体" w:eastAsia="新宋体" w:cs="新宋体"/>
                <w:lang w:val="en-US" w:eastAsia="zh-CN"/>
              </w:rPr>
              <w:t>智能</w:t>
            </w:r>
            <w:r>
              <w:rPr>
                <w:rFonts w:hint="eastAsia" w:ascii="新宋体" w:hAnsi="新宋体" w:eastAsia="新宋体" w:cs="新宋体"/>
                <w:lang w:eastAsia="zh-CN"/>
              </w:rPr>
              <w:t>PH电极，并具备使用寿命检测功能。</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00" w:lineRule="exact"/>
              <w:rPr>
                <w:rFonts w:ascii="新宋体" w:hAnsi="新宋体" w:eastAsia="新宋体" w:cs="新宋体"/>
                <w:lang w:eastAsia="zh-CN"/>
              </w:rPr>
            </w:pPr>
            <w:r>
              <w:rPr>
                <w:rFonts w:hint="eastAsia" w:ascii="新宋体" w:hAnsi="新宋体" w:eastAsia="新宋体" w:cs="新宋体"/>
                <w:lang w:eastAsia="zh-CN"/>
              </w:rPr>
              <w:t>DO控制：具备1套溶氧控制系统，包括1个溶氧电极插口、1个溶氧探头、1条溶氧电极线和1个控制模块。溶氧电极选用梅特勒光学溶氧或者哈密尔顿</w:t>
            </w:r>
            <w:r>
              <w:rPr>
                <w:rFonts w:hint="eastAsia" w:ascii="新宋体" w:hAnsi="新宋体" w:eastAsia="新宋体" w:cs="新宋体"/>
                <w:lang w:val="en-US" w:eastAsia="zh-CN"/>
              </w:rPr>
              <w:t>智能</w:t>
            </w:r>
            <w:r>
              <w:rPr>
                <w:rFonts w:hint="eastAsia" w:ascii="新宋体" w:hAnsi="新宋体" w:eastAsia="新宋体" w:cs="新宋体"/>
                <w:lang w:eastAsia="zh-CN"/>
              </w:rPr>
              <w:t>光学溶氧电极。在罐体侧配置在线溶氧电极探头接口一个，通过溶氧电极可实时监测罐内溶解氧值。测量范围：0~200%，分辨率±0.1%。溶氧控制功能：4种气体分配、气体流量、搅拌转速关联溶氧设定值自动控制，PID控制，并具备使用寿命检测功能。</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00" w:lineRule="exact"/>
              <w:rPr>
                <w:rFonts w:ascii="新宋体" w:hAnsi="新宋体" w:eastAsia="新宋体" w:cs="新宋体"/>
                <w:lang w:eastAsia="zh-CN"/>
              </w:rPr>
            </w:pPr>
            <w:r>
              <w:rPr>
                <w:lang w:eastAsia="zh-CN"/>
              </w:rPr>
              <w:t>通气系统</w:t>
            </w:r>
            <w:r>
              <w:rPr>
                <w:rFonts w:hint="eastAsia"/>
                <w:lang w:eastAsia="zh-CN"/>
              </w:rPr>
              <w:t>：</w:t>
            </w:r>
            <w:bookmarkStart w:id="28" w:name="_Toc432345769"/>
            <w:r>
              <w:rPr>
                <w:rFonts w:hint="eastAsia" w:ascii="新宋体" w:hAnsi="新宋体" w:eastAsia="新宋体" w:cs="新宋体"/>
                <w:lang w:eastAsia="zh-CN"/>
              </w:rPr>
              <w:t>通气方式</w:t>
            </w:r>
            <w:bookmarkEnd w:id="28"/>
            <w:r>
              <w:rPr>
                <w:rFonts w:hint="eastAsia" w:ascii="新宋体" w:hAnsi="新宋体" w:eastAsia="新宋体" w:cs="新宋体"/>
                <w:lang w:eastAsia="zh-CN"/>
              </w:rPr>
              <w:t>为深层</w:t>
            </w:r>
            <w:r>
              <w:rPr>
                <w:rFonts w:hint="eastAsia" w:ascii="新宋体" w:hAnsi="新宋体" w:eastAsia="新宋体" w:cs="新宋体"/>
                <w:lang w:val="en-US" w:eastAsia="zh-CN"/>
              </w:rPr>
              <w:t>混合</w:t>
            </w:r>
            <w:r>
              <w:rPr>
                <w:rFonts w:hint="eastAsia" w:ascii="新宋体" w:hAnsi="新宋体" w:eastAsia="新宋体" w:cs="新宋体"/>
                <w:lang w:eastAsia="zh-CN"/>
              </w:rPr>
              <w:t>通气。</w:t>
            </w:r>
            <w:r>
              <w:rPr>
                <w:rFonts w:hint="eastAsia" w:ascii="宋体" w:hAnsi="宋体" w:cs="宋体"/>
                <w:color w:val="000000"/>
                <w:lang w:eastAsia="zh-CN"/>
              </w:rPr>
              <w:t>气体分布器</w:t>
            </w:r>
            <w:r>
              <w:rPr>
                <w:rFonts w:hint="eastAsia" w:ascii="宋体" w:hAnsi="宋体" w:cs="宋体"/>
                <w:lang w:eastAsia="zh-CN"/>
              </w:rPr>
              <w:t>，</w:t>
            </w:r>
            <w:r>
              <w:rPr>
                <w:rFonts w:hint="eastAsia" w:ascii="新宋体" w:hAnsi="新宋体" w:eastAsia="新宋体" w:cs="新宋体"/>
                <w:lang w:eastAsia="zh-CN"/>
              </w:rPr>
              <w:t>控制界面可设定调节Air、O2、CO2、N2通气量</w:t>
            </w:r>
            <w:r>
              <w:rPr>
                <w:rFonts w:hint="eastAsia" w:ascii="新宋体" w:hAnsi="新宋体" w:eastAsia="新宋体" w:cs="新宋体"/>
                <w:lang w:val="en-US" w:eastAsia="zh-CN"/>
              </w:rPr>
              <w:t>及比例</w:t>
            </w:r>
            <w:r>
              <w:rPr>
                <w:rFonts w:hint="eastAsia" w:ascii="新宋体" w:hAnsi="新宋体" w:eastAsia="新宋体" w:cs="新宋体"/>
                <w:lang w:eastAsia="zh-CN"/>
              </w:rPr>
              <w:t>。配备1</w:t>
            </w:r>
            <w:r>
              <w:rPr>
                <w:rFonts w:ascii="新宋体" w:hAnsi="新宋体" w:eastAsia="新宋体" w:cs="新宋体"/>
                <w:lang w:eastAsia="zh-CN"/>
              </w:rPr>
              <w:t>0套空气滤盘</w:t>
            </w:r>
            <w:r>
              <w:rPr>
                <w:rFonts w:hint="eastAsia" w:ascii="新宋体" w:hAnsi="新宋体" w:eastAsia="新宋体" w:cs="新宋体"/>
                <w:lang w:eastAsia="zh-CN"/>
              </w:rPr>
              <w:t>。</w:t>
            </w:r>
            <w:bookmarkStart w:id="29" w:name="_Toc432345770"/>
            <w:r>
              <w:rPr>
                <w:rFonts w:hint="eastAsia" w:ascii="新宋体" w:hAnsi="新宋体" w:eastAsia="新宋体" w:cs="新宋体"/>
                <w:lang w:eastAsia="zh-CN"/>
              </w:rPr>
              <w:t>气体种类</w:t>
            </w:r>
            <w:bookmarkEnd w:id="29"/>
            <w:r>
              <w:rPr>
                <w:rFonts w:hint="eastAsia" w:ascii="新宋体" w:hAnsi="新宋体" w:eastAsia="新宋体" w:cs="新宋体"/>
                <w:lang w:eastAsia="zh-CN"/>
              </w:rPr>
              <w:t>包括Air、O</w:t>
            </w:r>
            <w:r>
              <w:rPr>
                <w:rFonts w:hint="eastAsia" w:ascii="新宋体" w:hAnsi="新宋体" w:eastAsia="新宋体" w:cs="新宋体"/>
                <w:vertAlign w:val="subscript"/>
                <w:lang w:eastAsia="zh-CN"/>
              </w:rPr>
              <w:t>2</w:t>
            </w:r>
            <w:r>
              <w:rPr>
                <w:rFonts w:hint="eastAsia" w:ascii="新宋体" w:hAnsi="新宋体" w:eastAsia="新宋体" w:cs="新宋体"/>
                <w:lang w:eastAsia="zh-CN"/>
              </w:rPr>
              <w:t>、CO</w:t>
            </w:r>
            <w:r>
              <w:rPr>
                <w:rFonts w:hint="eastAsia" w:ascii="新宋体" w:hAnsi="新宋体" w:eastAsia="新宋体" w:cs="新宋体"/>
                <w:vertAlign w:val="subscript"/>
                <w:lang w:eastAsia="zh-CN"/>
              </w:rPr>
              <w:t>2</w:t>
            </w:r>
            <w:r>
              <w:rPr>
                <w:rFonts w:hint="eastAsia" w:ascii="新宋体" w:hAnsi="新宋体" w:eastAsia="新宋体" w:cs="新宋体"/>
                <w:lang w:eastAsia="zh-CN"/>
              </w:rPr>
              <w:t>、N</w:t>
            </w:r>
            <w:r>
              <w:rPr>
                <w:rFonts w:hint="eastAsia" w:ascii="新宋体" w:hAnsi="新宋体" w:eastAsia="新宋体" w:cs="新宋体"/>
                <w:vertAlign w:val="subscript"/>
                <w:lang w:eastAsia="zh-CN"/>
              </w:rPr>
              <w:t>2</w:t>
            </w:r>
            <w:r>
              <w:rPr>
                <w:rFonts w:hint="eastAsia" w:ascii="新宋体" w:hAnsi="新宋体" w:eastAsia="新宋体" w:cs="新宋体"/>
                <w:lang w:eastAsia="zh-CN"/>
              </w:rPr>
              <w:t>。进气过滤器、排气过滤器分别设置。配置排气冷却装置。</w:t>
            </w:r>
            <w:r>
              <w:rPr>
                <w:rFonts w:ascii="新宋体" w:hAnsi="新宋体" w:eastAsia="新宋体" w:cs="新宋体"/>
                <w:lang w:eastAsia="zh-CN"/>
              </w:rPr>
              <w:t>2</w:t>
            </w:r>
            <w:r>
              <w:rPr>
                <w:rFonts w:hint="eastAsia" w:ascii="新宋体" w:hAnsi="新宋体" w:eastAsia="新宋体" w:cs="新宋体"/>
                <w:lang w:eastAsia="zh-CN"/>
              </w:rPr>
              <w:t>路玻璃转子流量计，用于Air、O</w:t>
            </w:r>
            <w:r>
              <w:rPr>
                <w:rFonts w:hint="eastAsia" w:ascii="新宋体" w:hAnsi="新宋体" w:eastAsia="新宋体" w:cs="新宋体"/>
                <w:vertAlign w:val="subscript"/>
                <w:lang w:eastAsia="zh-CN"/>
              </w:rPr>
              <w:t>2</w:t>
            </w:r>
            <w:r>
              <w:rPr>
                <w:rFonts w:hint="eastAsia" w:ascii="新宋体" w:hAnsi="新宋体" w:eastAsia="新宋体" w:cs="新宋体"/>
                <w:lang w:eastAsia="zh-CN"/>
              </w:rPr>
              <w:t>，通气量匹配罐体容积。</w:t>
            </w:r>
            <w:r>
              <w:rPr>
                <w:rFonts w:ascii="新宋体" w:hAnsi="新宋体" w:eastAsia="新宋体" w:cs="新宋体"/>
                <w:lang w:eastAsia="zh-CN"/>
              </w:rPr>
              <w:t>2</w:t>
            </w:r>
            <w:r>
              <w:rPr>
                <w:rFonts w:hint="eastAsia" w:ascii="新宋体" w:hAnsi="新宋体" w:eastAsia="新宋体" w:cs="新宋体"/>
                <w:lang w:eastAsia="zh-CN"/>
              </w:rPr>
              <w:t>路玻璃转子流量计，用于CO</w:t>
            </w:r>
            <w:r>
              <w:rPr>
                <w:rFonts w:hint="eastAsia" w:ascii="新宋体" w:hAnsi="新宋体" w:eastAsia="新宋体" w:cs="新宋体"/>
                <w:vertAlign w:val="subscript"/>
                <w:lang w:eastAsia="zh-CN"/>
              </w:rPr>
              <w:t>2</w:t>
            </w:r>
            <w:r>
              <w:rPr>
                <w:rFonts w:hint="eastAsia" w:ascii="新宋体" w:hAnsi="新宋体" w:eastAsia="新宋体" w:cs="新宋体"/>
                <w:lang w:eastAsia="zh-CN"/>
              </w:rPr>
              <w:t>、N</w:t>
            </w:r>
            <w:r>
              <w:rPr>
                <w:rFonts w:hint="eastAsia" w:ascii="新宋体" w:hAnsi="新宋体" w:eastAsia="新宋体" w:cs="新宋体"/>
                <w:vertAlign w:val="subscript"/>
                <w:lang w:eastAsia="zh-CN"/>
              </w:rPr>
              <w:t>2</w:t>
            </w:r>
            <w:r>
              <w:rPr>
                <w:rFonts w:hint="eastAsia" w:ascii="新宋体" w:hAnsi="新宋体" w:eastAsia="新宋体" w:cs="新宋体"/>
                <w:lang w:eastAsia="zh-CN"/>
              </w:rPr>
              <w:t>，通气量匹配罐体容积。</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lang w:eastAsia="zh-CN"/>
              </w:rPr>
            </w:pPr>
            <w:r>
              <w:rPr>
                <w:lang w:eastAsia="zh-CN"/>
              </w:rPr>
              <w:t>补料系统</w:t>
            </w:r>
            <w:r>
              <w:rPr>
                <w:rFonts w:hint="eastAsia"/>
                <w:lang w:eastAsia="zh-CN"/>
              </w:rPr>
              <w:t>：种类包括</w:t>
            </w:r>
            <w:r>
              <w:rPr>
                <w:rFonts w:hint="eastAsia" w:ascii="新宋体" w:hAnsi="新宋体" w:eastAsia="新宋体" w:cs="新宋体"/>
                <w:lang w:eastAsia="zh-CN"/>
              </w:rPr>
              <w:t>碱液、消泡剂、培养液等，配备1套取样瓶，4套补料瓶，以及满足细胞培养的硅胶软管。</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lang w:val="en-US" w:eastAsia="zh-CN"/>
              </w:rPr>
            </w:pPr>
            <w:r>
              <w:rPr>
                <w:rFonts w:hint="eastAsia"/>
                <w:lang w:val="en-US" w:eastAsia="zh-CN"/>
              </w:rPr>
              <w:t>蠕动泵：</w:t>
            </w:r>
            <w:r>
              <w:rPr>
                <w:rFonts w:hint="eastAsia" w:ascii="新宋体" w:hAnsi="新宋体" w:eastAsia="新宋体" w:cs="新宋体"/>
                <w:lang w:eastAsia="zh-CN"/>
              </w:rPr>
              <w:t>每个罐</w:t>
            </w:r>
            <w:r>
              <w:rPr>
                <w:rFonts w:hint="eastAsia" w:ascii="新宋体" w:hAnsi="新宋体" w:eastAsia="新宋体" w:cs="新宋体"/>
                <w:lang w:val="en-US" w:eastAsia="zh-CN"/>
              </w:rPr>
              <w:t>4</w:t>
            </w:r>
            <w:r>
              <w:rPr>
                <w:rFonts w:hint="eastAsia" w:ascii="新宋体" w:hAnsi="新宋体" w:eastAsia="新宋体" w:cs="新宋体"/>
                <w:lang w:eastAsia="zh-CN"/>
              </w:rPr>
              <w:t>个蠕动泵，转速、流量和罐体容积相匹配，</w:t>
            </w:r>
            <w:r>
              <w:rPr>
                <w:rFonts w:hint="eastAsia" w:ascii="新宋体" w:hAnsi="新宋体" w:eastAsia="新宋体" w:cs="新宋体"/>
                <w:lang w:val="en-US" w:eastAsia="zh-CN"/>
              </w:rPr>
              <w:t>精度可校准</w:t>
            </w:r>
            <w:r>
              <w:rPr>
                <w:rFonts w:hint="eastAsia" w:ascii="新宋体" w:hAnsi="新宋体" w:eastAsia="新宋体" w:cs="新宋体"/>
                <w:lang w:eastAsia="zh-CN"/>
              </w:rPr>
              <w:t>。</w:t>
            </w:r>
            <w:r>
              <w:rPr>
                <w:rFonts w:hint="eastAsia" w:ascii="新宋体" w:hAnsi="新宋体" w:eastAsia="新宋体" w:cs="新宋体"/>
                <w:lang w:val="en-US" w:eastAsia="zh-CN"/>
              </w:rPr>
              <w:t>蠕动泵应为市场主流品牌。</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6"/>
              <w:rPr>
                <w:lang w:eastAsia="zh-CN"/>
              </w:rPr>
            </w:pPr>
            <w:r>
              <w:rPr>
                <w:lang w:eastAsia="zh-CN"/>
              </w:rPr>
              <w:t>液位控制</w:t>
            </w:r>
            <w:r>
              <w:rPr>
                <w:rFonts w:hint="eastAsia"/>
                <w:lang w:eastAsia="zh-CN"/>
              </w:rPr>
              <w:t>：</w:t>
            </w:r>
            <w:r>
              <w:rPr>
                <w:lang w:eastAsia="zh-CN"/>
              </w:rPr>
              <w:t>配备液位电极</w:t>
            </w:r>
            <w:r>
              <w:rPr>
                <w:rFonts w:hint="eastAsia"/>
                <w:lang w:eastAsia="zh-CN"/>
              </w:rPr>
              <w:t>。液位控制为PID控制，与收获/排废/出料蠕动泵或者外部设备可进行关联控制。</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lang w:val="en-US" w:eastAsia="zh-CN"/>
              </w:rPr>
            </w:pPr>
            <w:r>
              <w:rPr>
                <w:rFonts w:hint="eastAsia"/>
                <w:lang w:val="en-US" w:eastAsia="zh-CN"/>
              </w:rPr>
              <w:t>除电机外，反应器整体可重复耐受蒸汽高压灭菌。</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lang w:eastAsia="zh-CN"/>
              </w:rPr>
            </w:pPr>
            <w:r>
              <w:rPr>
                <w:rFonts w:hint="eastAsia" w:ascii="新宋体" w:hAnsi="新宋体" w:eastAsia="新宋体" w:cs="新宋体"/>
                <w:lang w:val="de-DE"/>
              </w:rPr>
              <w:t>设备运转噪音在</w:t>
            </w:r>
            <w:r>
              <w:rPr>
                <w:rFonts w:hint="eastAsia" w:ascii="新宋体" w:hAnsi="新宋体" w:eastAsia="新宋体" w:cs="新宋体"/>
              </w:rPr>
              <w:t>65</w:t>
            </w:r>
            <w:r>
              <w:rPr>
                <w:rFonts w:hint="eastAsia" w:ascii="新宋体" w:hAnsi="新宋体" w:eastAsia="新宋体" w:cs="新宋体"/>
                <w:lang w:val="de-DE"/>
              </w:rPr>
              <w:t>dB(A)以下。</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rFonts w:ascii="新宋体" w:hAnsi="新宋体" w:eastAsia="新宋体" w:cs="新宋体"/>
                <w:lang w:val="en-US" w:eastAsia="zh-CN"/>
              </w:rPr>
            </w:pPr>
            <w:r>
              <w:rPr>
                <w:rFonts w:hint="eastAsia" w:ascii="新宋体" w:hAnsi="新宋体" w:eastAsia="新宋体" w:cs="新宋体"/>
                <w:lang w:val="en-US" w:eastAsia="zh-CN"/>
              </w:rPr>
              <w:t>反应器玻璃罐主体封闭后可通过0.1Mpa以内压力密封性试验。</w:t>
            </w:r>
          </w:p>
        </w:tc>
        <w:tc>
          <w:tcPr>
            <w:tcW w:w="2125" w:type="dxa"/>
            <w:shd w:val="clear" w:color="auto" w:fill="auto"/>
            <w:vAlign w:val="center"/>
          </w:tcPr>
          <w:p>
            <w:pPr>
              <w:jc w:val="both"/>
              <w:rPr>
                <w:szCs w:val="21"/>
                <w:lang w:eastAsia="zh-CN"/>
              </w:rPr>
            </w:pPr>
            <w:r>
              <w:rPr>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2"/>
              <w:ind w:firstLine="0" w:firstLineChars="0"/>
              <w:rPr>
                <w:rFonts w:ascii="Times New Roman" w:hAnsi="Times New Roman"/>
                <w:szCs w:val="21"/>
              </w:rPr>
            </w:pPr>
            <w:permStart w:id="24" w:edGrp="everyone"/>
          </w:p>
        </w:tc>
        <w:tc>
          <w:tcPr>
            <w:tcW w:w="9253" w:type="dxa"/>
            <w:gridSpan w:val="2"/>
            <w:shd w:val="clear" w:color="auto" w:fill="auto"/>
            <w:vAlign w:val="center"/>
          </w:tcPr>
          <w:p>
            <w:pPr>
              <w:jc w:val="both"/>
              <w:rPr>
                <w:szCs w:val="21"/>
                <w:lang w:eastAsia="zh-CN"/>
              </w:rPr>
            </w:pPr>
            <w:r>
              <w:rPr>
                <w:rFonts w:hint="eastAsia"/>
                <w:szCs w:val="21"/>
                <w:lang w:eastAsia="zh-CN"/>
              </w:rPr>
              <w:t>N/A</w:t>
            </w:r>
          </w:p>
        </w:tc>
      </w:tr>
      <w:permEnd w:id="24"/>
    </w:tbl>
    <w:p>
      <w:pPr>
        <w:pStyle w:val="32"/>
        <w:numPr>
          <w:ilvl w:val="0"/>
          <w:numId w:val="3"/>
        </w:numPr>
        <w:spacing w:after="158" w:afterLines="50"/>
        <w:ind w:left="426" w:hanging="426" w:hangingChars="202"/>
        <w:outlineLvl w:val="0"/>
        <w:rPr>
          <w:rFonts w:ascii="Times New Roman" w:hAnsi="Times New Roman"/>
          <w:b/>
        </w:rPr>
      </w:pPr>
      <w:bookmarkStart w:id="30" w:name="_Toc522716122"/>
      <w:bookmarkStart w:id="31" w:name="_Toc522107742"/>
      <w:bookmarkStart w:id="32" w:name="_Toc482370359"/>
      <w:bookmarkStart w:id="33" w:name="_Toc482370071"/>
      <w:bookmarkStart w:id="34" w:name="_Toc482717202"/>
      <w:bookmarkStart w:id="35" w:name="_Toc483227237"/>
      <w:bookmarkStart w:id="36" w:name="_Toc482360291"/>
      <w:bookmarkStart w:id="37" w:name="_Toc482370767"/>
      <w:bookmarkStart w:id="38" w:name="_Toc482369815"/>
      <w:bookmarkStart w:id="39" w:name="_Toc482359946"/>
      <w:bookmarkStart w:id="40" w:name="_Toc482370151"/>
      <w:bookmarkStart w:id="41" w:name="_Toc481702480"/>
      <w:bookmarkStart w:id="42" w:name="_Toc482625289"/>
      <w:bookmarkStart w:id="43" w:name="_Toc483400317"/>
      <w:r>
        <w:rPr>
          <w:rFonts w:ascii="Times New Roman" w:hAnsi="Times New Roman"/>
          <w:b/>
        </w:rPr>
        <w:t>电气、自动控制要求</w:t>
      </w:r>
      <w:bookmarkEnd w:id="30"/>
    </w:p>
    <w:p>
      <w:pPr>
        <w:pStyle w:val="42"/>
        <w:spacing w:before="0" w:line="360" w:lineRule="auto"/>
        <w:ind w:left="425"/>
        <w:jc w:val="left"/>
        <w:rPr>
          <w:i/>
          <w:color w:val="4472C4"/>
          <w:szCs w:val="21"/>
          <w:lang w:eastAsia="zh-CN"/>
        </w:rPr>
      </w:pPr>
      <w:permStart w:id="25" w:edGrp="everyone"/>
    </w:p>
    <w:permEnd w:id="25"/>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6" w:edGrp="everyone"/>
          </w:p>
        </w:tc>
        <w:tc>
          <w:tcPr>
            <w:tcW w:w="7128" w:type="dxa"/>
            <w:shd w:val="clear" w:color="auto" w:fill="auto"/>
            <w:vAlign w:val="center"/>
          </w:tcPr>
          <w:p>
            <w:pPr>
              <w:spacing w:line="276" w:lineRule="auto"/>
              <w:jc w:val="both"/>
              <w:rPr>
                <w:szCs w:val="21"/>
                <w:lang w:val="en-US" w:eastAsia="zh-CN"/>
              </w:rPr>
            </w:pPr>
            <w:r>
              <w:rPr>
                <w:rFonts w:hint="eastAsia" w:ascii="新宋体" w:hAnsi="新宋体" w:eastAsia="新宋体" w:cs="新宋体"/>
                <w:lang w:eastAsia="zh-CN"/>
              </w:rPr>
              <w:t>反应器单独设置触摸屏操作，西门子PLC控制。</w:t>
            </w:r>
            <w:r>
              <w:rPr>
                <w:rFonts w:hint="eastAsia" w:ascii="新宋体" w:hAnsi="新宋体" w:eastAsia="新宋体" w:cs="新宋体"/>
                <w:lang w:val="en-US" w:eastAsia="zh-CN"/>
              </w:rPr>
              <w:t>屏幕大小</w:t>
            </w:r>
            <w:r>
              <w:rPr>
                <w:rStyle w:val="25"/>
                <w:rFonts w:hint="eastAsia"/>
                <w:lang w:val="en-US" w:eastAsia="zh-CN"/>
              </w:rPr>
              <w:t>6寸及以上。</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新宋体" w:hAnsi="新宋体" w:eastAsia="新宋体" w:cs="新宋体"/>
                <w:lang w:eastAsia="zh-CN"/>
              </w:rPr>
            </w:pPr>
            <w:r>
              <w:rPr>
                <w:rFonts w:hint="eastAsia" w:ascii="新宋体" w:hAnsi="新宋体" w:eastAsia="新宋体" w:cs="新宋体"/>
                <w:lang w:eastAsia="zh-CN"/>
              </w:rPr>
              <w:t>人机界面友好，可</w:t>
            </w:r>
            <w:r>
              <w:rPr>
                <w:rFonts w:hint="eastAsia" w:ascii="新宋体" w:hAnsi="新宋体" w:eastAsia="新宋体" w:cs="新宋体"/>
                <w:lang w:val="en-US" w:eastAsia="zh-CN"/>
              </w:rPr>
              <w:t>安装和</w:t>
            </w:r>
            <w:r>
              <w:rPr>
                <w:rFonts w:hint="eastAsia" w:ascii="新宋体" w:hAnsi="新宋体" w:eastAsia="新宋体" w:cs="新宋体"/>
                <w:lang w:eastAsia="zh-CN"/>
              </w:rPr>
              <w:t>切换多种监控画面。全中文操作。在界面上可以对任何控制阀门、仪表等进行设定、手动、自动操作。</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新宋体" w:hAnsi="新宋体" w:eastAsia="新宋体" w:cs="新宋体"/>
                <w:lang w:eastAsia="zh-CN"/>
              </w:rPr>
            </w:pPr>
            <w:r>
              <w:rPr>
                <w:rFonts w:hint="eastAsia" w:ascii="新宋体" w:hAnsi="新宋体" w:eastAsia="新宋体" w:cs="新宋体"/>
                <w:lang w:eastAsia="zh-CN"/>
              </w:rPr>
              <w:t>按照工艺要求预先设定各种工艺参数并自动监控生产状态、处理报警事件，均有曲线记录，并可随时查阅分析；可同时检测控制搅拌速度、罐内温度、pH值、DO值、补料等。</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新宋体" w:hAnsi="新宋体" w:eastAsia="新宋体" w:cs="新宋体"/>
                <w:lang w:eastAsia="zh-CN"/>
              </w:rPr>
            </w:pPr>
            <w:r>
              <w:rPr>
                <w:rFonts w:hint="eastAsia" w:ascii="新宋体" w:hAnsi="新宋体" w:eastAsia="新宋体" w:cs="新宋体"/>
                <w:lang w:eastAsia="zh-CN"/>
              </w:rPr>
              <w:t>各参数有PID调节过程显示，如设定值，实时值，PID设定值，上下限值等。</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新宋体" w:hAnsi="新宋体" w:eastAsia="新宋体" w:cs="新宋体"/>
                <w:lang w:eastAsia="zh-CN"/>
              </w:rPr>
            </w:pPr>
            <w:r>
              <w:rPr>
                <w:rFonts w:hint="eastAsia" w:ascii="新宋体" w:hAnsi="新宋体" w:eastAsia="新宋体" w:cs="新宋体"/>
                <w:lang w:eastAsia="zh-CN"/>
              </w:rPr>
              <w:t>具备手自动切换功能。</w:t>
            </w:r>
            <w:r>
              <w:rPr>
                <w:rFonts w:hint="eastAsia" w:ascii="新宋体" w:hAnsi="新宋体" w:eastAsia="新宋体" w:cs="新宋体"/>
                <w:lang w:val="en-US" w:eastAsia="zh-CN"/>
              </w:rPr>
              <w:t>搅拌转速、蠕动泵转速</w:t>
            </w:r>
            <w:r>
              <w:rPr>
                <w:rFonts w:hint="eastAsia" w:ascii="新宋体" w:hAnsi="新宋体" w:eastAsia="新宋体" w:cs="新宋体"/>
                <w:lang w:eastAsia="zh-CN"/>
              </w:rPr>
              <w:t>、温度、pH值、DO值、补料等都能设定为自动、手动及关闭状态。</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新宋体" w:hAnsi="新宋体" w:eastAsia="新宋体" w:cs="新宋体"/>
                <w:lang w:eastAsia="zh-CN"/>
              </w:rPr>
            </w:pPr>
            <w:r>
              <w:rPr>
                <w:rFonts w:hint="eastAsia" w:ascii="新宋体" w:hAnsi="新宋体" w:eastAsia="新宋体" w:cs="新宋体"/>
                <w:lang w:eastAsia="zh-CN"/>
              </w:rPr>
              <w:t>有完善的补料系统，蠕动泵可定时定量补料，补料可计量，可曲线显示。</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新宋体" w:hAnsi="新宋体" w:eastAsia="新宋体" w:cs="新宋体"/>
                <w:lang w:eastAsia="zh-CN"/>
              </w:rPr>
            </w:pPr>
            <w:r>
              <w:rPr>
                <w:rFonts w:hint="eastAsia" w:ascii="新宋体" w:hAnsi="新宋体" w:eastAsia="新宋体" w:cs="新宋体"/>
                <w:lang w:eastAsia="zh-CN"/>
              </w:rPr>
              <w:t>具备DO与通气量等的关联控制；pH与CO2、补碱的关联控制等功能。</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ascii="新宋体" w:hAnsi="新宋体" w:eastAsia="新宋体" w:cs="新宋体"/>
                <w:lang w:eastAsia="zh-CN"/>
              </w:rPr>
              <w:t>各检测和控制回路的参数可以在画面上在线手动设定和修正，可以进行温度、PH、DO传感器的随时整定调校，各蠕动泵流量的标定。</w:t>
            </w:r>
          </w:p>
        </w:tc>
        <w:tc>
          <w:tcPr>
            <w:tcW w:w="2125" w:type="dxa"/>
            <w:shd w:val="clear" w:color="auto" w:fill="auto"/>
            <w:vAlign w:val="center"/>
          </w:tcPr>
          <w:p>
            <w:pPr>
              <w:jc w:val="both"/>
              <w:rPr>
                <w:szCs w:val="21"/>
                <w:lang w:eastAsia="zh-CN"/>
              </w:rPr>
            </w:pPr>
            <w:r>
              <w:rPr>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rFonts w:hint="eastAsia" w:ascii="新宋体" w:hAnsi="新宋体" w:eastAsia="新宋体" w:cs="新宋体"/>
                <w:lang w:eastAsia="zh-CN"/>
              </w:rPr>
              <w:t>USB接口插接U盘，可导出保存过程参数等数据。</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00" w:lineRule="exact"/>
              <w:rPr>
                <w:rFonts w:ascii="新宋体" w:hAnsi="新宋体" w:eastAsia="新宋体" w:cs="新宋体"/>
                <w:lang w:eastAsia="zh-CN"/>
              </w:rPr>
            </w:pPr>
            <w:r>
              <w:rPr>
                <w:rFonts w:hint="eastAsia" w:ascii="新宋体" w:hAnsi="新宋体" w:eastAsia="新宋体" w:cs="新宋体"/>
                <w:lang w:eastAsia="zh-CN"/>
              </w:rPr>
              <w:t>具有互联网远程监测功能。配备电脑及软件系统，</w:t>
            </w:r>
            <w:r>
              <w:rPr>
                <w:rFonts w:hint="eastAsia" w:ascii="新宋体" w:hAnsi="新宋体" w:eastAsia="新宋体" w:cs="新宋体"/>
                <w:lang w:val="en-US" w:eastAsia="zh-CN"/>
              </w:rPr>
              <w:t>可以</w:t>
            </w:r>
            <w:r>
              <w:rPr>
                <w:rFonts w:hint="eastAsia" w:ascii="新宋体" w:hAnsi="新宋体" w:eastAsia="新宋体" w:cs="新宋体"/>
                <w:lang w:eastAsia="zh-CN"/>
              </w:rPr>
              <w:t>实现远程监测</w:t>
            </w:r>
            <w:r>
              <w:rPr>
                <w:rFonts w:hint="eastAsia" w:ascii="新宋体" w:hAnsi="新宋体" w:eastAsia="新宋体" w:cs="新宋体"/>
                <w:lang w:val="en-US" w:eastAsia="zh-CN"/>
              </w:rPr>
              <w:t>和控制</w:t>
            </w:r>
            <w:r>
              <w:rPr>
                <w:rFonts w:hint="eastAsia" w:ascii="新宋体" w:hAnsi="新宋体" w:eastAsia="新宋体" w:cs="新宋体"/>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rFonts w:hint="eastAsia" w:ascii="新宋体" w:hAnsi="新宋体" w:eastAsia="新宋体" w:cs="新宋体"/>
                <w:lang w:eastAsia="zh-CN"/>
              </w:rPr>
              <w:t>系统数据可图形显示曲线，有运行过程的实时显示、数据记录、数据存储、数据分析、密码管理、异常分析等功能及报警等功能；实时数据在停电重新开机时能原样恢复。系统各类数据按生产批号归档储存，可永久储存，可随时查阅。</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rFonts w:hint="eastAsia" w:ascii="新宋体" w:hAnsi="新宋体" w:eastAsia="新宋体" w:cs="新宋体"/>
                <w:lang w:eastAsia="zh-CN"/>
              </w:rPr>
              <w:t>系统具有自适应能力和自诊断能力；异常情况可根据客户设定做自动报警及保护操作。</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rFonts w:hint="eastAsia" w:ascii="新宋体" w:hAnsi="新宋体" w:eastAsia="新宋体" w:cs="新宋体"/>
                <w:lang w:eastAsia="zh-CN"/>
              </w:rPr>
              <w:t>所有报警事故可记录查阅。</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rFonts w:hint="eastAsia" w:ascii="新宋体" w:hAnsi="新宋体" w:eastAsia="新宋体" w:cs="新宋体"/>
                <w:lang w:eastAsia="zh-CN"/>
              </w:rPr>
              <w:t>系统采用多级密码授权来管理和操作等。</w:t>
            </w:r>
          </w:p>
        </w:tc>
        <w:tc>
          <w:tcPr>
            <w:tcW w:w="2125" w:type="dxa"/>
            <w:shd w:val="clear" w:color="auto" w:fill="auto"/>
            <w:vAlign w:val="center"/>
          </w:tcPr>
          <w:p>
            <w:pPr>
              <w:jc w:val="both"/>
              <w:rPr>
                <w:szCs w:val="21"/>
                <w:lang w:eastAsia="zh-CN"/>
              </w:rPr>
            </w:pPr>
            <w:r>
              <w:rPr>
                <w:szCs w:val="21"/>
                <w:lang w:eastAsia="zh-CN"/>
              </w:rPr>
              <w:t>关键</w:t>
            </w:r>
          </w:p>
        </w:tc>
      </w:tr>
      <w:permEnd w:id="27"/>
    </w:tbl>
    <w:p>
      <w:pPr>
        <w:spacing w:after="158" w:afterLines="50"/>
        <w:rPr>
          <w:b/>
          <w:lang w:eastAsia="zh-CN"/>
        </w:rPr>
      </w:pPr>
    </w:p>
    <w:p>
      <w:pPr>
        <w:pStyle w:val="32"/>
        <w:numPr>
          <w:ilvl w:val="0"/>
          <w:numId w:val="3"/>
        </w:numPr>
        <w:spacing w:after="158" w:afterLines="50"/>
        <w:ind w:left="426" w:hanging="426" w:hangingChars="202"/>
        <w:outlineLvl w:val="0"/>
        <w:rPr>
          <w:rFonts w:ascii="Times New Roman" w:hAnsi="Times New Roman"/>
          <w:b/>
        </w:rPr>
      </w:pPr>
      <w:bookmarkStart w:id="44" w:name="_Toc522716123"/>
      <w:r>
        <w:rPr>
          <w:rFonts w:ascii="Times New Roman" w:hAnsi="Times New Roman"/>
          <w:b/>
        </w:rPr>
        <w:t>安全要求</w:t>
      </w:r>
      <w:bookmarkEnd w:id="31"/>
      <w:bookmarkEnd w:id="44"/>
    </w:p>
    <w:p>
      <w:pPr>
        <w:pStyle w:val="42"/>
        <w:spacing w:before="0" w:line="360" w:lineRule="auto"/>
        <w:jc w:val="left"/>
        <w:rPr>
          <w:i/>
          <w:color w:val="4472C4"/>
          <w:szCs w:val="21"/>
          <w:lang w:eastAsia="zh-CN"/>
        </w:rPr>
      </w:pPr>
      <w:permStart w:id="28" w:edGrp="everyone"/>
    </w:p>
    <w:permEnd w:id="28"/>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spacing w:line="276" w:lineRule="auto"/>
              <w:jc w:val="both"/>
              <w:rPr>
                <w:lang w:eastAsia="zh-CN"/>
              </w:rPr>
            </w:pPr>
            <w:r>
              <w:rPr>
                <w:rFonts w:hint="eastAsia" w:ascii="新宋体" w:hAnsi="新宋体" w:eastAsia="新宋体" w:cs="新宋体"/>
                <w:lang w:val="de-DE" w:eastAsia="zh-CN"/>
              </w:rPr>
              <w:t>配置报警与故障保护停机控制系统、安全防护装置、过载保护等功能，确保机器运行、操作等安全。</w:t>
            </w:r>
          </w:p>
        </w:tc>
        <w:tc>
          <w:tcPr>
            <w:tcW w:w="2125" w:type="dxa"/>
            <w:shd w:val="clear" w:color="auto" w:fill="auto"/>
            <w:vAlign w:val="center"/>
          </w:tcPr>
          <w:p>
            <w:pPr>
              <w:jc w:val="both"/>
              <w:rPr>
                <w:szCs w:val="21"/>
                <w:lang w:eastAsia="zh-CN"/>
              </w:rPr>
            </w:pPr>
            <w:r>
              <w:rPr>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0" w:edGrp="everyone"/>
          </w:p>
        </w:tc>
        <w:tc>
          <w:tcPr>
            <w:tcW w:w="7128" w:type="dxa"/>
            <w:shd w:val="clear" w:color="auto" w:fill="auto"/>
            <w:vAlign w:val="center"/>
          </w:tcPr>
          <w:p>
            <w:pPr>
              <w:jc w:val="both"/>
              <w:rPr>
                <w:lang w:eastAsia="zh-CN"/>
              </w:rPr>
            </w:pPr>
            <w:r>
              <w:rPr>
                <w:rFonts w:hint="eastAsia" w:ascii="新宋体" w:hAnsi="新宋体" w:eastAsia="新宋体" w:cs="新宋体"/>
                <w:lang w:val="de-DE" w:eastAsia="zh-CN"/>
              </w:rPr>
              <w:t>所有的线路应采用密闭线槽配线。</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ascii="新宋体" w:hAnsi="新宋体" w:eastAsia="新宋体" w:cs="新宋体"/>
                <w:lang w:val="de-DE" w:eastAsia="zh-CN"/>
              </w:rPr>
              <w:t>所有控制配线采用低电压控制系统，电压≤36V。低压接线（通讯/信号线路）与较高的电压隔离开处理，并且采用屏蔽电缆。</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ascii="新宋体" w:hAnsi="新宋体" w:eastAsia="新宋体" w:cs="新宋体"/>
                <w:lang w:val="zh-CN" w:eastAsia="zh-CN"/>
              </w:rPr>
              <w:t>所有电线根据计数文件在每一端通过数字、字母等进行标识。每根导线应在所有端点和连接点采用相同的标识。线路标识打印在防油、防潮的收缩标签上。</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ascii="新宋体" w:hAnsi="新宋体" w:eastAsia="新宋体" w:cs="新宋体"/>
                <w:lang w:val="de-DE" w:eastAsia="zh-CN"/>
              </w:rPr>
              <w:t>电气柜所有金属部位应该正确接地。</w:t>
            </w:r>
            <w:r>
              <w:rPr>
                <w:rFonts w:hint="eastAsia" w:ascii="新宋体" w:hAnsi="新宋体" w:eastAsia="新宋体" w:cs="新宋体"/>
                <w:lang w:val="zh-CN" w:eastAsia="zh-CN"/>
              </w:rPr>
              <w:t>使用模拟装置的面板应具有独立的接地块与独立的导线连接到主接地点。</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ascii="新宋体" w:hAnsi="新宋体" w:eastAsia="新宋体" w:cs="新宋体"/>
                <w:lang w:val="de-DE" w:eastAsia="zh-CN"/>
              </w:rPr>
              <w:t>所有电气连接处外部应有电气警示标识。设备高电压部位应该采取机械保护，防止人员意外接触。</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ascii="新宋体" w:hAnsi="新宋体" w:eastAsia="新宋体" w:cs="新宋体"/>
                <w:lang w:val="de-DE" w:eastAsia="zh-CN"/>
              </w:rPr>
              <w:t>系统具有断电保护措施：在断电下所有的阀门关闭以保持过程的完整性。恢复供电后，设备可设定自动开机或人工启动。</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新宋体" w:hAnsi="新宋体" w:eastAsia="新宋体" w:cs="新宋体"/>
                <w:lang w:val="en-US" w:eastAsia="zh-CN"/>
              </w:rPr>
            </w:pPr>
            <w:r>
              <w:rPr>
                <w:rFonts w:hint="eastAsia" w:ascii="新宋体" w:hAnsi="新宋体" w:eastAsia="新宋体" w:cs="新宋体"/>
                <w:lang w:val="en-US" w:eastAsia="zh-CN"/>
              </w:rPr>
              <w:t>配置急停按钮。</w:t>
            </w:r>
          </w:p>
        </w:tc>
        <w:tc>
          <w:tcPr>
            <w:tcW w:w="2125" w:type="dxa"/>
            <w:shd w:val="clear" w:color="auto" w:fill="auto"/>
            <w:vAlign w:val="center"/>
          </w:tcPr>
          <w:p>
            <w:pPr>
              <w:jc w:val="both"/>
              <w:rPr>
                <w:szCs w:val="21"/>
                <w:lang w:eastAsia="zh-CN"/>
              </w:rPr>
            </w:pPr>
            <w:r>
              <w:rPr>
                <w:szCs w:val="21"/>
                <w:lang w:eastAsia="zh-CN"/>
              </w:rPr>
              <w:t>关键</w:t>
            </w:r>
          </w:p>
        </w:tc>
      </w:tr>
      <w:permEnd w:id="30"/>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5" w:name="_Toc522716124"/>
      <w:bookmarkStart w:id="46" w:name="_Toc522107743"/>
      <w:r>
        <w:rPr>
          <w:rFonts w:ascii="Times New Roman" w:hAnsi="Times New Roman"/>
          <w:b/>
        </w:rPr>
        <w:t>文件要求</w:t>
      </w:r>
      <w:bookmarkEnd w:id="45"/>
      <w:bookmarkEnd w:id="46"/>
    </w:p>
    <w:p>
      <w:pPr>
        <w:pStyle w:val="42"/>
        <w:spacing w:before="0" w:line="360" w:lineRule="auto"/>
        <w:ind w:left="357"/>
        <w:jc w:val="left"/>
        <w:rPr>
          <w:i/>
          <w:szCs w:val="21"/>
          <w:lang w:eastAsia="zh-CN"/>
        </w:rPr>
      </w:pPr>
      <w:permStart w:id="31" w:edGrp="everyone"/>
    </w:p>
    <w:permEnd w:id="31"/>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jc w:val="both"/>
              <w:rPr>
                <w:szCs w:val="21"/>
                <w:lang w:eastAsia="zh-CN"/>
              </w:rPr>
            </w:pPr>
            <w:r>
              <w:rPr>
                <w:rFonts w:hint="eastAsia" w:ascii="宋体" w:hAnsi="宋体"/>
                <w:szCs w:val="21"/>
                <w:lang w:eastAsia="zh-CN"/>
              </w:rPr>
              <w:t>投标文件、合同及订单。提交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jc w:val="both"/>
              <w:rPr>
                <w:szCs w:val="21"/>
                <w:lang w:eastAsia="zh-CN"/>
              </w:rPr>
            </w:pPr>
            <w:r>
              <w:rPr>
                <w:lang w:eastAsia="zh-CN"/>
              </w:rPr>
              <w:t>设</w:t>
            </w:r>
            <w:r>
              <w:rPr>
                <w:rFonts w:hint="eastAsia"/>
                <w:lang w:eastAsia="zh-CN"/>
              </w:rPr>
              <w:t>备</w:t>
            </w:r>
            <w:r>
              <w:rPr>
                <w:lang w:eastAsia="zh-CN"/>
              </w:rPr>
              <w:t>操作、维护保养和服务手册。</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ascii="新宋体" w:hAnsi="新宋体" w:eastAsia="新宋体" w:cs="新宋体"/>
                <w:lang w:val="de-DE" w:eastAsia="zh-CN"/>
              </w:rPr>
              <w:t>成套(整套)装置的合格证和质量保证书。</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ascii="新宋体" w:hAnsi="新宋体" w:eastAsia="新宋体" w:cs="新宋体"/>
                <w:lang w:val="de-DE" w:eastAsia="zh-CN"/>
              </w:rPr>
              <w:t>原材料：生产商、合格证和材质检测证书等。</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新宋体" w:hAnsi="新宋体" w:eastAsia="新宋体" w:cs="新宋体"/>
                <w:lang w:val="de-DE" w:eastAsia="zh-CN"/>
              </w:rPr>
            </w:pPr>
            <w:r>
              <w:rPr>
                <w:rFonts w:hint="eastAsia" w:ascii="新宋体" w:hAnsi="新宋体" w:eastAsia="新宋体" w:cs="新宋体"/>
                <w:lang w:val="de-DE" w:eastAsia="zh-CN"/>
              </w:rPr>
              <w:t>设备和设备附件、零部件（包括机械、电气、仪表和控制系统）的合格证和使用说明书（规格型号、数量、技术参数、电路图、结构图、平面布置图、生产商等内容）质量保证书、保修卡、检测记录和检测证书。</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新宋体" w:hAnsi="新宋体" w:eastAsia="新宋体" w:cs="新宋体"/>
                <w:lang w:val="de-DE" w:eastAsia="zh-CN"/>
              </w:rPr>
            </w:pPr>
            <w:r>
              <w:rPr>
                <w:rFonts w:hint="eastAsia" w:ascii="新宋体" w:hAnsi="新宋体" w:eastAsia="新宋体" w:cs="新宋体"/>
                <w:lang w:val="de-DE" w:eastAsia="zh-CN"/>
              </w:rPr>
              <w:t>随机配件清单（标明名称、材料、规格、型号、产地和生产商、简图、标准、数量、正常使用寿命、价格等）。</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新宋体" w:hAnsi="新宋体" w:eastAsia="新宋体" w:cs="新宋体"/>
                <w:lang w:val="de-DE" w:eastAsia="zh-CN"/>
              </w:rPr>
            </w:pPr>
            <w:r>
              <w:rPr>
                <w:rFonts w:hint="eastAsia" w:ascii="新宋体" w:hAnsi="新宋体" w:eastAsia="新宋体" w:cs="新宋体"/>
                <w:lang w:val="de-DE" w:eastAsia="zh-CN"/>
              </w:rPr>
              <w:t>易损件一览表（表明名称、材料、规格、型号、产地和生产商、简图、标准、数量、正常使用寿命、价格等）。</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:设备开箱验收</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rPr>
                <w:color w:val="000000"/>
                <w:szCs w:val="21"/>
                <w:lang w:eastAsia="zh-CN"/>
              </w:rPr>
            </w:pPr>
            <w:r>
              <w:rPr>
                <w:color w:val="000000"/>
                <w:szCs w:val="21"/>
                <w:lang w:eastAsia="zh-CN"/>
              </w:rPr>
              <w:t>验证文件：</w:t>
            </w:r>
          </w:p>
          <w:p>
            <w:pPr>
              <w:tabs>
                <w:tab w:val="left" w:pos="370"/>
              </w:tabs>
              <w:spacing w:line="360" w:lineRule="auto"/>
              <w:ind w:left="370"/>
              <w:rPr>
                <w:color w:val="000000"/>
                <w:szCs w:val="21"/>
                <w:lang w:eastAsia="zh-CN"/>
              </w:rPr>
            </w:pPr>
            <w:r>
              <w:rPr>
                <w:color w:val="000000"/>
                <w:szCs w:val="21"/>
                <w:lang w:eastAsia="zh-CN"/>
              </w:rPr>
              <w:t>性能确认及文件（PQ）；安装确认及文件（IQ）；运行确认及文件（OQ）；</w:t>
            </w:r>
            <w:r>
              <w:rPr>
                <w:rFonts w:hint="eastAsia"/>
                <w:color w:val="000000"/>
                <w:szCs w:val="21"/>
                <w:lang w:val="en-US" w:eastAsia="zh-CN"/>
              </w:rPr>
              <w:t>设计确认及文件（DQ）；工厂</w:t>
            </w:r>
            <w:r>
              <w:rPr>
                <w:rFonts w:hint="eastAsia" w:ascii="新宋体" w:hAnsi="新宋体" w:eastAsia="新宋体" w:cs="新宋体"/>
                <w:lang w:val="de-DE" w:eastAsia="zh-CN"/>
              </w:rPr>
              <w:t>验收测试</w:t>
            </w:r>
            <w:r>
              <w:rPr>
                <w:rFonts w:hint="eastAsia"/>
                <w:color w:val="000000"/>
                <w:szCs w:val="21"/>
                <w:lang w:val="en-US" w:eastAsia="zh-CN"/>
              </w:rPr>
              <w:t>及文件（FAT）；现场</w:t>
            </w:r>
            <w:r>
              <w:rPr>
                <w:rFonts w:hint="eastAsia" w:ascii="新宋体" w:hAnsi="新宋体" w:eastAsia="新宋体" w:cs="新宋体"/>
                <w:lang w:val="de-DE" w:eastAsia="zh-CN"/>
              </w:rPr>
              <w:t>验收测试</w:t>
            </w:r>
            <w:r>
              <w:rPr>
                <w:rFonts w:hint="eastAsia"/>
                <w:color w:val="000000"/>
                <w:szCs w:val="21"/>
                <w:lang w:val="en-US" w:eastAsia="zh-CN"/>
              </w:rPr>
              <w:t>及文件（SAT）；</w:t>
            </w:r>
          </w:p>
          <w:p>
            <w:pPr>
              <w:jc w:val="both"/>
              <w:rPr>
                <w:lang w:eastAsia="zh-CN"/>
              </w:rPr>
            </w:pPr>
            <w:r>
              <w:rPr>
                <w:color w:val="000000"/>
                <w:szCs w:val="21"/>
                <w:lang w:eastAsia="zh-CN"/>
              </w:rPr>
              <w:t>负责制定PQ/IQ/OQ</w:t>
            </w:r>
            <w:r>
              <w:rPr>
                <w:rFonts w:hint="eastAsia"/>
                <w:color w:val="000000"/>
                <w:szCs w:val="21"/>
                <w:lang w:val="en-US" w:eastAsia="zh-CN"/>
              </w:rPr>
              <w:t>/DQ/FAT/SAT</w:t>
            </w:r>
            <w:r>
              <w:rPr>
                <w:color w:val="000000"/>
                <w:szCs w:val="21"/>
                <w:lang w:eastAsia="zh-CN"/>
              </w:rPr>
              <w:t>验证文件并负责验证工作的实施，该验证文件作为设备必备文件。</w:t>
            </w:r>
            <w:r>
              <w:rPr>
                <w:szCs w:val="21"/>
                <w:lang w:val="en-US" w:eastAsia="zh-CN"/>
              </w:rPr>
              <w:t>提交时限：IQ报告在OQ前提交，OQ报告在PQ前提交，PQ报告在设备最终验收交付前提交，所有方案在相应验证开始前完成审批。</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eastAsia="zh-CN"/>
              </w:rPr>
            </w:pPr>
            <w:r>
              <w:rPr>
                <w:rFonts w:hint="eastAsia" w:ascii="Arial" w:hAnsi="Arial" w:cs="Arial"/>
                <w:szCs w:val="21"/>
                <w:lang w:eastAsia="zh-CN"/>
              </w:rPr>
              <w:t>工厂验收测试（</w:t>
            </w:r>
            <w:r>
              <w:rPr>
                <w:szCs w:val="21"/>
                <w:lang w:eastAsia="zh-CN"/>
              </w:rPr>
              <w:t>FAT）。FAT时所有机械部分、仪器仪表、各个控制系统都要经历功能检测。检测方案和报告将</w:t>
            </w:r>
            <w:r>
              <w:rPr>
                <w:rFonts w:hint="eastAsia" w:ascii="Arial" w:hAnsi="Arial" w:cs="Arial"/>
                <w:szCs w:val="21"/>
                <w:lang w:eastAsia="zh-CN"/>
              </w:rPr>
              <w:t>形成书面文件，并作为整个验收测试的不可缺少部分。这些文件应该在设备发货时一并提供给使用方。</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新宋体" w:hAnsi="新宋体" w:eastAsia="新宋体" w:cs="新宋体"/>
                <w:lang w:val="de-DE" w:eastAsia="zh-CN"/>
              </w:rPr>
            </w:pPr>
            <w:r>
              <w:rPr>
                <w:rFonts w:hint="eastAsia" w:ascii="新宋体" w:hAnsi="新宋体" w:eastAsia="新宋体" w:cs="新宋体"/>
                <w:lang w:val="de-DE" w:eastAsia="zh-CN"/>
              </w:rPr>
              <w:t>现场验收测试(SAT)。</w:t>
            </w:r>
            <w:r>
              <w:rPr>
                <w:rFonts w:hint="eastAsia" w:ascii="宋体" w:hAnsi="宋体"/>
                <w:szCs w:val="21"/>
                <w:lang w:eastAsia="zh-CN"/>
              </w:rPr>
              <w:t>提交</w:t>
            </w:r>
            <w:r>
              <w:rPr>
                <w:rFonts w:ascii="宋体" w:hAnsi="宋体"/>
                <w:szCs w:val="21"/>
                <w:lang w:eastAsia="zh-CN"/>
              </w:rPr>
              <w:t>时限</w:t>
            </w:r>
            <w:r>
              <w:rPr>
                <w:rFonts w:hint="eastAsia" w:ascii="宋体" w:hAnsi="宋体"/>
                <w:szCs w:val="21"/>
                <w:lang w:eastAsia="zh-CN"/>
              </w:rPr>
              <w:t>:不晚于IQ开始前</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lang w:val="en-US" w:eastAsia="zh-CN"/>
              </w:rPr>
            </w:pPr>
            <w:r>
              <w:rPr>
                <w:lang w:eastAsia="zh-CN"/>
              </w:rPr>
              <w:t>供应商应提供所有的测量仪器仪表的列表，所有这些仪表或传感器必</w:t>
            </w:r>
            <w:r>
              <w:rPr>
                <w:rFonts w:hint="eastAsia"/>
                <w:lang w:eastAsia="zh-CN"/>
              </w:rPr>
              <w:t>需</w:t>
            </w:r>
            <w:r>
              <w:rPr>
                <w:lang w:eastAsia="zh-CN"/>
              </w:rPr>
              <w:t>校准。校准效期自交付之日起不低于9个月。</w:t>
            </w:r>
            <w:r>
              <w:rPr>
                <w:rFonts w:hint="eastAsia"/>
                <w:lang w:val="en-US" w:eastAsia="zh-CN"/>
              </w:rPr>
              <w:t>厂家提供校准证书。</w:t>
            </w:r>
          </w:p>
        </w:tc>
        <w:tc>
          <w:tcPr>
            <w:tcW w:w="2125" w:type="dxa"/>
            <w:shd w:val="clear" w:color="auto" w:fill="auto"/>
            <w:vAlign w:val="center"/>
          </w:tcPr>
          <w:p>
            <w:pPr>
              <w:jc w:val="both"/>
              <w:rPr>
                <w:szCs w:val="21"/>
                <w:lang w:eastAsia="zh-CN"/>
              </w:rPr>
            </w:pPr>
            <w:r>
              <w:rPr>
                <w:szCs w:val="21"/>
                <w:lang w:eastAsia="zh-CN"/>
              </w:rPr>
              <w:t>关键</w:t>
            </w:r>
          </w:p>
        </w:tc>
      </w:tr>
      <w:permEnd w:id="33"/>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7" w:name="_Toc522716125"/>
      <w:r>
        <w:rPr>
          <w:rFonts w:ascii="Times New Roman" w:hAnsi="Times New Roman"/>
          <w:b/>
          <w:szCs w:val="21"/>
        </w:rPr>
        <w:t>服务要求</w:t>
      </w:r>
      <w:bookmarkEnd w:id="47"/>
    </w:p>
    <w:p>
      <w:pPr>
        <w:pStyle w:val="42"/>
        <w:spacing w:before="0" w:line="360" w:lineRule="auto"/>
        <w:jc w:val="left"/>
        <w:rPr>
          <w:i/>
          <w:color w:val="4472C4"/>
          <w:szCs w:val="21"/>
          <w:lang w:eastAsia="zh-CN"/>
        </w:rPr>
      </w:pPr>
      <w:permStart w:id="34" w:edGrp="everyone"/>
    </w:p>
    <w:permEnd w:id="34"/>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lang w:eastAsia="zh-CN"/>
                <w14:textFill>
                  <w14:solidFill>
                    <w14:schemeClr w14:val="tx1"/>
                  </w14:solidFill>
                </w14:textFill>
              </w:rPr>
              <w:t>设备厂家或供应商应免费对设备使用方人员进行全面培训，包括对生产操作人员及设备维护、维修人员，并填写培训记录。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spacing w:line="276" w:lineRule="auto"/>
              <w:jc w:val="both"/>
              <w:rPr>
                <w:color w:val="000000" w:themeColor="text1"/>
                <w:szCs w:val="21"/>
                <w:lang w:eastAsia="zh-CN"/>
                <w14:textFill>
                  <w14:solidFill>
                    <w14:schemeClr w14:val="tx1"/>
                  </w14:solidFill>
                </w14:textFill>
              </w:rPr>
            </w:pPr>
            <w:r>
              <w:rPr>
                <w:color w:val="000000" w:themeColor="text1"/>
                <w:lang w:eastAsia="zh-CN"/>
                <w14:textFill>
                  <w14:solidFill>
                    <w14:schemeClr w14:val="tx1"/>
                  </w14:solidFill>
                </w14:textFill>
              </w:rPr>
              <w:t>生产操作人员培训包括设备结构原理、性能、操作、清洗消毒、故障排除等基本</w:t>
            </w:r>
            <w:r>
              <w:rPr>
                <w:color w:val="000000" w:themeColor="text1"/>
                <w:szCs w:val="21"/>
                <w:lang w:eastAsia="zh-CN"/>
                <w14:textFill>
                  <w14:solidFill>
                    <w14:schemeClr w14:val="tx1"/>
                  </w14:solidFill>
                </w14:textFill>
              </w:rPr>
              <w:t>知识</w:t>
            </w:r>
            <w:r>
              <w:rPr>
                <w:color w:val="000000" w:themeColor="text1"/>
                <w:lang w:eastAsia="zh-CN"/>
                <w14:textFill>
                  <w14:solidFill>
                    <w14:schemeClr w14:val="tx1"/>
                  </w14:solidFill>
                </w14:textFill>
              </w:rPr>
              <w:t>。合格标准为用户参加培训人员能够独立正确操作设备，会排除常见故障。</w:t>
            </w:r>
          </w:p>
        </w:tc>
        <w:tc>
          <w:tcPr>
            <w:tcW w:w="2125" w:type="dxa"/>
            <w:shd w:val="clear" w:color="auto" w:fill="auto"/>
            <w:vAlign w:val="center"/>
          </w:tcPr>
          <w:p>
            <w:pPr>
              <w:jc w:val="both"/>
              <w:rPr>
                <w:szCs w:val="21"/>
                <w:lang w:eastAsia="zh-CN"/>
              </w:rPr>
            </w:pPr>
            <w:r>
              <w:rPr>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szCs w:val="21"/>
                <w:lang w:eastAsia="zh-CN"/>
              </w:rPr>
            </w:pPr>
            <w:r>
              <w:rPr>
                <w:color w:val="000000" w:themeColor="text1"/>
                <w:lang w:eastAsia="zh-CN"/>
                <w14:textFill>
                  <w14:solidFill>
                    <w14:schemeClr w14:val="tx1"/>
                  </w14:solidFill>
                </w14:textFill>
              </w:rPr>
              <w:t>设备运输在运输途中需做好防护措施，不得有任何损伤。</w:t>
            </w:r>
          </w:p>
        </w:tc>
        <w:tc>
          <w:tcPr>
            <w:tcW w:w="2125" w:type="dxa"/>
            <w:shd w:val="clear" w:color="auto" w:fill="auto"/>
            <w:vAlign w:val="center"/>
          </w:tcPr>
          <w:p>
            <w:pPr>
              <w:jc w:val="both"/>
              <w:rPr>
                <w:szCs w:val="21"/>
                <w:lang w:eastAsia="zh-CN"/>
              </w:rPr>
            </w:pPr>
            <w:r>
              <w:rPr>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color w:val="000000" w:themeColor="text1"/>
                <w:lang w:eastAsia="zh-CN"/>
                <w14:textFill>
                  <w14:solidFill>
                    <w14:schemeClr w14:val="tx1"/>
                  </w14:solidFill>
                </w14:textFill>
              </w:rPr>
            </w:pPr>
            <w:r>
              <w:rPr>
                <w:rFonts w:hint="eastAsia" w:ascii="宋体" w:hAnsi="宋体"/>
                <w:szCs w:val="21"/>
                <w:lang w:eastAsia="zh-CN"/>
              </w:rPr>
              <w:t>验证包括</w:t>
            </w:r>
            <w:r>
              <w:rPr>
                <w:rFonts w:hint="eastAsia" w:ascii="宋体" w:hAnsi="宋体"/>
                <w:szCs w:val="21"/>
                <w:lang w:val="en-US" w:eastAsia="zh-CN"/>
              </w:rPr>
              <w:t>IQ,</w:t>
            </w:r>
            <w:r>
              <w:rPr>
                <w:rFonts w:ascii="宋体" w:hAnsi="宋体"/>
                <w:szCs w:val="21"/>
                <w:lang w:eastAsia="zh-CN"/>
              </w:rPr>
              <w:t>OQ</w:t>
            </w:r>
            <w:r>
              <w:rPr>
                <w:rFonts w:hint="eastAsia" w:ascii="宋体" w:hAnsi="宋体"/>
                <w:szCs w:val="21"/>
                <w:lang w:eastAsia="zh-CN"/>
              </w:rPr>
              <w:t>，</w:t>
            </w:r>
            <w:r>
              <w:rPr>
                <w:rFonts w:hint="eastAsia" w:ascii="宋体" w:hAnsi="宋体"/>
                <w:szCs w:val="21"/>
                <w:lang w:val="en-US" w:eastAsia="zh-CN"/>
              </w:rPr>
              <w:t>PQ，DQ、FAT、SAT</w:t>
            </w:r>
            <w:r>
              <w:rPr>
                <w:rFonts w:hint="eastAsia" w:ascii="宋体" w:hAnsi="宋体"/>
                <w:szCs w:val="21"/>
                <w:lang w:eastAsia="zh-CN"/>
              </w:rPr>
              <w:t>文件与服务，供应商必须派出具备该类系统验证经验，且熟悉验证相关文件编写及验证工作实施的验证工程师开展验证工作。供应商协助完成</w:t>
            </w:r>
            <w:r>
              <w:rPr>
                <w:rFonts w:ascii="宋体" w:hAnsi="宋体"/>
                <w:szCs w:val="21"/>
                <w:lang w:eastAsia="zh-CN"/>
              </w:rPr>
              <w:t>PQ</w:t>
            </w:r>
            <w:r>
              <w:rPr>
                <w:rFonts w:hint="eastAsia" w:ascii="宋体" w:hAnsi="宋体"/>
                <w:szCs w:val="21"/>
                <w:lang w:eastAsia="zh-CN"/>
              </w:rPr>
              <w:t>。</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lang w:eastAsia="zh-CN"/>
                <w14:textFill>
                  <w14:solidFill>
                    <w14:schemeClr w14:val="tx1"/>
                  </w14:solidFill>
                </w14:textFill>
              </w:rPr>
            </w:pPr>
            <w:r>
              <w:rPr>
                <w:rFonts w:hint="eastAsia" w:ascii="宋体" w:hAnsi="宋体"/>
                <w:szCs w:val="21"/>
                <w:lang w:eastAsia="zh-CN"/>
              </w:rPr>
              <w:t>各验证工作开始前验证方案需经过本公司相关部门审核，并经质量保证部批准。</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lang w:eastAsia="zh-CN"/>
                <w14:textFill>
                  <w14:solidFill>
                    <w14:schemeClr w14:val="tx1"/>
                  </w14:solidFill>
                </w14:textFill>
              </w:rPr>
            </w:pPr>
            <w:r>
              <w:rPr>
                <w:rFonts w:hint="eastAsia" w:ascii="宋体" w:hAnsi="宋体"/>
                <w:szCs w:val="21"/>
                <w:lang w:eastAsia="zh-CN"/>
              </w:rPr>
              <w:t>验证工作应按时保质完成，供应商需提供验证工作计划表。</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lang w:eastAsia="zh-CN"/>
                <w14:textFill>
                  <w14:solidFill>
                    <w14:schemeClr w14:val="tx1"/>
                  </w14:solidFill>
                </w14:textFill>
              </w:rPr>
            </w:pPr>
            <w:r>
              <w:rPr>
                <w:rFonts w:hint="eastAsia" w:ascii="宋体" w:hAnsi="宋体"/>
                <w:szCs w:val="21"/>
                <w:lang w:eastAsia="zh-CN"/>
              </w:rPr>
              <w:t>验证项目应包含法规要求的测试项目，以及本公司提出的测试项目。</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lang w:eastAsia="zh-CN"/>
                <w14:textFill>
                  <w14:solidFill>
                    <w14:schemeClr w14:val="tx1"/>
                  </w14:solidFill>
                </w14:textFill>
              </w:rPr>
            </w:pPr>
            <w:r>
              <w:rPr>
                <w:rFonts w:hint="eastAsia" w:ascii="宋体" w:hAnsi="宋体"/>
                <w:szCs w:val="21"/>
                <w:lang w:eastAsia="zh-CN"/>
              </w:rPr>
              <w:t>验证工作完成后，验证记录经本公司相关部门审核，并经质量保证部批准。</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0000" w:themeColor="text1"/>
                <w:lang w:eastAsia="zh-CN"/>
                <w14:textFill>
                  <w14:solidFill>
                    <w14:schemeClr w14:val="tx1"/>
                  </w14:solidFill>
                </w14:textFill>
              </w:rPr>
            </w:pPr>
            <w:r>
              <w:rPr>
                <w:rFonts w:hint="eastAsia" w:ascii="宋体" w:hAnsi="宋体"/>
                <w:szCs w:val="21"/>
                <w:lang w:eastAsia="zh-CN"/>
              </w:rPr>
              <w:t>验收前，验证工作已成功完成，验证最终报告已经本公司相关部门审核，并经质量保证部批准。</w:t>
            </w:r>
          </w:p>
        </w:tc>
        <w:tc>
          <w:tcPr>
            <w:tcW w:w="2125" w:type="dxa"/>
            <w:shd w:val="clear" w:color="auto" w:fill="auto"/>
            <w:vAlign w:val="center"/>
          </w:tcPr>
          <w:p>
            <w:pPr>
              <w:jc w:val="both"/>
              <w:rPr>
                <w:szCs w:val="21"/>
                <w:lang w:eastAsia="zh-CN"/>
              </w:rPr>
            </w:pPr>
            <w:r>
              <w:rPr>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自验收合格之日起1年内为质保期，对设备进行免费维护（耗材、玻璃罐体、传感器不包含），包含零配件更换。质保期后，对设备进行有偿维护。</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新宋体" w:hAnsi="新宋体" w:eastAsia="新宋体" w:cs="新宋体"/>
                <w:lang w:val="de-DE" w:eastAsia="zh-CN"/>
              </w:rPr>
              <w:t>售后服务必须响应及时，提供免费技术支持，要求设备出现故障后，</w:t>
            </w:r>
            <w:r>
              <w:rPr>
                <w:rFonts w:hint="eastAsia" w:ascii="新宋体" w:hAnsi="新宋体" w:eastAsia="新宋体" w:cs="新宋体"/>
                <w:lang w:eastAsia="zh-CN"/>
              </w:rPr>
              <w:t>中标方</w:t>
            </w:r>
            <w:r>
              <w:rPr>
                <w:rFonts w:hint="eastAsia" w:ascii="新宋体" w:hAnsi="新宋体" w:eastAsia="新宋体" w:cs="新宋体"/>
                <w:lang w:val="de-DE" w:eastAsia="zh-CN"/>
              </w:rPr>
              <w:t>要在2小时内明确答复，对一般情况及由操作失误引起的故障及时进行分析、判断，并提出解决方案，指导用户进行简单的复位和维修，在最短的时间内恢复设备正常运行。在保修期内，</w:t>
            </w:r>
            <w:r>
              <w:rPr>
                <w:rFonts w:hint="eastAsia" w:ascii="新宋体" w:hAnsi="新宋体" w:eastAsia="新宋体" w:cs="新宋体"/>
                <w:lang w:eastAsia="zh-CN"/>
              </w:rPr>
              <w:t>需方遇到</w:t>
            </w:r>
            <w:r>
              <w:rPr>
                <w:rFonts w:hint="eastAsia" w:ascii="新宋体" w:hAnsi="新宋体" w:eastAsia="新宋体" w:cs="新宋体"/>
                <w:lang w:val="de-DE" w:eastAsia="zh-CN"/>
              </w:rPr>
              <w:t>不能自行解决的</w:t>
            </w:r>
            <w:r>
              <w:rPr>
                <w:rFonts w:hint="eastAsia" w:ascii="新宋体" w:hAnsi="新宋体" w:eastAsia="新宋体" w:cs="新宋体"/>
                <w:lang w:eastAsia="zh-CN"/>
              </w:rPr>
              <w:t>问题</w:t>
            </w:r>
            <w:r>
              <w:rPr>
                <w:rFonts w:hint="eastAsia" w:ascii="新宋体" w:hAnsi="新宋体" w:eastAsia="新宋体" w:cs="新宋体"/>
                <w:lang w:val="de-DE" w:eastAsia="zh-CN"/>
              </w:rPr>
              <w:t>，</w:t>
            </w:r>
            <w:r>
              <w:rPr>
                <w:rFonts w:hint="eastAsia" w:ascii="新宋体" w:hAnsi="新宋体" w:eastAsia="新宋体" w:cs="新宋体"/>
                <w:lang w:eastAsia="zh-CN"/>
              </w:rPr>
              <w:t>中标方需在</w:t>
            </w:r>
            <w:r>
              <w:rPr>
                <w:rFonts w:hint="eastAsia" w:ascii="新宋体" w:hAnsi="新宋体" w:eastAsia="新宋体" w:cs="新宋体"/>
                <w:lang w:val="de-DE" w:eastAsia="zh-CN"/>
              </w:rPr>
              <w:t>48小时内到达</w:t>
            </w:r>
            <w:r>
              <w:rPr>
                <w:rFonts w:hint="eastAsia" w:ascii="新宋体" w:hAnsi="新宋体" w:eastAsia="新宋体" w:cs="新宋体"/>
                <w:lang w:eastAsia="zh-CN"/>
              </w:rPr>
              <w:t>需方</w:t>
            </w:r>
            <w:r>
              <w:rPr>
                <w:rFonts w:hint="eastAsia" w:ascii="新宋体" w:hAnsi="新宋体" w:eastAsia="新宋体" w:cs="新宋体"/>
                <w:lang w:val="de-DE" w:eastAsia="zh-CN"/>
              </w:rPr>
              <w:t>进行免费维修。</w:t>
            </w:r>
          </w:p>
        </w:tc>
        <w:tc>
          <w:tcPr>
            <w:tcW w:w="2125" w:type="dxa"/>
            <w:shd w:val="clear" w:color="auto" w:fill="auto"/>
            <w:vAlign w:val="center"/>
          </w:tcPr>
          <w:p>
            <w:pPr>
              <w:jc w:val="both"/>
              <w:rPr>
                <w:szCs w:val="21"/>
                <w:lang w:eastAsia="zh-CN"/>
              </w:rPr>
            </w:pPr>
            <w:r>
              <w:rPr>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提供悬浮细胞、片状载体</w:t>
            </w:r>
            <w:r>
              <w:rPr>
                <w:rFonts w:hint="eastAsia"/>
                <w:szCs w:val="21"/>
                <w:lang w:val="en-US" w:eastAsia="zh-CN"/>
              </w:rPr>
              <w:t>两</w:t>
            </w:r>
            <w:r>
              <w:rPr>
                <w:rFonts w:hint="eastAsia"/>
                <w:szCs w:val="21"/>
                <w:lang w:eastAsia="zh-CN"/>
              </w:rPr>
              <w:t>种培养模式对应的</w:t>
            </w:r>
            <w:r>
              <w:rPr>
                <w:rFonts w:hint="eastAsia"/>
                <w:szCs w:val="21"/>
                <w:lang w:val="en-US" w:eastAsia="zh-CN"/>
              </w:rPr>
              <w:t>两</w:t>
            </w:r>
            <w:r>
              <w:rPr>
                <w:rFonts w:hint="eastAsia"/>
                <w:szCs w:val="21"/>
                <w:lang w:eastAsia="zh-CN"/>
              </w:rPr>
              <w:t>套搅拌桨。</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新宋体" w:hAnsi="新宋体" w:eastAsia="新宋体" w:cs="新宋体"/>
                <w:lang w:eastAsia="zh-CN"/>
              </w:rPr>
              <w:t>中标方</w:t>
            </w:r>
            <w:r>
              <w:rPr>
                <w:rFonts w:hint="eastAsia" w:ascii="新宋体" w:hAnsi="新宋体" w:eastAsia="新宋体" w:cs="新宋体"/>
                <w:lang w:val="de-DE" w:eastAsia="zh-CN"/>
              </w:rPr>
              <w:t>应定期进行回访，解决设备运行当中可能出现的隐患，排除潜在的故障，使设备保持良好的工作状态。</w:t>
            </w:r>
          </w:p>
        </w:tc>
        <w:tc>
          <w:tcPr>
            <w:tcW w:w="2125" w:type="dxa"/>
            <w:shd w:val="clear" w:color="auto" w:fill="auto"/>
            <w:vAlign w:val="center"/>
          </w:tcPr>
          <w:p>
            <w:pPr>
              <w:jc w:val="both"/>
              <w:rPr>
                <w:szCs w:val="21"/>
                <w:lang w:eastAsia="zh-CN"/>
              </w:rPr>
            </w:pPr>
            <w:r>
              <w:rPr>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lang w:eastAsia="zh-CN"/>
              </w:rPr>
            </w:pPr>
            <w:r>
              <w:rPr>
                <w:rFonts w:hint="eastAsia" w:ascii="宋体" w:hAnsi="宋体"/>
                <w:szCs w:val="21"/>
                <w:lang w:eastAsia="zh-CN"/>
              </w:rPr>
              <w:t>供应商进厂安装需遵守安全和安装规定。</w:t>
            </w:r>
          </w:p>
        </w:tc>
        <w:tc>
          <w:tcPr>
            <w:tcW w:w="2125" w:type="dxa"/>
            <w:shd w:val="clear" w:color="auto" w:fill="auto"/>
            <w:vAlign w:val="center"/>
          </w:tcPr>
          <w:p>
            <w:pPr>
              <w:jc w:val="both"/>
              <w:rPr>
                <w:szCs w:val="21"/>
                <w:lang w:eastAsia="zh-CN"/>
              </w:rPr>
            </w:pPr>
            <w:r>
              <w:rPr>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确认并验证合格后，买卖双方签订验收报告。</w:t>
            </w:r>
          </w:p>
        </w:tc>
        <w:tc>
          <w:tcPr>
            <w:tcW w:w="2125" w:type="dxa"/>
            <w:shd w:val="clear" w:color="auto" w:fill="auto"/>
            <w:vAlign w:val="center"/>
          </w:tcPr>
          <w:p>
            <w:pPr>
              <w:jc w:val="both"/>
              <w:rPr>
                <w:szCs w:val="21"/>
                <w:lang w:eastAsia="zh-CN"/>
              </w:rPr>
            </w:pPr>
            <w:r>
              <w:rPr>
                <w:szCs w:val="21"/>
                <w:lang w:eastAsia="zh-CN"/>
              </w:rPr>
              <w:t>关键</w:t>
            </w:r>
            <w:r>
              <w:rPr>
                <w:rFonts w:hint="eastAsia"/>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确认验收合格应包含所有附件及备件。</w:t>
            </w:r>
          </w:p>
        </w:tc>
        <w:tc>
          <w:tcPr>
            <w:tcW w:w="2125" w:type="dxa"/>
            <w:shd w:val="clear" w:color="auto" w:fill="auto"/>
            <w:vAlign w:val="center"/>
          </w:tcPr>
          <w:p>
            <w:pPr>
              <w:jc w:val="both"/>
              <w:rPr>
                <w:szCs w:val="21"/>
                <w:lang w:eastAsia="zh-CN"/>
              </w:rPr>
            </w:pPr>
            <w:r>
              <w:rPr>
                <w:szCs w:val="21"/>
                <w:lang w:eastAsia="zh-CN"/>
              </w:rPr>
              <w:t>关键</w:t>
            </w:r>
          </w:p>
        </w:tc>
      </w:tr>
      <w:permEnd w:id="42"/>
    </w:tbl>
    <w:p/>
    <w:p>
      <w:pPr>
        <w:pStyle w:val="32"/>
        <w:numPr>
          <w:ilvl w:val="0"/>
          <w:numId w:val="3"/>
        </w:numPr>
        <w:spacing w:after="158" w:afterLines="50"/>
        <w:ind w:left="426" w:hanging="426" w:hangingChars="202"/>
        <w:outlineLvl w:val="0"/>
        <w:rPr>
          <w:rFonts w:ascii="Times New Roman" w:hAnsi="Times New Roman"/>
          <w:b/>
        </w:rPr>
      </w:pPr>
      <w:bookmarkStart w:id="48" w:name="_Toc522716126"/>
      <w:bookmarkStart w:id="49" w:name="_Toc522107746"/>
      <w:r>
        <w:rPr>
          <w:rFonts w:ascii="Times New Roman" w:hAnsi="Times New Roman"/>
          <w:b/>
        </w:rPr>
        <w:t>附件</w:t>
      </w:r>
      <w:bookmarkEnd w:id="48"/>
      <w:bookmarkEnd w:id="49"/>
    </w:p>
    <w:bookmarkEnd w:id="32"/>
    <w:bookmarkEnd w:id="33"/>
    <w:bookmarkEnd w:id="34"/>
    <w:bookmarkEnd w:id="35"/>
    <w:bookmarkEnd w:id="36"/>
    <w:bookmarkEnd w:id="37"/>
    <w:bookmarkEnd w:id="38"/>
    <w:bookmarkEnd w:id="39"/>
    <w:bookmarkEnd w:id="40"/>
    <w:bookmarkEnd w:id="41"/>
    <w:bookmarkEnd w:id="42"/>
    <w:bookmarkEnd w:id="43"/>
    <w:p>
      <w:pPr>
        <w:pStyle w:val="42"/>
        <w:spacing w:before="0" w:line="360" w:lineRule="auto"/>
        <w:ind w:left="357"/>
        <w:jc w:val="left"/>
        <w:rPr>
          <w:color w:val="000000" w:themeColor="text1"/>
          <w:szCs w:val="21"/>
          <w:lang w:eastAsia="zh-CN"/>
          <w14:textFill>
            <w14:solidFill>
              <w14:schemeClr w14:val="tx1"/>
            </w14:solidFill>
          </w14:textFill>
        </w:rPr>
      </w:pPr>
      <w:permStart w:id="43" w:edGrp="everyone"/>
      <w:r>
        <w:rPr>
          <w:rFonts w:hint="eastAsia"/>
          <w:color w:val="000000" w:themeColor="text1"/>
          <w:szCs w:val="21"/>
          <w:lang w:eastAsia="zh-CN"/>
          <w14:textFill>
            <w14:solidFill>
              <w14:schemeClr w14:val="tx1"/>
            </w14:solidFill>
          </w14:textFill>
        </w:rPr>
        <w:t>部分备件品牌指定</w:t>
      </w:r>
    </w:p>
    <w:tbl>
      <w:tblPr>
        <w:tblStyle w:val="20"/>
        <w:tblW w:w="0" w:type="auto"/>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vAlign w:val="center"/>
          </w:tcPr>
          <w:p>
            <w:pPr>
              <w:pStyle w:val="42"/>
              <w:spacing w:before="0" w:line="360" w:lineRule="auto"/>
              <w:jc w:val="left"/>
              <w:rPr>
                <w:color w:val="000000" w:themeColor="text1"/>
                <w:szCs w:val="21"/>
                <w:lang w:eastAsia="zh-CN"/>
                <w14:textFill>
                  <w14:solidFill>
                    <w14:schemeClr w14:val="tx1"/>
                  </w14:solidFill>
                </w14:textFill>
              </w:rPr>
            </w:pPr>
            <w:r>
              <w:rPr>
                <w:rFonts w:hint="eastAsia" w:ascii="新宋体" w:hAnsi="新宋体" w:eastAsia="新宋体" w:cs="新宋体"/>
              </w:rPr>
              <w:t>空气滤盘</w:t>
            </w:r>
          </w:p>
        </w:tc>
        <w:tc>
          <w:tcPr>
            <w:tcW w:w="5103" w:type="dxa"/>
            <w:vAlign w:val="center"/>
          </w:tcPr>
          <w:p>
            <w:pPr>
              <w:pStyle w:val="42"/>
              <w:spacing w:before="0" w:line="360" w:lineRule="auto"/>
              <w:jc w:val="left"/>
              <w:rPr>
                <w:color w:val="000000" w:themeColor="text1"/>
                <w:szCs w:val="21"/>
                <w:lang w:eastAsia="zh-CN"/>
                <w14:textFill>
                  <w14:solidFill>
                    <w14:schemeClr w14:val="tx1"/>
                  </w14:solidFill>
                </w14:textFill>
              </w:rPr>
            </w:pPr>
            <w:r>
              <w:rPr>
                <w:rFonts w:hint="eastAsia" w:ascii="新宋体" w:hAnsi="新宋体" w:eastAsia="新宋体" w:cs="新宋体"/>
                <w:lang w:val="en-GB"/>
              </w:rPr>
              <w:t>PALL</w:t>
            </w:r>
            <w:r>
              <w:rPr>
                <w:rFonts w:hint="eastAsia" w:ascii="新宋体" w:hAnsi="新宋体" w:eastAsia="新宋体" w:cs="新宋体"/>
                <w:lang w:val="de-DE"/>
              </w:rPr>
              <w:t>/</w:t>
            </w:r>
            <w:r>
              <w:rPr>
                <w:rFonts w:hint="eastAsia"/>
              </w:rPr>
              <w:fldChar w:fldCharType="begin"/>
            </w:r>
            <w:r>
              <w:instrText xml:space="preserve"> HYPERLINK "http://www.baidu.com/link?url=gNlLUKnTydDyoFjHqiQKR0lbtfw6KbfxFD2S9SrgQ0rmNsVA4x3FQ0KtEGWsU3iksF_YY-cb2Of9fp7PZpreaq" \t "https://www.baidu.com/_blank" </w:instrText>
            </w:r>
            <w:r>
              <w:rPr>
                <w:rFonts w:hint="eastAsia"/>
              </w:rPr>
              <w:fldChar w:fldCharType="separate"/>
            </w:r>
            <w:r>
              <w:rPr>
                <w:rFonts w:hint="eastAsia" w:ascii="新宋体" w:hAnsi="新宋体" w:eastAsia="新宋体" w:cs="新宋体"/>
              </w:rPr>
              <w:t>Millipore</w:t>
            </w:r>
            <w:r>
              <w:rPr>
                <w:rFonts w:hint="eastAsia" w:ascii="新宋体" w:hAnsi="新宋体" w:eastAsia="新宋体" w:cs="新宋体"/>
              </w:rPr>
              <w:fldChar w:fldCharType="end"/>
            </w:r>
            <w:r>
              <w:rPr>
                <w:rFonts w:hint="eastAsia" w:ascii="新宋体" w:hAnsi="新宋体" w:eastAsia="新宋体" w:cs="新宋体"/>
                <w:lang w:val="de-DE"/>
              </w:rPr>
              <w:t>/</w:t>
            </w:r>
            <w:r>
              <w:rPr>
                <w:rFonts w:hint="eastAsia" w:ascii="新宋体" w:hAnsi="新宋体" w:eastAsia="新宋体" w:cs="新宋体"/>
              </w:rPr>
              <w:t>Sartorius</w:t>
            </w:r>
            <w:r>
              <w:rPr>
                <w:rFonts w:hint="eastAsia" w:ascii="新宋体" w:hAnsi="新宋体" w:eastAsia="新宋体" w:cs="新宋体"/>
                <w:lang w:val="de-DE"/>
              </w:rPr>
              <w:t>，</w:t>
            </w:r>
            <w:r>
              <w:rPr>
                <w:rFonts w:hint="eastAsia" w:ascii="新宋体" w:hAnsi="新宋体" w:eastAsia="新宋体" w:cs="新宋体"/>
              </w:rPr>
              <w:t>0.2μm滤芯。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vAlign w:val="center"/>
          </w:tcPr>
          <w:p>
            <w:pPr>
              <w:pStyle w:val="42"/>
              <w:spacing w:before="0" w:line="360" w:lineRule="auto"/>
              <w:jc w:val="left"/>
              <w:rPr>
                <w:color w:val="000000" w:themeColor="text1"/>
                <w:szCs w:val="21"/>
                <w:lang w:eastAsia="zh-CN"/>
                <w14:textFill>
                  <w14:solidFill>
                    <w14:schemeClr w14:val="tx1"/>
                  </w14:solidFill>
                </w14:textFill>
              </w:rPr>
            </w:pPr>
            <w:r>
              <w:rPr>
                <w:rFonts w:hint="eastAsia" w:ascii="新宋体" w:hAnsi="新宋体" w:eastAsia="新宋体" w:cs="新宋体"/>
              </w:rPr>
              <w:t>PH电极</w:t>
            </w:r>
          </w:p>
        </w:tc>
        <w:tc>
          <w:tcPr>
            <w:tcW w:w="5103" w:type="dxa"/>
            <w:vAlign w:val="center"/>
          </w:tcPr>
          <w:p>
            <w:pPr>
              <w:pStyle w:val="42"/>
              <w:spacing w:before="0" w:line="360" w:lineRule="auto"/>
              <w:jc w:val="left"/>
              <w:rPr>
                <w:rFonts w:eastAsia="新宋体"/>
                <w:color w:val="000000" w:themeColor="text1"/>
                <w:szCs w:val="21"/>
                <w:lang w:eastAsia="zh-CN"/>
                <w14:textFill>
                  <w14:solidFill>
                    <w14:schemeClr w14:val="tx1"/>
                  </w14:solidFill>
                </w14:textFill>
              </w:rPr>
            </w:pPr>
            <w:r>
              <w:rPr>
                <w:rFonts w:hint="eastAsia" w:ascii="新宋体" w:hAnsi="新宋体" w:eastAsia="新宋体" w:cs="新宋体"/>
              </w:rPr>
              <w:t>Mettler</w:t>
            </w:r>
            <w:r>
              <w:rPr>
                <w:rFonts w:hint="eastAsia" w:ascii="新宋体" w:hAnsi="新宋体" w:eastAsia="新宋体" w:cs="新宋体"/>
                <w:lang w:eastAsia="zh-CN"/>
              </w:rPr>
              <w:t>/</w:t>
            </w:r>
            <w:r>
              <w:rPr>
                <w:rFonts w:hint="eastAsia" w:ascii="新宋体" w:hAnsi="新宋体" w:eastAsia="新宋体" w:cs="新宋体"/>
              </w:rPr>
              <w:t>Hamilton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vAlign w:val="center"/>
          </w:tcPr>
          <w:p>
            <w:pPr>
              <w:pStyle w:val="42"/>
              <w:spacing w:before="0" w:line="360" w:lineRule="auto"/>
              <w:jc w:val="left"/>
              <w:rPr>
                <w:color w:val="000000" w:themeColor="text1"/>
                <w:szCs w:val="21"/>
                <w:lang w:eastAsia="zh-CN"/>
                <w14:textFill>
                  <w14:solidFill>
                    <w14:schemeClr w14:val="tx1"/>
                  </w14:solidFill>
                </w14:textFill>
              </w:rPr>
            </w:pPr>
            <w:r>
              <w:rPr>
                <w:rFonts w:hint="eastAsia" w:ascii="新宋体" w:hAnsi="新宋体" w:eastAsia="新宋体" w:cs="新宋体"/>
              </w:rPr>
              <w:t>DO电极</w:t>
            </w:r>
          </w:p>
        </w:tc>
        <w:tc>
          <w:tcPr>
            <w:tcW w:w="5103" w:type="dxa"/>
            <w:vAlign w:val="center"/>
          </w:tcPr>
          <w:p>
            <w:pPr>
              <w:pStyle w:val="42"/>
              <w:spacing w:before="0" w:line="360" w:lineRule="auto"/>
              <w:jc w:val="left"/>
              <w:rPr>
                <w:color w:val="000000" w:themeColor="text1"/>
                <w:szCs w:val="21"/>
                <w:lang w:eastAsia="zh-CN"/>
                <w14:textFill>
                  <w14:solidFill>
                    <w14:schemeClr w14:val="tx1"/>
                  </w14:solidFill>
                </w14:textFill>
              </w:rPr>
            </w:pPr>
            <w:r>
              <w:rPr>
                <w:rFonts w:hint="eastAsia" w:ascii="新宋体" w:hAnsi="新宋体" w:eastAsia="新宋体" w:cs="新宋体"/>
              </w:rPr>
              <w:t>Mettler</w:t>
            </w:r>
            <w:r>
              <w:rPr>
                <w:rFonts w:hint="eastAsia" w:ascii="新宋体" w:hAnsi="新宋体" w:eastAsia="新宋体" w:cs="新宋体"/>
                <w:lang w:eastAsia="zh-CN"/>
              </w:rPr>
              <w:t>/</w:t>
            </w:r>
            <w:r>
              <w:rPr>
                <w:rFonts w:hint="eastAsia" w:ascii="新宋体" w:hAnsi="新宋体" w:eastAsia="新宋体" w:cs="新宋体"/>
              </w:rPr>
              <w:t>Hamilton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vAlign w:val="center"/>
          </w:tcPr>
          <w:p>
            <w:pPr>
              <w:pStyle w:val="42"/>
              <w:spacing w:before="0" w:line="360" w:lineRule="auto"/>
              <w:jc w:val="left"/>
              <w:rPr>
                <w:color w:val="000000" w:themeColor="text1"/>
                <w:szCs w:val="21"/>
                <w:lang w:eastAsia="zh-CN"/>
                <w14:textFill>
                  <w14:solidFill>
                    <w14:schemeClr w14:val="tx1"/>
                  </w14:solidFill>
                </w14:textFill>
              </w:rPr>
            </w:pPr>
            <w:r>
              <w:rPr>
                <w:rFonts w:hint="eastAsia" w:ascii="新宋体" w:hAnsi="新宋体" w:eastAsia="新宋体" w:cs="新宋体"/>
              </w:rPr>
              <w:t>转子流量计</w:t>
            </w:r>
          </w:p>
        </w:tc>
        <w:tc>
          <w:tcPr>
            <w:tcW w:w="5103" w:type="dxa"/>
            <w:vAlign w:val="center"/>
          </w:tcPr>
          <w:p>
            <w:pPr>
              <w:pStyle w:val="42"/>
              <w:spacing w:before="0" w:line="360" w:lineRule="auto"/>
              <w:jc w:val="left"/>
              <w:rPr>
                <w:color w:val="000000" w:themeColor="text1"/>
                <w:szCs w:val="21"/>
                <w:lang w:eastAsia="zh-CN"/>
                <w14:textFill>
                  <w14:solidFill>
                    <w14:schemeClr w14:val="tx1"/>
                  </w14:solidFill>
                </w14:textFill>
              </w:rPr>
            </w:pPr>
            <w:r>
              <w:rPr>
                <w:rFonts w:hint="eastAsia" w:ascii="新宋体" w:hAnsi="新宋体" w:eastAsia="新宋体" w:cs="新宋体"/>
                <w:lang w:val="de-DE"/>
              </w:rPr>
              <w:t>AALBORG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vAlign w:val="center"/>
          </w:tcPr>
          <w:p>
            <w:pPr>
              <w:pStyle w:val="42"/>
              <w:spacing w:before="0" w:line="360" w:lineRule="auto"/>
              <w:jc w:val="left"/>
              <w:rPr>
                <w:color w:val="000000" w:themeColor="text1"/>
                <w:szCs w:val="21"/>
                <w:lang w:eastAsia="zh-CN"/>
                <w14:textFill>
                  <w14:solidFill>
                    <w14:schemeClr w14:val="tx1"/>
                  </w14:solidFill>
                </w14:textFill>
              </w:rPr>
            </w:pPr>
            <w:r>
              <w:rPr>
                <w:rFonts w:hint="eastAsia" w:ascii="新宋体" w:hAnsi="新宋体" w:eastAsia="新宋体" w:cs="新宋体"/>
              </w:rPr>
              <w:t>质量流量计</w:t>
            </w:r>
          </w:p>
        </w:tc>
        <w:tc>
          <w:tcPr>
            <w:tcW w:w="5103" w:type="dxa"/>
            <w:vAlign w:val="center"/>
          </w:tcPr>
          <w:p>
            <w:pPr>
              <w:pStyle w:val="42"/>
              <w:spacing w:before="0" w:line="360" w:lineRule="auto"/>
              <w:jc w:val="left"/>
              <w:rPr>
                <w:color w:val="000000" w:themeColor="text1"/>
                <w:szCs w:val="21"/>
                <w:lang w:eastAsia="zh-CN"/>
                <w14:textFill>
                  <w14:solidFill>
                    <w14:schemeClr w14:val="tx1"/>
                  </w14:solidFill>
                </w14:textFill>
              </w:rPr>
            </w:pPr>
            <w:r>
              <w:rPr>
                <w:rFonts w:hint="eastAsia" w:ascii="新宋体" w:hAnsi="新宋体" w:eastAsia="新宋体" w:cs="新宋体"/>
                <w:lang w:val="de-DE"/>
              </w:rPr>
              <w:t>Vogtlin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vAlign w:val="center"/>
          </w:tcPr>
          <w:p>
            <w:pPr>
              <w:pStyle w:val="42"/>
              <w:spacing w:before="0" w:line="360" w:lineRule="auto"/>
              <w:jc w:val="left"/>
              <w:rPr>
                <w:color w:val="000000" w:themeColor="text1"/>
                <w:szCs w:val="21"/>
                <w:lang w:eastAsia="zh-CN"/>
                <w14:textFill>
                  <w14:solidFill>
                    <w14:schemeClr w14:val="tx1"/>
                  </w14:solidFill>
                </w14:textFill>
              </w:rPr>
            </w:pPr>
            <w:r>
              <w:rPr>
                <w:rFonts w:hint="eastAsia" w:ascii="新宋体" w:hAnsi="新宋体" w:eastAsia="新宋体" w:cs="新宋体"/>
              </w:rPr>
              <w:t>触摸屏</w:t>
            </w:r>
          </w:p>
        </w:tc>
        <w:tc>
          <w:tcPr>
            <w:tcW w:w="5103" w:type="dxa"/>
            <w:vAlign w:val="center"/>
          </w:tcPr>
          <w:p>
            <w:pPr>
              <w:pStyle w:val="42"/>
              <w:spacing w:before="0" w:line="360" w:lineRule="auto"/>
              <w:jc w:val="left"/>
              <w:rPr>
                <w:color w:val="000000" w:themeColor="text1"/>
                <w:szCs w:val="21"/>
                <w:lang w:eastAsia="zh-CN"/>
                <w14:textFill>
                  <w14:solidFill>
                    <w14:schemeClr w14:val="tx1"/>
                  </w14:solidFill>
                </w14:textFill>
              </w:rPr>
            </w:pPr>
            <w:r>
              <w:rPr>
                <w:rFonts w:hint="eastAsia" w:ascii="新宋体" w:hAnsi="新宋体" w:eastAsia="新宋体" w:cs="新宋体"/>
                <w:lang w:val="de-DE"/>
              </w:rPr>
              <w:t>Siemens、kinco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vAlign w:val="center"/>
          </w:tcPr>
          <w:p>
            <w:pPr>
              <w:pStyle w:val="42"/>
              <w:spacing w:before="0" w:line="360" w:lineRule="auto"/>
              <w:jc w:val="left"/>
              <w:rPr>
                <w:rFonts w:ascii="新宋体" w:hAnsi="新宋体" w:eastAsia="新宋体" w:cs="新宋体"/>
              </w:rPr>
            </w:pPr>
            <w:r>
              <w:rPr>
                <w:rFonts w:hint="eastAsia" w:ascii="新宋体" w:hAnsi="新宋体" w:eastAsia="新宋体" w:cs="新宋体"/>
              </w:rPr>
              <w:t>蠕动泵</w:t>
            </w:r>
          </w:p>
        </w:tc>
        <w:tc>
          <w:tcPr>
            <w:tcW w:w="5103" w:type="dxa"/>
            <w:vAlign w:val="center"/>
          </w:tcPr>
          <w:p>
            <w:pPr>
              <w:pStyle w:val="42"/>
              <w:spacing w:before="0" w:line="360" w:lineRule="auto"/>
              <w:jc w:val="left"/>
              <w:rPr>
                <w:rFonts w:ascii="新宋体" w:hAnsi="新宋体" w:eastAsia="新宋体" w:cs="新宋体"/>
                <w:lang w:val="de-DE"/>
              </w:rPr>
            </w:pPr>
            <w:r>
              <w:rPr>
                <w:rFonts w:hint="eastAsia" w:ascii="新宋体" w:hAnsi="新宋体" w:eastAsia="新宋体" w:cs="新宋体"/>
              </w:rPr>
              <w:t>Watson-Marlow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vAlign w:val="center"/>
          </w:tcPr>
          <w:p>
            <w:pPr>
              <w:pStyle w:val="42"/>
              <w:spacing w:before="0" w:line="360" w:lineRule="auto"/>
              <w:jc w:val="left"/>
              <w:rPr>
                <w:rFonts w:ascii="新宋体" w:hAnsi="新宋体" w:eastAsia="新宋体" w:cs="新宋体"/>
              </w:rPr>
            </w:pPr>
            <w:r>
              <w:rPr>
                <w:rFonts w:hint="eastAsia" w:ascii="新宋体" w:hAnsi="新宋体" w:eastAsia="新宋体" w:cs="新宋体"/>
              </w:rPr>
              <w:t>搅拌电机</w:t>
            </w:r>
          </w:p>
        </w:tc>
        <w:tc>
          <w:tcPr>
            <w:tcW w:w="5103" w:type="dxa"/>
            <w:vAlign w:val="center"/>
          </w:tcPr>
          <w:p>
            <w:pPr>
              <w:pStyle w:val="42"/>
              <w:spacing w:before="0" w:line="360" w:lineRule="auto"/>
              <w:jc w:val="left"/>
              <w:rPr>
                <w:rFonts w:ascii="新宋体" w:hAnsi="新宋体" w:eastAsia="新宋体" w:cs="新宋体"/>
              </w:rPr>
            </w:pPr>
            <w:r>
              <w:rPr>
                <w:rFonts w:hint="eastAsia" w:ascii="新宋体" w:hAnsi="新宋体" w:eastAsia="新宋体" w:cs="新宋体"/>
              </w:rPr>
              <w:t>西门子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vAlign w:val="center"/>
          </w:tcPr>
          <w:p>
            <w:pPr>
              <w:pStyle w:val="42"/>
              <w:spacing w:before="0" w:line="360" w:lineRule="auto"/>
              <w:jc w:val="left"/>
              <w:rPr>
                <w:rFonts w:ascii="新宋体" w:hAnsi="新宋体" w:eastAsia="新宋体" w:cs="新宋体"/>
              </w:rPr>
            </w:pPr>
            <w:r>
              <w:rPr>
                <w:rFonts w:hint="eastAsia" w:ascii="新宋体" w:hAnsi="新宋体" w:eastAsia="新宋体" w:cs="新宋体"/>
                <w:lang w:val="de-DE"/>
              </w:rPr>
              <w:t>电气部件</w:t>
            </w:r>
          </w:p>
        </w:tc>
        <w:tc>
          <w:tcPr>
            <w:tcW w:w="5103" w:type="dxa"/>
            <w:vAlign w:val="center"/>
          </w:tcPr>
          <w:p>
            <w:pPr>
              <w:pStyle w:val="42"/>
              <w:spacing w:before="0" w:line="360" w:lineRule="auto"/>
              <w:jc w:val="left"/>
              <w:rPr>
                <w:rFonts w:ascii="新宋体" w:hAnsi="新宋体" w:eastAsia="新宋体" w:cs="新宋体"/>
              </w:rPr>
            </w:pPr>
            <w:r>
              <w:fldChar w:fldCharType="begin"/>
            </w:r>
            <w:r>
              <w:instrText xml:space="preserve"> HYPERLINK "http://www.baidu.com/link?url=2UmIW80A7bwV8FSwnFWwgqQXaWD_djdN52ZbzUJXXJRFuPawoJ-7Bd5tWmmVCxBn" \t "https://www.baidu.com/_blank" </w:instrText>
            </w:r>
            <w:r>
              <w:fldChar w:fldCharType="separate"/>
            </w:r>
            <w:r>
              <w:rPr>
                <w:rFonts w:hint="eastAsia" w:ascii="新宋体" w:hAnsi="新宋体" w:eastAsia="新宋体" w:cs="新宋体"/>
              </w:rPr>
              <w:t>Schneider</w:t>
            </w:r>
            <w:r>
              <w:rPr>
                <w:rFonts w:hint="eastAsia" w:ascii="新宋体" w:hAnsi="新宋体" w:eastAsia="新宋体" w:cs="新宋体"/>
                <w:lang w:val="de-DE"/>
              </w:rPr>
              <w:t>/Siemens/菲尼克斯或同等品牌</w:t>
            </w:r>
            <w:r>
              <w:rPr>
                <w:rFonts w:hint="eastAsia" w:ascii="新宋体" w:hAnsi="新宋体" w:eastAsia="新宋体" w:cs="新宋体"/>
                <w:lang w:val="de-DE"/>
              </w:rPr>
              <w:fldChar w:fldCharType="end"/>
            </w:r>
          </w:p>
        </w:tc>
      </w:tr>
      <w:permEnd w:id="43"/>
    </w:tbl>
    <w:p>
      <w:pPr>
        <w:pStyle w:val="42"/>
        <w:spacing w:before="0" w:line="360" w:lineRule="auto"/>
        <w:ind w:left="357"/>
        <w:jc w:val="left"/>
        <w:rPr>
          <w:color w:val="000000" w:themeColor="text1"/>
          <w:szCs w:val="21"/>
          <w:lang w:eastAsia="zh-CN"/>
          <w14:textFill>
            <w14:solidFill>
              <w14:schemeClr w14:val="tx1"/>
            </w14:solidFill>
          </w14:textFill>
        </w:rPr>
      </w:pP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8"/>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kNmNjOWZiMmNjNTg4MmRmNTAzNzZjZDk4YmZlZjc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1B42"/>
    <w:rsid w:val="00022818"/>
    <w:rsid w:val="000233DE"/>
    <w:rsid w:val="00023B07"/>
    <w:rsid w:val="00023CAD"/>
    <w:rsid w:val="0002457E"/>
    <w:rsid w:val="00026DD4"/>
    <w:rsid w:val="000275E7"/>
    <w:rsid w:val="000303D0"/>
    <w:rsid w:val="00031243"/>
    <w:rsid w:val="00031900"/>
    <w:rsid w:val="000355F3"/>
    <w:rsid w:val="00037987"/>
    <w:rsid w:val="00037F15"/>
    <w:rsid w:val="00037F55"/>
    <w:rsid w:val="000404F1"/>
    <w:rsid w:val="00041104"/>
    <w:rsid w:val="00041A2A"/>
    <w:rsid w:val="00041D89"/>
    <w:rsid w:val="00044DFD"/>
    <w:rsid w:val="00045166"/>
    <w:rsid w:val="000467C2"/>
    <w:rsid w:val="00046B5E"/>
    <w:rsid w:val="00047038"/>
    <w:rsid w:val="00047BA8"/>
    <w:rsid w:val="00047CAF"/>
    <w:rsid w:val="00051C05"/>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3C2F"/>
    <w:rsid w:val="0007673E"/>
    <w:rsid w:val="00077AE1"/>
    <w:rsid w:val="000818AC"/>
    <w:rsid w:val="00082C13"/>
    <w:rsid w:val="00083D58"/>
    <w:rsid w:val="00084387"/>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1695"/>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6C75"/>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39F3"/>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57F5"/>
    <w:rsid w:val="001560AD"/>
    <w:rsid w:val="0015633E"/>
    <w:rsid w:val="0015752C"/>
    <w:rsid w:val="0016077F"/>
    <w:rsid w:val="00161486"/>
    <w:rsid w:val="0016194A"/>
    <w:rsid w:val="00161F7F"/>
    <w:rsid w:val="00162A78"/>
    <w:rsid w:val="00162CA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6FDB"/>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B7D3F"/>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0238"/>
    <w:rsid w:val="00201487"/>
    <w:rsid w:val="00203D68"/>
    <w:rsid w:val="0020539A"/>
    <w:rsid w:val="00205E00"/>
    <w:rsid w:val="00206107"/>
    <w:rsid w:val="002070B2"/>
    <w:rsid w:val="0020756B"/>
    <w:rsid w:val="00210177"/>
    <w:rsid w:val="00212297"/>
    <w:rsid w:val="002129BC"/>
    <w:rsid w:val="00212BD9"/>
    <w:rsid w:val="00213AA9"/>
    <w:rsid w:val="00215F2A"/>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3DD3"/>
    <w:rsid w:val="00245088"/>
    <w:rsid w:val="00246995"/>
    <w:rsid w:val="00253242"/>
    <w:rsid w:val="002547BF"/>
    <w:rsid w:val="002548CA"/>
    <w:rsid w:val="0025531B"/>
    <w:rsid w:val="002556AB"/>
    <w:rsid w:val="002560F9"/>
    <w:rsid w:val="00257517"/>
    <w:rsid w:val="00257FA9"/>
    <w:rsid w:val="00261CD0"/>
    <w:rsid w:val="00261F30"/>
    <w:rsid w:val="002637FB"/>
    <w:rsid w:val="00263CB5"/>
    <w:rsid w:val="0026571F"/>
    <w:rsid w:val="0027137F"/>
    <w:rsid w:val="002723D2"/>
    <w:rsid w:val="00272507"/>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2B6A"/>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D7121"/>
    <w:rsid w:val="002E1D21"/>
    <w:rsid w:val="002E3B36"/>
    <w:rsid w:val="002E59BF"/>
    <w:rsid w:val="002E63F6"/>
    <w:rsid w:val="002E69A1"/>
    <w:rsid w:val="002F1C5E"/>
    <w:rsid w:val="002F1D63"/>
    <w:rsid w:val="002F340E"/>
    <w:rsid w:val="002F4392"/>
    <w:rsid w:val="002F4641"/>
    <w:rsid w:val="002F4B22"/>
    <w:rsid w:val="00302176"/>
    <w:rsid w:val="003021F5"/>
    <w:rsid w:val="00302AF8"/>
    <w:rsid w:val="00303068"/>
    <w:rsid w:val="00304F96"/>
    <w:rsid w:val="00306131"/>
    <w:rsid w:val="00310516"/>
    <w:rsid w:val="00311B2C"/>
    <w:rsid w:val="00311EE4"/>
    <w:rsid w:val="0031318B"/>
    <w:rsid w:val="003137B7"/>
    <w:rsid w:val="00313816"/>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355"/>
    <w:rsid w:val="0037455F"/>
    <w:rsid w:val="00376C31"/>
    <w:rsid w:val="00380EB7"/>
    <w:rsid w:val="003810F5"/>
    <w:rsid w:val="00381C39"/>
    <w:rsid w:val="00381CF6"/>
    <w:rsid w:val="0038326A"/>
    <w:rsid w:val="0038367F"/>
    <w:rsid w:val="0038371B"/>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3B8A"/>
    <w:rsid w:val="003E49F8"/>
    <w:rsid w:val="003E5109"/>
    <w:rsid w:val="003E60EE"/>
    <w:rsid w:val="003E6B48"/>
    <w:rsid w:val="003E748F"/>
    <w:rsid w:val="003F3F47"/>
    <w:rsid w:val="003F6E0C"/>
    <w:rsid w:val="004003A8"/>
    <w:rsid w:val="0040240E"/>
    <w:rsid w:val="00402756"/>
    <w:rsid w:val="00402A42"/>
    <w:rsid w:val="00405B3A"/>
    <w:rsid w:val="004074DC"/>
    <w:rsid w:val="004111CC"/>
    <w:rsid w:val="004122A3"/>
    <w:rsid w:val="00416E8B"/>
    <w:rsid w:val="00420273"/>
    <w:rsid w:val="00420AA0"/>
    <w:rsid w:val="0042116C"/>
    <w:rsid w:val="00422AE9"/>
    <w:rsid w:val="00422D19"/>
    <w:rsid w:val="00422DFE"/>
    <w:rsid w:val="00424D83"/>
    <w:rsid w:val="00424E29"/>
    <w:rsid w:val="00425B85"/>
    <w:rsid w:val="00427D22"/>
    <w:rsid w:val="00427E2D"/>
    <w:rsid w:val="00431EA0"/>
    <w:rsid w:val="00432568"/>
    <w:rsid w:val="00436C7C"/>
    <w:rsid w:val="00437440"/>
    <w:rsid w:val="00440378"/>
    <w:rsid w:val="00442B53"/>
    <w:rsid w:val="00442BB5"/>
    <w:rsid w:val="00443256"/>
    <w:rsid w:val="00444D2D"/>
    <w:rsid w:val="004510B1"/>
    <w:rsid w:val="00451C5D"/>
    <w:rsid w:val="00451D74"/>
    <w:rsid w:val="00452E73"/>
    <w:rsid w:val="004565EF"/>
    <w:rsid w:val="00457FF9"/>
    <w:rsid w:val="004601ED"/>
    <w:rsid w:val="00460711"/>
    <w:rsid w:val="0046108B"/>
    <w:rsid w:val="004621F9"/>
    <w:rsid w:val="00467AE6"/>
    <w:rsid w:val="00467EC9"/>
    <w:rsid w:val="00477791"/>
    <w:rsid w:val="00480286"/>
    <w:rsid w:val="00480C3B"/>
    <w:rsid w:val="00480FE3"/>
    <w:rsid w:val="00481C94"/>
    <w:rsid w:val="004847F3"/>
    <w:rsid w:val="00484A8D"/>
    <w:rsid w:val="00486A4E"/>
    <w:rsid w:val="00486B09"/>
    <w:rsid w:val="0049139F"/>
    <w:rsid w:val="00494F07"/>
    <w:rsid w:val="00496116"/>
    <w:rsid w:val="004965A0"/>
    <w:rsid w:val="00497335"/>
    <w:rsid w:val="004A05A7"/>
    <w:rsid w:val="004A2D97"/>
    <w:rsid w:val="004A3F98"/>
    <w:rsid w:val="004A5532"/>
    <w:rsid w:val="004A5958"/>
    <w:rsid w:val="004A76DF"/>
    <w:rsid w:val="004B0A75"/>
    <w:rsid w:val="004B2190"/>
    <w:rsid w:val="004B6095"/>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6E60"/>
    <w:rsid w:val="004D7128"/>
    <w:rsid w:val="004D751D"/>
    <w:rsid w:val="004E05C2"/>
    <w:rsid w:val="004E0B02"/>
    <w:rsid w:val="004E0C0D"/>
    <w:rsid w:val="004E255F"/>
    <w:rsid w:val="004E4C2D"/>
    <w:rsid w:val="004E7047"/>
    <w:rsid w:val="004F0539"/>
    <w:rsid w:val="004F10A4"/>
    <w:rsid w:val="004F342E"/>
    <w:rsid w:val="004F4C63"/>
    <w:rsid w:val="004F5AE6"/>
    <w:rsid w:val="004F5C19"/>
    <w:rsid w:val="004F7B6A"/>
    <w:rsid w:val="0050090F"/>
    <w:rsid w:val="0050208D"/>
    <w:rsid w:val="0050284B"/>
    <w:rsid w:val="00502F99"/>
    <w:rsid w:val="00504B71"/>
    <w:rsid w:val="00507991"/>
    <w:rsid w:val="00507A62"/>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0E36"/>
    <w:rsid w:val="00561E9C"/>
    <w:rsid w:val="00565C7A"/>
    <w:rsid w:val="00567E14"/>
    <w:rsid w:val="005705A7"/>
    <w:rsid w:val="005715A3"/>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A6D41"/>
    <w:rsid w:val="005B12B6"/>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39A"/>
    <w:rsid w:val="00627B8B"/>
    <w:rsid w:val="0063106D"/>
    <w:rsid w:val="006312FF"/>
    <w:rsid w:val="00632136"/>
    <w:rsid w:val="00632C67"/>
    <w:rsid w:val="006331B6"/>
    <w:rsid w:val="00633310"/>
    <w:rsid w:val="00633315"/>
    <w:rsid w:val="00634B6D"/>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7760C"/>
    <w:rsid w:val="00680BE8"/>
    <w:rsid w:val="00685404"/>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2806"/>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43B2"/>
    <w:rsid w:val="00705090"/>
    <w:rsid w:val="00705102"/>
    <w:rsid w:val="00705DDB"/>
    <w:rsid w:val="0070675E"/>
    <w:rsid w:val="00706A0E"/>
    <w:rsid w:val="00707703"/>
    <w:rsid w:val="00710573"/>
    <w:rsid w:val="00710808"/>
    <w:rsid w:val="007116CB"/>
    <w:rsid w:val="0071211E"/>
    <w:rsid w:val="00712B1B"/>
    <w:rsid w:val="0071311A"/>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287D"/>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BF5"/>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34E7"/>
    <w:rsid w:val="00834968"/>
    <w:rsid w:val="00834B53"/>
    <w:rsid w:val="00840298"/>
    <w:rsid w:val="00840D23"/>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3079"/>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3D44"/>
    <w:rsid w:val="00904BA9"/>
    <w:rsid w:val="00904E7E"/>
    <w:rsid w:val="00907334"/>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37CD0"/>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9CE"/>
    <w:rsid w:val="009B5BF6"/>
    <w:rsid w:val="009C1C79"/>
    <w:rsid w:val="009C339C"/>
    <w:rsid w:val="009C33B8"/>
    <w:rsid w:val="009C6CDC"/>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0E09"/>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279B6"/>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5AE"/>
    <w:rsid w:val="00AE2817"/>
    <w:rsid w:val="00AE304B"/>
    <w:rsid w:val="00AE3C69"/>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23E2"/>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0D09"/>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1537"/>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6543"/>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177"/>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5C56"/>
    <w:rsid w:val="00C97646"/>
    <w:rsid w:val="00C97672"/>
    <w:rsid w:val="00CA55BD"/>
    <w:rsid w:val="00CB0837"/>
    <w:rsid w:val="00CB2BFA"/>
    <w:rsid w:val="00CB3888"/>
    <w:rsid w:val="00CB3C84"/>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CF7C04"/>
    <w:rsid w:val="00D00811"/>
    <w:rsid w:val="00D0088A"/>
    <w:rsid w:val="00D02A43"/>
    <w:rsid w:val="00D02DEB"/>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3B52"/>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85FF1"/>
    <w:rsid w:val="00D90293"/>
    <w:rsid w:val="00D90496"/>
    <w:rsid w:val="00D917BC"/>
    <w:rsid w:val="00D91F38"/>
    <w:rsid w:val="00D942DE"/>
    <w:rsid w:val="00D9491E"/>
    <w:rsid w:val="00DA070D"/>
    <w:rsid w:val="00DA2966"/>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C7891"/>
    <w:rsid w:val="00DD090A"/>
    <w:rsid w:val="00DD2421"/>
    <w:rsid w:val="00DD3222"/>
    <w:rsid w:val="00DD3D81"/>
    <w:rsid w:val="00DD571C"/>
    <w:rsid w:val="00DD64E1"/>
    <w:rsid w:val="00DE039A"/>
    <w:rsid w:val="00DE0403"/>
    <w:rsid w:val="00DE3C31"/>
    <w:rsid w:val="00DE4811"/>
    <w:rsid w:val="00DE5458"/>
    <w:rsid w:val="00DE5EE6"/>
    <w:rsid w:val="00DE63CB"/>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075A"/>
    <w:rsid w:val="00E33928"/>
    <w:rsid w:val="00E33C90"/>
    <w:rsid w:val="00E34D15"/>
    <w:rsid w:val="00E35214"/>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3AD9"/>
    <w:rsid w:val="00E76FF1"/>
    <w:rsid w:val="00E774FE"/>
    <w:rsid w:val="00E809A0"/>
    <w:rsid w:val="00E80AF7"/>
    <w:rsid w:val="00E82BE4"/>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41F7"/>
    <w:rsid w:val="00EC518D"/>
    <w:rsid w:val="00EC71D3"/>
    <w:rsid w:val="00ED02FE"/>
    <w:rsid w:val="00ED1EC9"/>
    <w:rsid w:val="00ED3737"/>
    <w:rsid w:val="00ED3856"/>
    <w:rsid w:val="00ED3E2E"/>
    <w:rsid w:val="00ED4CC8"/>
    <w:rsid w:val="00ED6A08"/>
    <w:rsid w:val="00EE05EE"/>
    <w:rsid w:val="00EE0AE2"/>
    <w:rsid w:val="00EE35B4"/>
    <w:rsid w:val="00EE5643"/>
    <w:rsid w:val="00EE6834"/>
    <w:rsid w:val="00EE7CEC"/>
    <w:rsid w:val="00EF056E"/>
    <w:rsid w:val="00EF09B3"/>
    <w:rsid w:val="00EF0A3E"/>
    <w:rsid w:val="00EF5EC6"/>
    <w:rsid w:val="00EF646F"/>
    <w:rsid w:val="00EF791E"/>
    <w:rsid w:val="00EF7A63"/>
    <w:rsid w:val="00F00D58"/>
    <w:rsid w:val="00F0226C"/>
    <w:rsid w:val="00F02522"/>
    <w:rsid w:val="00F029C7"/>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4678"/>
    <w:rsid w:val="00F26185"/>
    <w:rsid w:val="00F26AF8"/>
    <w:rsid w:val="00F3178C"/>
    <w:rsid w:val="00F33DE5"/>
    <w:rsid w:val="00F34B8F"/>
    <w:rsid w:val="00F36D7F"/>
    <w:rsid w:val="00F37186"/>
    <w:rsid w:val="00F42FCF"/>
    <w:rsid w:val="00F44A83"/>
    <w:rsid w:val="00F51743"/>
    <w:rsid w:val="00F5176A"/>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C7718"/>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2BB5874"/>
    <w:rsid w:val="036C3463"/>
    <w:rsid w:val="092D44ED"/>
    <w:rsid w:val="0EA44FDC"/>
    <w:rsid w:val="1088779B"/>
    <w:rsid w:val="144E3AEC"/>
    <w:rsid w:val="1A8A2953"/>
    <w:rsid w:val="2A1C0F07"/>
    <w:rsid w:val="2E1A6FB0"/>
    <w:rsid w:val="2E2B008E"/>
    <w:rsid w:val="31224DC9"/>
    <w:rsid w:val="33F04703"/>
    <w:rsid w:val="341E5E27"/>
    <w:rsid w:val="3CDE3DFA"/>
    <w:rsid w:val="461B1890"/>
    <w:rsid w:val="46671B6B"/>
    <w:rsid w:val="492B486B"/>
    <w:rsid w:val="4B5E0F27"/>
    <w:rsid w:val="5EE277B3"/>
    <w:rsid w:val="61E8102D"/>
    <w:rsid w:val="67661B76"/>
    <w:rsid w:val="69286279"/>
    <w:rsid w:val="6BD3491E"/>
    <w:rsid w:val="6BE87B37"/>
    <w:rsid w:val="7CC86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3"/>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5"/>
    <w:qFormat/>
    <w:uiPriority w:val="99"/>
    <w:pPr>
      <w:tabs>
        <w:tab w:val="center" w:pos="4320"/>
        <w:tab w:val="right" w:pos="8640"/>
      </w:tabs>
    </w:pPr>
  </w:style>
  <w:style w:type="paragraph" w:styleId="14">
    <w:name w:val="header"/>
    <w:basedOn w:val="1"/>
    <w:link w:val="27"/>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5"/>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Emphasis"/>
    <w:basedOn w:val="21"/>
    <w:qFormat/>
    <w:uiPriority w:val="0"/>
    <w:rPr>
      <w:i/>
    </w:rPr>
  </w:style>
  <w:style w:type="character" w:styleId="24">
    <w:name w:val="Hyperlink"/>
    <w:qFormat/>
    <w:uiPriority w:val="99"/>
    <w:rPr>
      <w:color w:val="0000FF"/>
      <w:u w:val="single"/>
    </w:rPr>
  </w:style>
  <w:style w:type="character" w:styleId="25">
    <w:name w:val="annotation reference"/>
    <w:semiHidden/>
    <w:qFormat/>
    <w:uiPriority w:val="0"/>
    <w:rPr>
      <w:sz w:val="21"/>
      <w:szCs w:val="21"/>
    </w:rPr>
  </w:style>
  <w:style w:type="paragraph" w:customStyle="1" w:styleId="26">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7">
    <w:name w:val="页眉 字符"/>
    <w:link w:val="14"/>
    <w:qFormat/>
    <w:uiPriority w:val="0"/>
    <w:rPr>
      <w:rFonts w:eastAsia="宋体"/>
      <w:sz w:val="24"/>
      <w:lang w:val="en-GB" w:eastAsia="en-US" w:bidi="ar-SA"/>
    </w:rPr>
  </w:style>
  <w:style w:type="paragraph" w:customStyle="1" w:styleId="28">
    <w:name w:val="Default Text"/>
    <w:basedOn w:val="1"/>
    <w:qFormat/>
    <w:uiPriority w:val="0"/>
    <w:pPr>
      <w:overflowPunct/>
      <w:textAlignment w:val="auto"/>
    </w:pPr>
    <w:rPr>
      <w:rFonts w:ascii="Arial" w:hAnsi="Arial"/>
      <w:szCs w:val="24"/>
      <w:lang w:val="en-US"/>
    </w:rPr>
  </w:style>
  <w:style w:type="paragraph" w:customStyle="1" w:styleId="29">
    <w:name w:val="Style"/>
    <w:basedOn w:val="1"/>
    <w:qFormat/>
    <w:uiPriority w:val="0"/>
    <w:pPr>
      <w:overflowPunct/>
      <w:textAlignment w:val="auto"/>
    </w:pPr>
    <w:rPr>
      <w:rFonts w:ascii="Arial" w:hAnsi="Arial"/>
      <w:szCs w:val="24"/>
      <w:lang w:val="en-US"/>
    </w:rPr>
  </w:style>
  <w:style w:type="paragraph" w:customStyle="1" w:styleId="30">
    <w:name w:val="正文1"/>
    <w:basedOn w:val="1"/>
    <w:qFormat/>
    <w:uiPriority w:val="0"/>
    <w:pPr>
      <w:overflowPunct/>
      <w:textAlignment w:val="auto"/>
    </w:pPr>
    <w:rPr>
      <w:rFonts w:ascii="Arial" w:hAnsi="Arial"/>
      <w:sz w:val="20"/>
      <w:lang w:val="en-US"/>
    </w:rPr>
  </w:style>
  <w:style w:type="paragraph" w:customStyle="1" w:styleId="31">
    <w:name w:val="修订1"/>
    <w:hidden/>
    <w:semiHidden/>
    <w:qFormat/>
    <w:uiPriority w:val="99"/>
    <w:rPr>
      <w:rFonts w:ascii="Times New Roman" w:hAnsi="Times New Roman" w:eastAsia="宋体" w:cs="Times New Roman"/>
      <w:sz w:val="24"/>
      <w:lang w:val="en-GB" w:eastAsia="en-US" w:bidi="ar-SA"/>
    </w:rPr>
  </w:style>
  <w:style w:type="paragraph" w:styleId="32">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3">
    <w:name w:val="批注文字 字符"/>
    <w:link w:val="6"/>
    <w:semiHidden/>
    <w:qFormat/>
    <w:uiPriority w:val="0"/>
    <w:rPr>
      <w:sz w:val="24"/>
      <w:lang w:val="en-GB" w:eastAsia="en-US"/>
    </w:rPr>
  </w:style>
  <w:style w:type="paragraph" w:customStyle="1" w:styleId="34">
    <w:name w:val="TOC 标题1"/>
    <w:basedOn w:val="2"/>
    <w:next w:val="1"/>
    <w:qFormat/>
    <w:uiPriority w:val="39"/>
    <w:pPr>
      <w:numPr>
        <w:numId w:val="0"/>
      </w:numPr>
      <w:outlineLvl w:val="9"/>
    </w:pPr>
  </w:style>
  <w:style w:type="character" w:customStyle="1" w:styleId="35">
    <w:name w:val="页脚 字符"/>
    <w:link w:val="13"/>
    <w:qFormat/>
    <w:uiPriority w:val="99"/>
    <w:rPr>
      <w:sz w:val="24"/>
      <w:lang w:val="en-GB" w:eastAsia="en-US"/>
    </w:rPr>
  </w:style>
  <w:style w:type="character" w:customStyle="1" w:styleId="36">
    <w:name w:val="instruction standard blue"/>
    <w:qFormat/>
    <w:uiPriority w:val="1"/>
    <w:rPr>
      <w:rFonts w:cs="Arial"/>
      <w:i/>
      <w:color w:val="0070C0"/>
    </w:rPr>
  </w:style>
  <w:style w:type="character" w:customStyle="1" w:styleId="37">
    <w:name w:val="keyword"/>
    <w:basedOn w:val="21"/>
    <w:qFormat/>
    <w:uiPriority w:val="0"/>
  </w:style>
  <w:style w:type="paragraph" w:customStyle="1" w:styleId="38">
    <w:name w:val="numbering blue"/>
    <w:basedOn w:val="1"/>
    <w:link w:val="39"/>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9">
    <w:name w:val="numbering blue Zchn"/>
    <w:link w:val="38"/>
    <w:qFormat/>
    <w:uiPriority w:val="0"/>
    <w:rPr>
      <w:rFonts w:ascii="Arial" w:hAnsi="Arial" w:eastAsia="PMingLiU"/>
      <w:color w:val="0070C0"/>
      <w:lang w:eastAsia="zh-TW"/>
    </w:rPr>
  </w:style>
  <w:style w:type="paragraph" w:customStyle="1" w:styleId="40">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1">
    <w:name w:val="Text Char"/>
    <w:link w:val="42"/>
    <w:qFormat/>
    <w:locked/>
    <w:uiPriority w:val="0"/>
    <w:rPr>
      <w:sz w:val="24"/>
      <w:lang w:eastAsia="en-US"/>
    </w:rPr>
  </w:style>
  <w:style w:type="paragraph" w:customStyle="1" w:styleId="42">
    <w:name w:val="Text"/>
    <w:basedOn w:val="1"/>
    <w:link w:val="41"/>
    <w:qFormat/>
    <w:uiPriority w:val="0"/>
    <w:pPr>
      <w:overflowPunct/>
      <w:autoSpaceDE/>
      <w:autoSpaceDN/>
      <w:adjustRightInd/>
      <w:spacing w:before="120"/>
      <w:jc w:val="both"/>
      <w:textAlignment w:val="auto"/>
    </w:pPr>
    <w:rPr>
      <w:lang w:val="en-US"/>
    </w:rPr>
  </w:style>
  <w:style w:type="character" w:customStyle="1" w:styleId="43">
    <w:name w:val="ordinary-span-edit2"/>
    <w:qFormat/>
    <w:uiPriority w:val="0"/>
  </w:style>
  <w:style w:type="character" w:customStyle="1" w:styleId="44">
    <w:name w:val="apple-converted-space"/>
    <w:basedOn w:val="21"/>
    <w:qFormat/>
    <w:uiPriority w:val="0"/>
  </w:style>
  <w:style w:type="character" w:customStyle="1" w:styleId="45">
    <w:name w:val="标题 字符"/>
    <w:link w:val="17"/>
    <w:qFormat/>
    <w:uiPriority w:val="0"/>
    <w:rPr>
      <w:rFonts w:ascii="Calibri Light" w:hAnsi="Calibri Light" w:cs="Times New Roman"/>
      <w:b/>
      <w:bCs/>
      <w:sz w:val="32"/>
      <w:szCs w:val="32"/>
      <w:lang w:val="en-GB" w:eastAsia="en-US"/>
    </w:rPr>
  </w:style>
  <w:style w:type="paragraph" w:customStyle="1" w:styleId="46">
    <w:name w:val="Table text"/>
    <w:basedOn w:val="1"/>
    <w:qFormat/>
    <w:uiPriority w:val="0"/>
    <w:pPr>
      <w:overflowPunct/>
      <w:autoSpaceDE/>
      <w:autoSpaceDN/>
      <w:adjustRightInd/>
      <w:spacing w:before="120" w:after="120"/>
      <w:jc w:val="both"/>
      <w:textAlignment w:val="auto"/>
    </w:pPr>
    <w:rPr>
      <w:lang w:val="en-US"/>
    </w:rPr>
  </w:style>
  <w:style w:type="character" w:customStyle="1" w:styleId="47">
    <w:name w:val="Footer Char"/>
    <w:basedOn w:val="21"/>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13</Pages>
  <Words>1182</Words>
  <Characters>6744</Characters>
  <Lines>56</Lines>
  <Paragraphs>15</Paragraphs>
  <TotalTime>146</TotalTime>
  <ScaleCrop>false</ScaleCrop>
  <LinksUpToDate>false</LinksUpToDate>
  <CharactersWithSpaces>7911</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2022-10-11T07:51:00Z</dcterms:created>
  <dc:creator>Lilly</dc:creator>
  <cp:lastModifiedBy>汪洋</cp:lastModifiedBy>
  <cp:lastPrinted>2021-03-09T07:50:00Z</cp:lastPrinted>
  <dcterms:modified xsi:type="dcterms:W3CDTF">2022-11-07T07:39:14Z</dcterms:modified>
  <dc:title>生效期：</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D08BCC43374941219C5CCA7E12935093</vt:lpwstr>
  </property>
</Properties>
</file>