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400307"/>
      <w:bookmarkStart w:id="2" w:name="_Toc483227223"/>
      <w:bookmarkStart w:id="3" w:name="_Toc484532399"/>
      <w:bookmarkStart w:id="4" w:name="_Toc482717189"/>
    </w:p>
    <w:p>
      <w:pPr>
        <w:spacing w:after="158" w:afterLines="50"/>
        <w:jc w:val="center"/>
        <w:rPr>
          <w:b/>
          <w:szCs w:val="21"/>
          <w:lang w:eastAsia="zh-CN"/>
        </w:rPr>
      </w:pPr>
      <w:r>
        <w:rPr>
          <w:rFonts w:hint="eastAsia"/>
          <w:b/>
          <w:color w:val="000000" w:themeColor="text1"/>
          <w:sz w:val="28"/>
          <w:szCs w:val="28"/>
          <w:lang w:eastAsia="zh-CN"/>
          <w14:textFill>
            <w14:solidFill>
              <w14:schemeClr w14:val="tx1"/>
            </w14:solidFill>
          </w14:textFill>
        </w:rPr>
        <w:t>备份一体机</w:t>
      </w: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
    <w:p>
      <w:pPr>
        <w:tabs>
          <w:tab w:val="left" w:pos="1365"/>
        </w:tabs>
        <w:spacing w:after="158" w:afterLines="50"/>
        <w:jc w:val="center"/>
        <w:rPr>
          <w:b/>
          <w:i/>
          <w:color w:val="4472C4"/>
          <w:szCs w:val="21"/>
          <w:lang w:eastAsia="zh-CN"/>
        </w:rPr>
      </w:pPr>
    </w:p>
    <w:p>
      <w:pPr>
        <w:tabs>
          <w:tab w:val="left" w:pos="1365"/>
        </w:tabs>
        <w:spacing w:after="158" w:afterLines="50"/>
        <w:jc w:val="center"/>
        <w:rPr>
          <w:b/>
          <w:i/>
          <w:color w:val="4472C4"/>
          <w:szCs w:val="21"/>
          <w:lang w:eastAsia="zh-CN"/>
        </w:rPr>
      </w:pPr>
    </w:p>
    <w:bookmarkEnd w:id="5"/>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lang w:val="zh-CN" w:eastAsia="zh-CN"/>
        </w:rPr>
      </w:pP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
    <w:p>
      <w:pPr>
        <w:rPr>
          <w:lang w:val="en-US" w:eastAsia="zh-CN"/>
        </w:rPr>
      </w:pPr>
      <w:r>
        <w:rPr>
          <w:lang w:val="en-US" w:eastAsia="zh-CN"/>
        </w:rPr>
        <w:br w:type="page"/>
      </w:r>
      <w:bookmarkStart w:id="6" w:name="_Toc522107734"/>
    </w:p>
    <w:bookmarkEnd w:id="6"/>
    <w:p>
      <w:pPr>
        <w:pStyle w:val="31"/>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41"/>
        <w:spacing w:before="0" w:line="360" w:lineRule="auto"/>
        <w:ind w:left="357"/>
        <w:jc w:val="left"/>
        <w:rPr>
          <w:szCs w:val="21"/>
          <w:lang w:eastAsia="zh-CN"/>
        </w:rPr>
      </w:pPr>
      <w:bookmarkStart w:id="9" w:name="_Toc481702475"/>
      <w:bookmarkStart w:id="10" w:name="_Toc482359936"/>
      <w:bookmarkStart w:id="11" w:name="_Toc482360281"/>
      <w:bookmarkStart w:id="12" w:name="_Toc482370061"/>
      <w:bookmarkStart w:id="13" w:name="_Toc482369805"/>
      <w:bookmarkStart w:id="14" w:name="_Toc482370141"/>
      <w:bookmarkStart w:id="15" w:name="_Toc482370349"/>
      <w:bookmarkStart w:id="16" w:name="_Toc482625279"/>
      <w:bookmarkStart w:id="17" w:name="_Toc482370757"/>
      <w:r>
        <w:rPr>
          <w:szCs w:val="21"/>
          <w:lang w:eastAsia="zh-CN"/>
        </w:rPr>
        <w:t>本文件的目的是描述武汉生物制品研究所有限责任公司</w:t>
      </w:r>
      <w:r>
        <w:rPr>
          <w:rFonts w:hint="eastAsia" w:ascii="宋体" w:hAnsi="宋体"/>
          <w:szCs w:val="21"/>
          <w:lang w:eastAsia="zh-CN"/>
        </w:rPr>
        <w:t>备份一体机</w:t>
      </w:r>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41"/>
        <w:spacing w:before="0" w:line="360" w:lineRule="auto"/>
        <w:ind w:left="357"/>
        <w:jc w:val="left"/>
        <w:rPr>
          <w:szCs w:val="21"/>
          <w:lang w:eastAsia="zh-CN"/>
        </w:rPr>
      </w:pPr>
      <w:r>
        <w:rPr>
          <w:szCs w:val="21"/>
          <w:lang w:eastAsia="zh-CN"/>
        </w:rPr>
        <w:t>本URS适用于武汉生物制品研究所有限责任公司</w:t>
      </w:r>
      <w:r>
        <w:rPr>
          <w:rFonts w:hint="eastAsia"/>
          <w:color w:val="000000" w:themeColor="text1"/>
          <w:szCs w:val="21"/>
          <w:lang w:eastAsia="zh-CN"/>
          <w14:textFill>
            <w14:solidFill>
              <w14:schemeClr w14:val="tx1"/>
            </w14:solidFill>
          </w14:textFill>
        </w:rPr>
        <w:t>备份一体机</w:t>
      </w:r>
      <w:r>
        <w:rPr>
          <w:szCs w:val="21"/>
          <w:lang w:eastAsia="zh-CN"/>
        </w:rPr>
        <w:t>。</w:t>
      </w:r>
      <w:bookmarkEnd w:id="9"/>
      <w:bookmarkEnd w:id="10"/>
      <w:bookmarkEnd w:id="11"/>
      <w:bookmarkEnd w:id="12"/>
      <w:bookmarkEnd w:id="13"/>
      <w:bookmarkEnd w:id="14"/>
      <w:bookmarkEnd w:id="15"/>
      <w:bookmarkEnd w:id="16"/>
      <w:bookmarkEnd w:id="17"/>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i/>
          <w:color w:val="000000" w:themeColor="text1"/>
          <w:szCs w:val="21"/>
          <w:lang w:eastAsia="zh-CN"/>
          <w14:textFill>
            <w14:solidFill>
              <w14:schemeClr w14:val="tx1"/>
            </w14:solidFill>
          </w14:textFill>
        </w:rPr>
      </w:pPr>
      <w:r>
        <w:rPr>
          <w:i/>
          <w:color w:val="000000" w:themeColor="text1"/>
          <w:szCs w:val="21"/>
          <w:lang w:eastAsia="zh-CN"/>
          <w14:textFill>
            <w14:solidFill>
              <w14:schemeClr w14:val="tx1"/>
            </w14:solidFill>
          </w14:textFill>
        </w:rPr>
        <w:t xml:space="preserve">中国药典 </w:t>
      </w:r>
      <w:r>
        <w:rPr>
          <w:i/>
          <w:color w:val="000000" w:themeColor="text1"/>
          <w:szCs w:val="21"/>
          <w14:textFill>
            <w14:solidFill>
              <w14:schemeClr w14:val="tx1"/>
            </w14:solidFill>
          </w14:textFill>
        </w:rPr>
        <w:t>2015年版</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《安全防范工程技术标准》GB50348-2018</w:t>
      </w:r>
    </w:p>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电气安全应符合GB4793.1和GB4793.4的要求。</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环境要求应符合 RoHS 标准</w:t>
      </w:r>
    </w:p>
    <w:p>
      <w:pPr>
        <w:pStyle w:val="41"/>
        <w:spacing w:before="0" w:line="360" w:lineRule="auto"/>
        <w:jc w:val="left"/>
        <w:rPr>
          <w:szCs w:val="21"/>
          <w:lang w:eastAsia="zh-CN"/>
        </w:rPr>
      </w:pPr>
      <w:r>
        <w:rPr>
          <w:rFonts w:hint="eastAsia"/>
          <w:i/>
          <w:color w:val="0070C0"/>
          <w:szCs w:val="21"/>
          <w:lang w:eastAsia="zh-CN"/>
        </w:rPr>
        <w:t xml:space="preserve"> </w:t>
      </w:r>
    </w:p>
    <w:p>
      <w:pPr>
        <w:pStyle w:val="31"/>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r>
        <w:rPr>
          <w:rFonts w:ascii="Times New Roman" w:hAnsi="Times New Roman"/>
          <w:b/>
        </w:rPr>
        <w:t>系统描述</w:t>
      </w:r>
      <w:bookmarkEnd w:id="22"/>
      <w:bookmarkEnd w:id="23"/>
    </w:p>
    <w:p>
      <w:pPr>
        <w:pStyle w:val="41"/>
        <w:spacing w:before="0" w:line="360" w:lineRule="auto"/>
        <w:ind w:firstLine="420" w:firstLineChars="200"/>
        <w:jc w:val="left"/>
        <w:rPr>
          <w:szCs w:val="21"/>
          <w:lang w:eastAsia="zh-CN"/>
        </w:rPr>
      </w:pPr>
      <w:r>
        <w:rPr>
          <w:rFonts w:hint="eastAsia"/>
          <w:szCs w:val="21"/>
          <w:lang w:eastAsia="zh-CN"/>
        </w:rPr>
        <w:t>备份一体机是一款将备份软件、备份服务器以及磁盘(存储介质)整合到一个架构中而形成的一个设备，最终用户可以像操作备份软件一样来操作这个设备。</w:t>
      </w:r>
    </w:p>
    <w:p>
      <w:pPr>
        <w:pStyle w:val="31"/>
        <w:numPr>
          <w:ilvl w:val="0"/>
          <w:numId w:val="3"/>
        </w:numPr>
        <w:spacing w:after="158" w:afterLines="50"/>
        <w:ind w:left="426" w:hanging="426" w:hangingChars="202"/>
        <w:outlineLvl w:val="0"/>
        <w:rPr>
          <w:rFonts w:ascii="Times New Roman" w:hAnsi="Times New Roman"/>
          <w:szCs w:val="21"/>
        </w:rPr>
      </w:pPr>
      <w:bookmarkStart w:id="24" w:name="_Toc522716120"/>
      <w:r>
        <w:rPr>
          <w:rFonts w:ascii="Times New Roman" w:hAnsi="Times New Roman"/>
          <w:b/>
          <w:szCs w:val="21"/>
        </w:rPr>
        <w:t>安装要求</w:t>
      </w:r>
      <w:bookmarkEnd w:id="24"/>
      <w:bookmarkStart w:id="49" w:name="_GoBack"/>
      <w:bookmarkEnd w:id="4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综合楼B区3楼MES机房</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eastAsiaTheme="minorEastAsia"/>
                <w:szCs w:val="21"/>
                <w:lang w:eastAsia="zh-CN"/>
              </w:rPr>
            </w:pPr>
            <w:r>
              <w:rPr>
                <w:rFonts w:hint="eastAsia" w:eastAsiaTheme="minorEastAsia"/>
                <w:szCs w:val="21"/>
                <w:lang w:eastAsia="zh-CN"/>
              </w:rPr>
              <w:t>备份一体机：</w:t>
            </w:r>
            <w:r>
              <w:rPr>
                <w:rFonts w:eastAsiaTheme="minorEastAsia"/>
                <w:szCs w:val="21"/>
                <w:lang w:eastAsia="zh-CN"/>
              </w:rPr>
              <w:t>宽 x 深 x 高</w:t>
            </w:r>
            <w:r>
              <w:rPr>
                <w:rFonts w:hint="eastAsia" w:eastAsiaTheme="minorEastAsia"/>
                <w:szCs w:val="21"/>
                <w:lang w:eastAsia="zh-CN"/>
              </w:rPr>
              <w:t xml:space="preserve"> 小于</w:t>
            </w:r>
            <w:r>
              <w:rPr>
                <w:rFonts w:eastAsiaTheme="minorEastAsia"/>
                <w:szCs w:val="21"/>
                <w:lang w:eastAsia="zh-CN"/>
              </w:rPr>
              <w:t>：450 x 750 x 90（毫米）</w:t>
            </w:r>
          </w:p>
          <w:p>
            <w:pPr>
              <w:spacing w:line="276" w:lineRule="auto"/>
              <w:jc w:val="both"/>
              <w:rPr>
                <w:rFonts w:eastAsiaTheme="minorEastAsia"/>
                <w:szCs w:val="21"/>
                <w:lang w:eastAsia="zh-CN"/>
              </w:rPr>
            </w:pPr>
            <w:r>
              <w:rPr>
                <w:rFonts w:hint="eastAsia" w:eastAsiaTheme="minorEastAsia"/>
                <w:szCs w:val="21"/>
                <w:lang w:eastAsia="zh-CN"/>
              </w:rPr>
              <w:t>备份磁带库：宽 x 深 x 高 小于：480 x 880 x 1</w:t>
            </w:r>
            <w:r>
              <w:rPr>
                <w:rFonts w:eastAsiaTheme="minorEastAsia"/>
                <w:szCs w:val="21"/>
                <w:lang w:eastAsia="zh-CN"/>
              </w:rPr>
              <w:t>50</w:t>
            </w:r>
            <w:r>
              <w:rPr>
                <w:rFonts w:hint="eastAsia" w:eastAsiaTheme="minorEastAsia"/>
                <w:szCs w:val="21"/>
                <w:lang w:eastAsia="zh-CN"/>
              </w:rPr>
              <w:t>（毫米）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eastAsiaTheme="minorEastAsia"/>
                <w:szCs w:val="21"/>
                <w:lang w:val="en-US" w:eastAsia="zh-CN"/>
              </w:rPr>
            </w:pPr>
            <w:r>
              <w:rPr>
                <w:rFonts w:eastAsiaTheme="minorEastAsia"/>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470" w:firstLine="0" w:firstLineChars="0"/>
              <w:rPr>
                <w:rFonts w:ascii="Times New Roman" w:hAnsi="Times New Roman"/>
                <w:szCs w:val="21"/>
              </w:rPr>
            </w:pPr>
          </w:p>
        </w:tc>
        <w:tc>
          <w:tcPr>
            <w:tcW w:w="7128" w:type="dxa"/>
            <w:shd w:val="clear" w:color="auto" w:fill="auto"/>
            <w:vAlign w:val="center"/>
          </w:tcPr>
          <w:p>
            <w:pPr>
              <w:spacing w:line="276" w:lineRule="auto"/>
              <w:jc w:val="both"/>
              <w:rPr>
                <w:rFonts w:eastAsiaTheme="minorEastAsia"/>
                <w:szCs w:val="21"/>
                <w:lang w:eastAsia="zh-CN"/>
              </w:rPr>
            </w:pPr>
            <w:r>
              <w:rPr>
                <w:rFonts w:eastAsiaTheme="minorEastAsia"/>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szCs w:val="21"/>
                <w:lang w:eastAsia="zh-CN"/>
              </w:rPr>
            </w:pPr>
            <w:r>
              <w:rPr>
                <w:rFonts w:hint="eastAsia" w:eastAsiaTheme="minorEastAsia"/>
                <w:szCs w:val="21"/>
                <w:lang w:eastAsia="zh-CN"/>
              </w:rPr>
              <w:t>小于</w:t>
            </w:r>
            <w:r>
              <w:rPr>
                <w:rFonts w:eastAsiaTheme="minorEastAsia"/>
                <w:szCs w:val="21"/>
                <w:lang w:eastAsia="zh-CN"/>
              </w:rPr>
              <w:t>60</w:t>
            </w:r>
            <w:r>
              <w:rPr>
                <w:rFonts w:hint="eastAsia" w:eastAsiaTheme="minorEastAsia"/>
                <w:szCs w:val="21"/>
                <w:lang w:eastAsia="zh-CN"/>
              </w:rPr>
              <w:t>千克。</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eastAsiaTheme="minorEastAsia"/>
                <w:szCs w:val="21"/>
                <w:lang w:eastAsia="zh-CN"/>
              </w:rPr>
            </w:pPr>
            <w:r>
              <w:rPr>
                <w:rFonts w:hint="eastAsia" w:eastAsiaTheme="minorEastAsia"/>
                <w:szCs w:val="21"/>
                <w:lang w:eastAsia="zh-CN"/>
              </w:rPr>
              <w:t>支持的虚拟机管理程序：VMware、Microsoft Hyper-V 和 KVM。</w:t>
            </w:r>
          </w:p>
          <w:p>
            <w:pPr>
              <w:spacing w:line="276" w:lineRule="auto"/>
              <w:jc w:val="both"/>
              <w:rPr>
                <w:i/>
                <w:szCs w:val="21"/>
                <w:lang w:eastAsia="zh-CN"/>
              </w:rPr>
            </w:pPr>
            <w:r>
              <w:rPr>
                <w:rFonts w:hint="eastAsia" w:eastAsiaTheme="minorEastAsia"/>
                <w:szCs w:val="21"/>
                <w:lang w:eastAsia="zh-CN"/>
              </w:rPr>
              <w:t>所有主流文件系统，包括 Windows、Linux、HP-UX、AIX、Solaris、Mac OS 等。</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eastAsiaTheme="minorEastAsia"/>
                <w:szCs w:val="21"/>
                <w:lang w:eastAsia="zh-CN"/>
              </w:rPr>
              <w:t>工作环境洁净级别：普通区域</w:t>
            </w:r>
            <w:r>
              <w:rPr>
                <w:rFonts w:hint="eastAsia" w:eastAsiaTheme="minorEastAsia"/>
                <w:szCs w:val="21"/>
                <w:lang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lang w:eastAsia="zh-CN"/>
              </w:rPr>
            </w:pPr>
            <w:r>
              <w:rPr>
                <w:rFonts w:hint="eastAsia"/>
                <w:color w:val="000000"/>
                <w:lang w:eastAsia="zh-CN"/>
              </w:rPr>
              <w:t>交流电电源：～220±10%V，50±1Hz</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D9D9D9" w:themeColor="background1" w:themeShade="D9"/>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bookmarkEnd w:id="25"/>
      <w:bookmarkEnd w:id="26"/>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41"/>
        <w:spacing w:before="0" w:line="360" w:lineRule="auto"/>
        <w:ind w:left="357"/>
        <w:jc w:val="left"/>
        <w:rPr>
          <w:bCs/>
          <w:i/>
          <w:color w:val="4472C4"/>
          <w:kern w:val="44"/>
          <w:szCs w:val="21"/>
          <w:lang w:eastAsia="zh-CN"/>
        </w:rPr>
      </w:pPr>
      <w:r>
        <w:rPr>
          <w:rFonts w:hint="eastAsia"/>
          <w:bCs/>
          <w:i/>
          <w:color w:val="4472C4"/>
          <w:kern w:val="44"/>
          <w:szCs w:val="21"/>
          <w:lang w:eastAsia="zh-CN"/>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D9D9D9" w:themeColor="background1" w:themeShade="D9"/>
                <w:szCs w:val="21"/>
                <w:lang w:val="en-GB"/>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D9D9D9" w:themeColor="background1" w:themeShade="D9"/>
                <w:szCs w:val="21"/>
                <w:lang w:val="en-GB"/>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pStyle w:val="31"/>
              <w:ind w:firstLine="0" w:firstLineChars="0"/>
              <w:rPr>
                <w:szCs w:val="21"/>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D9D9D9" w:themeColor="background1" w:themeShade="D9"/>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备份速度高达高达9TB/小时</w:t>
            </w:r>
          </w:p>
        </w:tc>
        <w:tc>
          <w:tcPr>
            <w:tcW w:w="2125" w:type="dxa"/>
            <w:shd w:val="clear" w:color="auto" w:fill="auto"/>
            <w:vAlign w:val="center"/>
          </w:tcPr>
          <w:p>
            <w:pPr>
              <w:jc w:val="both"/>
              <w:rPr>
                <w:szCs w:val="21"/>
                <w:lang w:eastAsia="zh-CN"/>
              </w:rPr>
            </w:pPr>
            <w:r>
              <w:rPr>
                <w:rFonts w:hint="eastAsia"/>
                <w:szCs w:val="21"/>
                <w:lang w:eastAsia="zh-CN"/>
              </w:rPr>
              <w:t>关键</w:t>
            </w:r>
          </w:p>
        </w:tc>
      </w:tr>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69815"/>
      <w:bookmarkStart w:id="32" w:name="_Toc482370767"/>
      <w:bookmarkStart w:id="33" w:name="_Toc482625289"/>
      <w:bookmarkStart w:id="34" w:name="_Toc481702480"/>
      <w:bookmarkStart w:id="35" w:name="_Toc482370071"/>
      <w:bookmarkStart w:id="36" w:name="_Toc482370151"/>
      <w:bookmarkStart w:id="37" w:name="_Toc482370359"/>
      <w:bookmarkStart w:id="38" w:name="_Toc482717202"/>
      <w:bookmarkStart w:id="39" w:name="_Toc483227237"/>
      <w:bookmarkStart w:id="40" w:name="_Toc483400317"/>
      <w:bookmarkStart w:id="41" w:name="_Toc482359946"/>
      <w:bookmarkStart w:id="42" w:name="_Toc482360291"/>
      <w:r>
        <w:rPr>
          <w:rFonts w:ascii="Times New Roman" w:hAnsi="Times New Roman"/>
          <w:b/>
        </w:rPr>
        <w:t>电气、自动控制要求</w:t>
      </w:r>
      <w:bookmarkEnd w:id="29"/>
    </w:p>
    <w:p>
      <w:pPr>
        <w:pStyle w:val="41"/>
        <w:spacing w:before="0" w:line="360" w:lineRule="auto"/>
        <w:ind w:left="425"/>
        <w:jc w:val="left"/>
        <w:rPr>
          <w:i/>
          <w:color w:val="4472C4"/>
          <w:szCs w:val="21"/>
          <w:lang w:eastAsia="zh-CN"/>
        </w:rPr>
      </w:pPr>
      <w:r>
        <w:rPr>
          <w:rFonts w:hint="eastAsia"/>
          <w:i/>
          <w:color w:val="4472C4"/>
          <w:szCs w:val="21"/>
          <w:lang w:eastAsia="zh-CN"/>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D9D9D9" w:themeColor="background1" w:themeShade="D9"/>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仪器软件应可以设置多个用户，并有用户分级管理功能，每个等级拥有相应的可设置权限</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系统应可以为每个用户创建唯一的用户名和密码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系统应不允许两个或多个用户拥有相同的用户名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应有权限功能防止系统时间被更改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用户在密码输入时，电脑显示器上应不显示实际密码（比如密码会以*或其他符合显示）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系统管理员应可以重置密码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系统应可以设置密码最小长度为8位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应有安全保护以防止未授权的用户账号和密码进行使用，比如3次无效登录尝试后将锁定账户等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系统管理员应可以激活锁住的账户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系统必须具有超时强制退出要求重新登录的功能。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系统应可以允许用户和管理员更改自己的密码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系统应可设置密码效期，如3个月</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系统应可提示密码效期信息以提醒用户更改密码。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系统应有审计追踪功能，可以记录系统和安全的事件，比如登录登出、密码更改、方法参数更改、记录删除及操作人员和日期时间等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审计追踪记录应不可被删除或更改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应有控制措施以防止电子记录从应用软件外面被修改或删除。</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逻辑容量 80TB到4.8PB，240TB到14.4PB</w:t>
            </w:r>
          </w:p>
          <w:p>
            <w:pPr>
              <w:spacing w:line="276" w:lineRule="auto"/>
              <w:jc w:val="both"/>
              <w:rPr>
                <w:szCs w:val="21"/>
                <w:lang w:eastAsia="zh-CN"/>
              </w:rPr>
            </w:pPr>
            <w:r>
              <w:rPr>
                <w:rFonts w:hint="eastAsia"/>
                <w:szCs w:val="21"/>
                <w:lang w:eastAsia="zh-CN"/>
              </w:rPr>
              <w:t>可用容量 8TBu到96TBu 高达288TBu</w:t>
            </w:r>
          </w:p>
        </w:tc>
        <w:tc>
          <w:tcPr>
            <w:tcW w:w="2125" w:type="dxa"/>
            <w:shd w:val="clear" w:color="auto" w:fill="auto"/>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断电恢复后系统可正常运行，不影响参数设置和数据完整性</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系统应可以通过管理员新增、修改和禁用账户</w:t>
            </w:r>
          </w:p>
        </w:tc>
        <w:tc>
          <w:tcPr>
            <w:tcW w:w="2125" w:type="dxa"/>
            <w:shd w:val="clear" w:color="auto" w:fill="auto"/>
            <w:vAlign w:val="center"/>
          </w:tcPr>
          <w:p>
            <w:pPr>
              <w:jc w:val="both"/>
              <w:rPr>
                <w:szCs w:val="21"/>
                <w:lang w:eastAsia="zh-CN"/>
              </w:rPr>
            </w:pPr>
            <w:r>
              <w:rPr>
                <w:rFonts w:hint="eastAsia"/>
                <w:szCs w:val="21"/>
                <w:lang w:eastAsia="zh-CN"/>
              </w:rPr>
              <w:t>关键</w:t>
            </w:r>
          </w:p>
        </w:tc>
      </w:tr>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41"/>
        <w:spacing w:before="0" w:line="360" w:lineRule="auto"/>
        <w:ind w:left="357"/>
        <w:jc w:val="left"/>
        <w:rPr>
          <w:i/>
          <w:color w:val="4472C4"/>
          <w:szCs w:val="21"/>
          <w:lang w:eastAsia="zh-CN"/>
        </w:rPr>
      </w:pPr>
      <w:r>
        <w:rPr>
          <w:rFonts w:hint="eastAsia"/>
          <w:i/>
          <w:color w:val="4472C4"/>
          <w:szCs w:val="21"/>
          <w:lang w:eastAsia="zh-CN"/>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D9D9D9" w:themeColor="background1" w:themeShade="D9"/>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D9D9D9" w:themeColor="background1" w:themeShade="D9"/>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41"/>
        <w:spacing w:before="0" w:line="360" w:lineRule="auto"/>
        <w:ind w:left="357"/>
        <w:jc w:val="left"/>
        <w:rPr>
          <w:i/>
          <w:szCs w:val="21"/>
          <w:lang w:eastAsia="zh-CN"/>
        </w:rPr>
      </w:pPr>
      <w:r>
        <w:rPr>
          <w:i/>
          <w:color w:val="4472C4"/>
          <w:szCs w:val="21"/>
          <w:lang w:eastAsia="zh-CN"/>
        </w:rPr>
        <w:t>说明：此处填写供应商需提供的相关文件要求。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提供使用说明书</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提供设备标准技术文件，包括功能说明、设计说明、配置说明等</w:t>
            </w:r>
          </w:p>
        </w:tc>
        <w:tc>
          <w:tcPr>
            <w:tcW w:w="2125" w:type="dxa"/>
            <w:shd w:val="clear" w:color="auto" w:fill="auto"/>
            <w:vAlign w:val="center"/>
          </w:tcPr>
          <w:p>
            <w:pPr>
              <w:jc w:val="both"/>
              <w:rPr>
                <w:szCs w:val="21"/>
                <w:lang w:eastAsia="zh-CN"/>
              </w:rPr>
            </w:pPr>
            <w:r>
              <w:rPr>
                <w:rFonts w:hint="eastAsia"/>
                <w:szCs w:val="21"/>
                <w:lang w:eastAsia="zh-CN"/>
              </w:rPr>
              <w:t>关键</w:t>
            </w:r>
          </w:p>
        </w:tc>
      </w:tr>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ind w:left="357"/>
        <w:jc w:val="left"/>
        <w:rPr>
          <w:i/>
          <w:color w:val="4472C4"/>
          <w:szCs w:val="21"/>
          <w:lang w:eastAsia="zh-CN"/>
        </w:rPr>
      </w:pPr>
      <w:r>
        <w:rPr>
          <w:rFonts w:hint="eastAsia"/>
          <w:i/>
          <w:color w:val="4472C4"/>
          <w:szCs w:val="21"/>
          <w:lang w:eastAsia="zh-CN"/>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设备管理人员培训应包括设备结构原理、基本操作、日常维护内容、故障排除等基本知识。合格标准为维修人员能对服务器系统内相关功能部分进行基本设置、调试。能够了解设备及系统日常维护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szCs w:val="21"/>
                <w:lang w:eastAsia="zh-CN"/>
              </w:rPr>
            </w:pPr>
            <w:r>
              <w:rPr>
                <w:rFonts w:hint="eastAsia"/>
                <w:szCs w:val="21"/>
                <w:lang w:eastAsia="zh-CN"/>
              </w:rPr>
              <w:t>验证包括DQ、IQ、OQ，供应商必须派出具备该类系统验证经验，且熟悉验证相关文件编写及验证工作实施的验证工程师开展验证工作。</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整机全国联保三年</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免费上门数据恢复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确认调试验收合格后，买卖双方签订验收报告。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bl>
    <w:p>
      <w:pPr>
        <w:rPr>
          <w:lang w:eastAsia="zh-CN"/>
        </w:rPr>
      </w:pPr>
    </w:p>
    <w:p>
      <w:pPr>
        <w:pStyle w:val="31"/>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41"/>
        <w:spacing w:before="0" w:line="360" w:lineRule="auto"/>
        <w:ind w:left="357"/>
        <w:jc w:val="left"/>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77FCC"/>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726"/>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4AD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0F66"/>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2C7"/>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43D"/>
    <w:rsid w:val="00324B23"/>
    <w:rsid w:val="003257E0"/>
    <w:rsid w:val="00325FFA"/>
    <w:rsid w:val="00330D16"/>
    <w:rsid w:val="00330FFF"/>
    <w:rsid w:val="00333C91"/>
    <w:rsid w:val="0033695C"/>
    <w:rsid w:val="003377F5"/>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44D"/>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6F26"/>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1C7E"/>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1F80"/>
    <w:rsid w:val="004F342E"/>
    <w:rsid w:val="004F4C63"/>
    <w:rsid w:val="004F5AE6"/>
    <w:rsid w:val="004F5C19"/>
    <w:rsid w:val="004F7B6A"/>
    <w:rsid w:val="0050090F"/>
    <w:rsid w:val="0050208D"/>
    <w:rsid w:val="0050284B"/>
    <w:rsid w:val="00502F99"/>
    <w:rsid w:val="00504B71"/>
    <w:rsid w:val="00507991"/>
    <w:rsid w:val="00507C94"/>
    <w:rsid w:val="00507D06"/>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578F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97A"/>
    <w:rsid w:val="00587AC1"/>
    <w:rsid w:val="00587DE8"/>
    <w:rsid w:val="00590694"/>
    <w:rsid w:val="00590AA6"/>
    <w:rsid w:val="00591A70"/>
    <w:rsid w:val="00592624"/>
    <w:rsid w:val="00593AF8"/>
    <w:rsid w:val="00593EC9"/>
    <w:rsid w:val="005964B1"/>
    <w:rsid w:val="005965FD"/>
    <w:rsid w:val="005969E0"/>
    <w:rsid w:val="005975B1"/>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1E6A"/>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3CEA"/>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2172"/>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1DD"/>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8FD"/>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33E4"/>
    <w:rsid w:val="0081636E"/>
    <w:rsid w:val="0082112E"/>
    <w:rsid w:val="00822F2B"/>
    <w:rsid w:val="00823D9A"/>
    <w:rsid w:val="00827EA4"/>
    <w:rsid w:val="008301D6"/>
    <w:rsid w:val="008305B7"/>
    <w:rsid w:val="00830C78"/>
    <w:rsid w:val="00830FB9"/>
    <w:rsid w:val="00834968"/>
    <w:rsid w:val="00834B53"/>
    <w:rsid w:val="00840298"/>
    <w:rsid w:val="00841BE4"/>
    <w:rsid w:val="0084428E"/>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9A0"/>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A83"/>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2241"/>
    <w:rsid w:val="00B353E7"/>
    <w:rsid w:val="00B35759"/>
    <w:rsid w:val="00B3619A"/>
    <w:rsid w:val="00B365B7"/>
    <w:rsid w:val="00B40BCA"/>
    <w:rsid w:val="00B4308D"/>
    <w:rsid w:val="00B440DA"/>
    <w:rsid w:val="00B4415A"/>
    <w:rsid w:val="00B503CD"/>
    <w:rsid w:val="00B548AB"/>
    <w:rsid w:val="00B54BBE"/>
    <w:rsid w:val="00B553F8"/>
    <w:rsid w:val="00B55945"/>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09DD"/>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6F47"/>
    <w:rsid w:val="00FE7611"/>
    <w:rsid w:val="00FE7D26"/>
    <w:rsid w:val="00FF0769"/>
    <w:rsid w:val="00FF0DB8"/>
    <w:rsid w:val="00FF1A76"/>
    <w:rsid w:val="00FF1C1D"/>
    <w:rsid w:val="00FF3330"/>
    <w:rsid w:val="00FF4080"/>
    <w:rsid w:val="00FF40A5"/>
    <w:rsid w:val="00FF48DA"/>
    <w:rsid w:val="00FF5E19"/>
    <w:rsid w:val="00FF61AD"/>
    <w:rsid w:val="00FF76BD"/>
    <w:rsid w:val="36040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字符"/>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locked/>
    <w:uiPriority w:val="0"/>
    <w:rPr>
      <w:sz w:val="24"/>
      <w:lang w:eastAsia="en-US"/>
    </w:rPr>
  </w:style>
  <w:style w:type="paragraph" w:customStyle="1" w:styleId="41">
    <w:name w:val="Text"/>
    <w:basedOn w:val="1"/>
    <w:link w:val="40"/>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uiPriority w:val="0"/>
  </w:style>
  <w:style w:type="character" w:customStyle="1" w:styleId="44">
    <w:name w:val="标题 字符"/>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549</Words>
  <Characters>3131</Characters>
  <Lines>26</Lines>
  <Paragraphs>7</Paragraphs>
  <TotalTime>1362</TotalTime>
  <ScaleCrop>false</ScaleCrop>
  <LinksUpToDate>false</LinksUpToDate>
  <CharactersWithSpaces>3673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2022-10-14T06:57:00Z</dcterms:created>
  <dc:creator>Lilly</dc:creator>
  <cp:lastModifiedBy>汪洋</cp:lastModifiedBy>
  <cp:lastPrinted>2022-10-13T03:31:00Z</cp:lastPrinted>
  <dcterms:modified xsi:type="dcterms:W3CDTF">2022-11-18T06:53:30Z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