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3227223"/>
      <w:bookmarkStart w:id="2" w:name="_Toc482717189"/>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val="en-US" w:eastAsia="zh-CN"/>
        </w:rPr>
        <w:t>分包装室毓晋楼纯化疫苗分装车间</w:t>
      </w:r>
      <w:r>
        <w:rPr>
          <w:rFonts w:hint="eastAsia"/>
          <w:b/>
          <w:sz w:val="28"/>
          <w:szCs w:val="28"/>
          <w:lang w:eastAsia="zh-CN"/>
        </w:rPr>
        <w:t>不锈钢非标器具</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rPr>
          <w:rFonts w:hint="eastAsia"/>
        </w:rPr>
        <w:t>7</w:t>
      </w:r>
      <w:r>
        <w:rPr>
          <w:rFonts w:hint="eastAsia"/>
        </w:rP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rPr>
          <w:rFonts w:hint="eastAsia"/>
        </w:rPr>
        <w:t>9</w:t>
      </w:r>
      <w:r>
        <w:rPr>
          <w:rFonts w:hint="eastAsia"/>
        </w:rP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1702475"/>
      <w:bookmarkStart w:id="8" w:name="_Toc482359936"/>
      <w:bookmarkStart w:id="9" w:name="_Toc482370349"/>
      <w:bookmarkStart w:id="10" w:name="_Toc482370757"/>
      <w:bookmarkStart w:id="11" w:name="_Toc482370141"/>
      <w:bookmarkStart w:id="12" w:name="_Toc482625279"/>
      <w:bookmarkStart w:id="13" w:name="_Toc482360281"/>
      <w:bookmarkStart w:id="14" w:name="_Toc482369805"/>
      <w:bookmarkStart w:id="15" w:name="_Toc482370061"/>
      <w:r>
        <w:rPr>
          <w:szCs w:val="21"/>
          <w:lang w:eastAsia="zh-CN"/>
        </w:rPr>
        <w:t>本文件的目的是描述武汉生物制品研究所有限责任公司</w:t>
      </w:r>
      <w:permStart w:id="3" w:edGrp="everyone"/>
      <w:r>
        <w:rPr>
          <w:rFonts w:hint="eastAsia"/>
          <w:kern w:val="44"/>
          <w:szCs w:val="21"/>
          <w:lang w:eastAsia="zh-CN"/>
        </w:rPr>
        <w:t>分包装室毓晋楼分装车间不锈钢非标器具</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kern w:val="44"/>
          <w:szCs w:val="21"/>
          <w:lang w:eastAsia="zh-CN"/>
        </w:rPr>
        <w:t>分包装室毓晋楼分装车间不锈钢非标器具</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kern w:val="44"/>
          <w:szCs w:val="21"/>
          <w:lang w:eastAsia="zh-CN"/>
        </w:rPr>
      </w:pPr>
      <w:permStart w:id="5" w:edGrp="everyone"/>
      <w:r>
        <w:rPr>
          <w:rFonts w:hint="eastAsia"/>
          <w:kern w:val="44"/>
          <w:szCs w:val="21"/>
          <w:lang w:eastAsia="zh-CN"/>
        </w:rPr>
        <w:t>中国药典 2020年版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kern w:val="44"/>
          <w:szCs w:val="21"/>
          <w:lang w:eastAsia="zh-CN"/>
        </w:rPr>
      </w:pPr>
      <w:permStart w:id="6" w:edGrp="everyone"/>
      <w:r>
        <w:rPr>
          <w:rFonts w:hint="eastAsia"/>
          <w:kern w:val="44"/>
          <w:szCs w:val="21"/>
          <w:lang w:eastAsia="zh-CN"/>
        </w:rPr>
        <w:t>N</w:t>
      </w:r>
      <w:r>
        <w:rPr>
          <w:kern w:val="44"/>
          <w:szCs w:val="21"/>
          <w:lang w:eastAsia="zh-CN"/>
        </w:rPr>
        <w:t>/A</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716119"/>
      <w:bookmarkStart w:id="21" w:name="_Toc522107739"/>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kern w:val="44"/>
          <w:szCs w:val="21"/>
          <w:lang w:val="it-IT" w:eastAsia="zh-CN"/>
        </w:rPr>
        <w:t>分包装室103分装车间需购置第二批不锈钢器具，用于物品转运、收纳及存放、清洗消毒、操作辅助等</w:t>
      </w:r>
      <w:permEnd w:id="8"/>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permStart w:id="9" w:edGrp="everyone"/>
      <w:permEnd w:id="9"/>
      <w:bookmarkStart w:id="47" w:name="_GoBack"/>
      <w:bookmarkEnd w:id="4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2" w:type="dxa"/>
            <w:shd w:val="clear" w:color="auto" w:fill="auto"/>
            <w:vAlign w:val="center"/>
          </w:tcPr>
          <w:p>
            <w:pPr>
              <w:spacing w:line="276" w:lineRule="auto"/>
              <w:jc w:val="both"/>
              <w:rPr>
                <w:color w:val="0070C0"/>
                <w:kern w:val="44"/>
                <w:szCs w:val="21"/>
                <w:lang w:val="en-US" w:eastAsia="zh-CN"/>
              </w:rPr>
            </w:pPr>
            <w:r>
              <w:rPr>
                <w:rFonts w:hint="eastAsia"/>
                <w:kern w:val="44"/>
                <w:szCs w:val="21"/>
                <w:lang w:val="en-US" w:eastAsia="zh-CN"/>
              </w:rPr>
              <w:t>毓晋楼分装车间</w:t>
            </w:r>
          </w:p>
        </w:tc>
        <w:tc>
          <w:tcPr>
            <w:tcW w:w="2128" w:type="dxa"/>
            <w:shd w:val="clear" w:color="auto" w:fill="auto"/>
            <w:vAlign w:val="center"/>
          </w:tcPr>
          <w:p>
            <w:pPr>
              <w:jc w:val="both"/>
              <w:rPr>
                <w:color w:val="0070C0"/>
                <w:kern w:val="44"/>
                <w:szCs w:val="21"/>
                <w:lang w:val="en-US" w:eastAsia="zh-CN"/>
              </w:rPr>
            </w:pPr>
            <w:r>
              <w:rPr>
                <w:rFonts w:hint="eastAsia"/>
                <w:kern w:val="44"/>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平面图详见附件1，各房间不锈钢器具数量要求详见附件2</w:t>
            </w:r>
          </w:p>
        </w:tc>
        <w:tc>
          <w:tcPr>
            <w:tcW w:w="2128"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供应商在施工前需有设计图纸，并经过使用部门确认。</w:t>
            </w:r>
          </w:p>
        </w:tc>
        <w:tc>
          <w:tcPr>
            <w:tcW w:w="2128" w:type="dxa"/>
            <w:shd w:val="clear" w:color="auto" w:fill="auto"/>
            <w:vAlign w:val="center"/>
          </w:tcPr>
          <w:p>
            <w:pPr>
              <w:jc w:val="both"/>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供应商必须给出设备选型方案及相应附件选型方案，并交给我公司使用部门及工程类部门审核。</w:t>
            </w:r>
          </w:p>
        </w:tc>
        <w:tc>
          <w:tcPr>
            <w:tcW w:w="2128"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重量不超过房间地面承重要求。</w:t>
            </w:r>
          </w:p>
        </w:tc>
        <w:tc>
          <w:tcPr>
            <w:tcW w:w="2128"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pStyle w:val="31"/>
              <w:ind w:left="350" w:firstLine="0" w:firstLineChars="0"/>
              <w:rPr>
                <w:rFonts w:ascii="Times New Roman" w:hAnsi="Times New Roman"/>
                <w:szCs w:val="21"/>
              </w:rPr>
            </w:pPr>
            <w:permStart w:id="14" w:edGrp="everyone"/>
          </w:p>
        </w:tc>
        <w:tc>
          <w:tcPr>
            <w:tcW w:w="9250" w:type="dxa"/>
            <w:gridSpan w:val="2"/>
            <w:shd w:val="clear" w:color="auto" w:fill="D8D8D8" w:themeFill="background1" w:themeFillShade="D9"/>
            <w:vAlign w:val="center"/>
          </w:tcPr>
          <w:p>
            <w:pPr>
              <w:jc w:val="both"/>
              <w:rPr>
                <w:szCs w:val="21"/>
                <w:lang w:eastAsia="zh-CN"/>
              </w:rPr>
            </w:pPr>
            <w:r>
              <w:rPr>
                <w:rFonts w:hint="eastAsia"/>
                <w:kern w:val="44"/>
                <w:szCs w:val="21"/>
                <w:lang w:val="en-US"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工作环境温度：能适应18℃～26℃环境。（同时需能满足-20℃，2-8℃放置以及灭菌等不同温度下工作需求）</w:t>
            </w:r>
          </w:p>
        </w:tc>
        <w:tc>
          <w:tcPr>
            <w:tcW w:w="2128"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工作环境湿度：至少包括45%～65%。</w:t>
            </w:r>
          </w:p>
        </w:tc>
        <w:tc>
          <w:tcPr>
            <w:tcW w:w="2128"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工作环境洁净级别：A级/B级/C级/D级/CNC区</w:t>
            </w:r>
          </w:p>
        </w:tc>
        <w:tc>
          <w:tcPr>
            <w:tcW w:w="2128"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pStyle w:val="31"/>
              <w:ind w:left="350" w:firstLine="0" w:firstLineChars="0"/>
              <w:rPr>
                <w:rFonts w:ascii="Times New Roman" w:hAnsi="Times New Roman"/>
                <w:szCs w:val="21"/>
              </w:rPr>
            </w:pPr>
            <w:permStart w:id="18" w:edGrp="everyone"/>
          </w:p>
        </w:tc>
        <w:tc>
          <w:tcPr>
            <w:tcW w:w="9250" w:type="dxa"/>
            <w:gridSpan w:val="2"/>
            <w:shd w:val="clear" w:color="auto" w:fill="D8D8D8" w:themeFill="background1" w:themeFillShade="D9"/>
            <w:vAlign w:val="center"/>
          </w:tcPr>
          <w:p>
            <w:pPr>
              <w:jc w:val="both"/>
              <w:rPr>
                <w:szCs w:val="21"/>
                <w:lang w:eastAsia="zh-CN"/>
              </w:rPr>
            </w:pPr>
            <w:r>
              <w:rPr>
                <w:rFonts w:hint="eastAsia"/>
                <w:kern w:val="44"/>
                <w:szCs w:val="21"/>
                <w:lang w:val="en-US" w:eastAsia="zh-CN"/>
              </w:rPr>
              <w:t>N/A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不锈钢器具外观不得有明显划痕，滑轮不得沾染脏污。(不锈钢器具在使用过程中应能耐受过氧化氢、甲醛等消毒剂的腐蚀）</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不锈钢器具不得有明显偏歪、毛刺和锈蚀等缺陷</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不锈钢器具表面不得有异常鼓包、塌陷</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rFonts w:cs="Arial" w:asciiTheme="minorEastAsia" w:hAnsiTheme="minorEastAsia" w:eastAsiaTheme="minorEastAsia"/>
                <w:b/>
                <w:lang w:val="da-DK" w:eastAsia="zh-CN"/>
              </w:rPr>
            </w:pPr>
            <w:r>
              <w:rPr>
                <w:rFonts w:hint="eastAsia" w:cs="Arial" w:asciiTheme="minorEastAsia" w:hAnsiTheme="minorEastAsia" w:eastAsiaTheme="minorEastAsia"/>
                <w:lang w:val="da-DK" w:eastAsia="zh-CN"/>
              </w:rPr>
              <w:t>焊接要求：产品</w:t>
            </w:r>
            <w:r>
              <w:rPr>
                <w:rFonts w:cs="Arial" w:asciiTheme="minorEastAsia" w:hAnsiTheme="minorEastAsia" w:eastAsiaTheme="minorEastAsia"/>
                <w:lang w:val="da-DK" w:eastAsia="zh-CN"/>
              </w:rPr>
              <w:t>外表面</w:t>
            </w:r>
            <w:r>
              <w:rPr>
                <w:rFonts w:hint="eastAsia" w:cs="Arial" w:asciiTheme="minorEastAsia" w:hAnsiTheme="minorEastAsia" w:eastAsiaTheme="minorEastAsia"/>
                <w:lang w:val="da-DK" w:eastAsia="zh-CN"/>
              </w:rPr>
              <w:t>焊接部分必须采用满焊，不能有漏焊和断点，焊接后必须打磨平整无凸凹点;</w:t>
            </w:r>
            <w:r>
              <w:rPr>
                <w:rFonts w:cs="Arial" w:asciiTheme="minorEastAsia" w:hAnsiTheme="minorEastAsia" w:eastAsiaTheme="minorEastAsia"/>
                <w:lang w:val="da-DK" w:eastAsia="zh-CN"/>
              </w:rPr>
              <w:t xml:space="preserve"> </w:t>
            </w:r>
            <w:r>
              <w:rPr>
                <w:rFonts w:hint="eastAsia" w:cs="Arial" w:asciiTheme="minorEastAsia" w:hAnsiTheme="minorEastAsia" w:eastAsiaTheme="minorEastAsia"/>
                <w:lang w:val="da-DK" w:eastAsia="zh-CN"/>
              </w:rPr>
              <w:t>内</w:t>
            </w:r>
            <w:r>
              <w:rPr>
                <w:rFonts w:cs="Arial" w:asciiTheme="minorEastAsia" w:hAnsiTheme="minorEastAsia" w:eastAsiaTheme="minorEastAsia"/>
                <w:lang w:val="da-DK" w:eastAsia="zh-CN"/>
              </w:rPr>
              <w:t>表面</w:t>
            </w:r>
            <w:r>
              <w:rPr>
                <w:rFonts w:hint="eastAsia" w:cs="Arial" w:asciiTheme="minorEastAsia" w:hAnsiTheme="minorEastAsia" w:eastAsiaTheme="minorEastAsia"/>
                <w:lang w:val="da-DK" w:eastAsia="zh-CN"/>
              </w:rPr>
              <w:t>焊接部分能满焊的</w:t>
            </w:r>
            <w:r>
              <w:rPr>
                <w:rFonts w:cs="Arial" w:asciiTheme="minorEastAsia" w:hAnsiTheme="minorEastAsia" w:eastAsiaTheme="minorEastAsia"/>
                <w:lang w:val="da-DK" w:eastAsia="zh-CN"/>
              </w:rPr>
              <w:t>必须满焊，不能满焊的必须焊接牢固并用耐候胶处理接缝。</w:t>
            </w:r>
          </w:p>
          <w:p>
            <w:pPr>
              <w:spacing w:line="360" w:lineRule="auto"/>
              <w:rPr>
                <w:rFonts w:asciiTheme="minorEastAsia" w:hAnsiTheme="minorEastAsia" w:eastAsiaTheme="minorEastAsia"/>
                <w:b/>
                <w:lang w:eastAsia="zh-CN"/>
              </w:rPr>
            </w:pPr>
            <w:r>
              <w:rPr>
                <w:rFonts w:hint="eastAsia" w:asciiTheme="minorEastAsia" w:hAnsiTheme="minorEastAsia" w:eastAsiaTheme="minorEastAsia"/>
                <w:lang w:eastAsia="zh-CN"/>
              </w:rPr>
              <w:t>所有焊接的焊缝均匀平滑，没有凹凸和裂缝，无夹渣现象，</w:t>
            </w:r>
          </w:p>
          <w:p>
            <w:pPr>
              <w:spacing w:line="360" w:lineRule="auto"/>
              <w:rPr>
                <w:rFonts w:asciiTheme="minorEastAsia" w:hAnsiTheme="minorEastAsia" w:eastAsiaTheme="minorEastAsia"/>
                <w:b/>
                <w:lang w:eastAsia="zh-CN"/>
              </w:rPr>
            </w:pPr>
            <w:r>
              <w:rPr>
                <w:rFonts w:hint="eastAsia" w:asciiTheme="minorEastAsia" w:hAnsiTheme="minorEastAsia" w:eastAsiaTheme="minorEastAsia"/>
                <w:lang w:eastAsia="zh-CN"/>
              </w:rPr>
              <w:t>焊接用氩气纯度不低于99.99%，表面氧化程度不得高于ASEM 氧化程度4级。</w:t>
            </w:r>
          </w:p>
          <w:p>
            <w:pPr>
              <w:spacing w:line="360" w:lineRule="auto"/>
              <w:rPr>
                <w:kern w:val="44"/>
                <w:szCs w:val="21"/>
                <w:lang w:val="en-US" w:eastAsia="zh-CN"/>
              </w:rPr>
            </w:pPr>
            <w:r>
              <w:rPr>
                <w:rFonts w:hint="eastAsia" w:asciiTheme="minorEastAsia" w:hAnsiTheme="minorEastAsia" w:eastAsiaTheme="minorEastAsia"/>
                <w:lang w:eastAsia="zh-CN"/>
              </w:rPr>
              <w:t>所有焊接要打磨抛光，必要时经过酸洗、钝化处理。</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不锈钢器具平面对角线误差不得≥2mm</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不锈钢器具边角应做钝化圆角处理</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与地面接触的不锈钢器具需加装符合GMP材质要求的高强度尼龙防摩擦护脚</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asciiTheme="minorEastAsia" w:hAnsiTheme="minorEastAsia" w:eastAsiaTheme="minorEastAsia"/>
                <w:lang w:eastAsia="zh-CN"/>
              </w:rPr>
              <w:t>不锈钢器具表面应做亚光处理，或无指纹工艺处理。</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不锈钢器具（含部件）的材质不劣于304不锈钢，如有特殊要求时，不锈钢器具的材质应不劣于316L不锈钢（如直接接触制品的部分等）</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滑轮的材质需为特氟龙</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需耐高压、耐温（冷或热）、耐腐蚀、耐酸碱、耐消毒剂（包括但不限于乙醇、新洁尔灭、84消毒液、臭氧、过氧化氢等）。器具设计应易于清洗，避免死角，不锈钢罐体需要满足完好的密封性，器具生产、清洗、灭菌过程中不得脱落任何影响制品质量的物质。</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val="en-US" w:eastAsia="zh-CN"/>
              </w:rPr>
            </w:pPr>
            <w:r>
              <w:rPr>
                <w:rFonts w:hint="eastAsia" w:ascii="宋体" w:hAnsi="宋体"/>
                <w:lang w:val="en-US" w:eastAsia="zh-CN"/>
              </w:rPr>
              <w:t>泵盒、各种不锈钢盒、药品柜、衣柜、水池等的不锈钢面板采用1.2mm厚度，更鞋柜、 工作台、置物台等其他产品面板采用1.5mm厚度，不承重面可采用1.0mm厚度。</w:t>
            </w:r>
          </w:p>
          <w:p>
            <w:pPr>
              <w:spacing w:line="360" w:lineRule="auto"/>
              <w:rPr>
                <w:rFonts w:ascii="宋体" w:hAnsi="宋体"/>
                <w:lang w:val="en-US" w:eastAsia="zh-CN"/>
              </w:rPr>
            </w:pPr>
            <w:r>
              <w:rPr>
                <w:rFonts w:hint="eastAsia" w:ascii="宋体" w:hAnsi="宋体"/>
                <w:lang w:val="en-US" w:eastAsia="zh-CN"/>
              </w:rPr>
              <w:t>注意材料厚度还应该和加工工艺匹配。</w:t>
            </w:r>
          </w:p>
        </w:tc>
        <w:tc>
          <w:tcPr>
            <w:tcW w:w="2128" w:type="dxa"/>
            <w:shd w:val="clear" w:color="auto" w:fill="auto"/>
            <w:vAlign w:val="center"/>
          </w:tcPr>
          <w:p>
            <w:pPr>
              <w:spacing w:line="360" w:lineRule="auto"/>
              <w:rPr>
                <w:kern w:val="44"/>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val="en-US" w:eastAsia="zh-CN"/>
              </w:rPr>
            </w:pPr>
            <w:r>
              <w:rPr>
                <w:rFonts w:hint="eastAsia" w:ascii="宋体" w:hAnsi="宋体"/>
                <w:lang w:val="en-US" w:eastAsia="zh-CN"/>
              </w:rPr>
              <w:t>工作台、衣柜鞋柜台面及相关承重搁板需要使用双包满焊的形式。</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rFonts w:ascii="宋体" w:hAnsi="宋体"/>
                <w:lang w:val="en-US" w:eastAsia="zh-CN"/>
              </w:rPr>
            </w:pPr>
            <w:r>
              <w:rPr>
                <w:rFonts w:hint="eastAsia" w:cs="Arial" w:asciiTheme="minorEastAsia" w:hAnsiTheme="minorEastAsia" w:eastAsiaTheme="minorEastAsia"/>
                <w:lang w:val="da-DK" w:eastAsia="zh-CN"/>
              </w:rPr>
              <w:t>货架：不锈钢层板厚度为1.5mm304不锈钢双面包板内部方通加强</w:t>
            </w:r>
            <w:r>
              <w:rPr>
                <w:rFonts w:hint="eastAsia" w:cs="Arial" w:asciiTheme="minorEastAsia" w:hAnsiTheme="minorEastAsia" w:eastAsiaTheme="minorEastAsia"/>
                <w:lang w:val="en-US" w:eastAsia="zh-Hans"/>
              </w:rPr>
              <w:t>内衬pvc</w:t>
            </w:r>
            <w:r>
              <w:rPr>
                <w:rFonts w:hint="eastAsia" w:cs="Arial" w:asciiTheme="minorEastAsia" w:hAnsiTheme="minorEastAsia" w:eastAsiaTheme="minorEastAsia"/>
                <w:lang w:val="da-DK" w:eastAsia="zh-CN"/>
              </w:rPr>
              <w:t>，立柱采用38*38*1.5mm厚方通材；架子单层可承载1</w:t>
            </w:r>
            <w:r>
              <w:rPr>
                <w:rFonts w:cs="Arial" w:asciiTheme="minorEastAsia" w:hAnsiTheme="minorEastAsia" w:eastAsiaTheme="minorEastAsia"/>
                <w:lang w:val="da-DK" w:eastAsia="zh-CN"/>
              </w:rPr>
              <w:t>5</w:t>
            </w:r>
            <w:r>
              <w:rPr>
                <w:rFonts w:hint="eastAsia" w:cs="Arial" w:asciiTheme="minorEastAsia" w:hAnsiTheme="minorEastAsia" w:eastAsiaTheme="minorEastAsia"/>
                <w:lang w:val="da-DK" w:eastAsia="zh-CN"/>
              </w:rPr>
              <w:t>0kg以上负重；与地面接触处应不损伤地面。</w:t>
            </w:r>
          </w:p>
        </w:tc>
        <w:tc>
          <w:tcPr>
            <w:tcW w:w="2128" w:type="dxa"/>
            <w:shd w:val="clear" w:color="auto" w:fill="auto"/>
            <w:vAlign w:val="center"/>
          </w:tcPr>
          <w:p>
            <w:pPr>
              <w:spacing w:line="360" w:lineRule="auto"/>
              <w:rPr>
                <w:kern w:val="44"/>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val="en-US" w:eastAsia="zh-CN"/>
              </w:rPr>
            </w:pPr>
            <w:r>
              <w:rPr>
                <w:rFonts w:hint="eastAsia" w:ascii="宋体" w:hAnsi="宋体"/>
                <w:lang w:eastAsia="zh-CN"/>
              </w:rPr>
              <w:t>不锈钢水池深度约</w:t>
            </w:r>
            <w:r>
              <w:rPr>
                <w:rFonts w:hint="eastAsia" w:ascii="宋体" w:hAnsi="宋体"/>
                <w:lang w:val="en-US" w:eastAsia="zh-CN"/>
              </w:rPr>
              <w:t>35</w:t>
            </w:r>
            <w:r>
              <w:rPr>
                <w:rFonts w:ascii="宋体" w:hAnsi="宋体"/>
                <w:lang w:eastAsia="zh-CN"/>
              </w:rPr>
              <w:t>0-450</w:t>
            </w:r>
            <w:r>
              <w:rPr>
                <w:rFonts w:hint="eastAsia" w:ascii="宋体" w:hAnsi="宋体"/>
                <w:lang w:eastAsia="zh-CN"/>
              </w:rPr>
              <w:t>mm，</w:t>
            </w:r>
            <w:r>
              <w:rPr>
                <w:rFonts w:hint="eastAsia" w:ascii="宋体" w:hAnsi="宋体"/>
                <w:lang w:val="en-US" w:eastAsia="zh-CN"/>
              </w:rPr>
              <w:t>水池使用</w:t>
            </w:r>
            <w:r>
              <w:rPr>
                <w:rFonts w:hint="eastAsia" w:cs="Arial" w:asciiTheme="minorEastAsia" w:hAnsiTheme="minorEastAsia" w:eastAsiaTheme="minorEastAsia"/>
                <w:lang w:val="da-DK" w:eastAsia="zh-CN"/>
              </w:rPr>
              <w:t>1.5mm厚304不锈钢板单面板</w:t>
            </w:r>
          </w:p>
        </w:tc>
        <w:tc>
          <w:tcPr>
            <w:tcW w:w="2128" w:type="dxa"/>
            <w:shd w:val="clear" w:color="auto" w:fill="auto"/>
            <w:vAlign w:val="center"/>
          </w:tcPr>
          <w:p>
            <w:pPr>
              <w:spacing w:line="360" w:lineRule="auto"/>
              <w:rPr>
                <w:kern w:val="44"/>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ascii="宋体" w:hAnsi="宋体"/>
                <w:lang w:eastAsia="zh-CN"/>
              </w:rPr>
              <w:t>供应商应提供不锈钢水池的全套下水部件，</w:t>
            </w:r>
            <w:r>
              <w:rPr>
                <w:rFonts w:hint="eastAsia" w:cs="Arial" w:asciiTheme="minorEastAsia" w:hAnsiTheme="minorEastAsia" w:eastAsiaTheme="minorEastAsia"/>
                <w:bCs/>
                <w:szCs w:val="21"/>
                <w:lang w:val="da-DK" w:eastAsia="zh-CN"/>
              </w:rPr>
              <w:t>水池下水采用直径32不锈钢管焊接而成，配一个存水弯，两个快接卡盘，一个不锈钢密封盖，易更换疏通，</w:t>
            </w:r>
            <w:r>
              <w:rPr>
                <w:rFonts w:cs="Arial" w:asciiTheme="minorEastAsia" w:hAnsiTheme="minorEastAsia" w:eastAsiaTheme="minorEastAsia"/>
                <w:bCs/>
                <w:szCs w:val="21"/>
                <w:lang w:val="da-DK" w:eastAsia="zh-CN"/>
              </w:rPr>
              <w:t>由中标厂家负责水槽与地排水口连接</w:t>
            </w:r>
            <w:r>
              <w:rPr>
                <w:rFonts w:hint="eastAsia" w:cs="Arial" w:asciiTheme="minorEastAsia" w:hAnsiTheme="minorEastAsia" w:eastAsiaTheme="minorEastAsia"/>
                <w:bCs/>
                <w:szCs w:val="21"/>
                <w:lang w:val="da-DK" w:eastAsia="zh-CN"/>
              </w:rPr>
              <w:t>，</w:t>
            </w:r>
            <w:r>
              <w:rPr>
                <w:rFonts w:cs="Arial" w:asciiTheme="minorEastAsia" w:hAnsiTheme="minorEastAsia" w:eastAsiaTheme="minorEastAsia"/>
                <w:bCs/>
                <w:szCs w:val="21"/>
                <w:lang w:val="da-DK" w:eastAsia="zh-CN"/>
              </w:rPr>
              <w:t>垫圈必须耐酸碱、高温</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cs="Arial" w:asciiTheme="minorEastAsia" w:hAnsiTheme="minorEastAsia" w:eastAsiaTheme="minorEastAsia"/>
                <w:lang w:val="da-DK" w:eastAsia="zh-CN"/>
              </w:rPr>
              <w:t>存水弯及排水管都采用不锈钢连接管，具耐腐蚀防酸碱防阻塞、防反冲水封功能；</w:t>
            </w:r>
            <w:r>
              <w:rPr>
                <w:rFonts w:hint="eastAsia" w:ascii="宋体" w:hAnsi="宋体"/>
                <w:lang w:eastAsia="zh-CN"/>
              </w:rPr>
              <w:t>水池盆底和下水弯的第一道连接处必须做好密封。</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ascii="宋体" w:hAnsi="宋体"/>
                <w:lang w:eastAsia="zh-CN"/>
              </w:rPr>
              <w:t>不锈钢水池为落地式，侧面和下方为全封闭结构，并安装检修门，正常使用时门关闭且打胶密封</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400" w:lineRule="exact"/>
              <w:rPr>
                <w:rFonts w:ascii="宋体" w:hAnsi="宋体"/>
                <w:lang w:val="da-DK" w:eastAsia="zh-CN"/>
              </w:rPr>
            </w:pPr>
            <w:r>
              <w:rPr>
                <w:rFonts w:hint="eastAsia" w:ascii="宋体" w:hAnsi="宋体"/>
                <w:lang w:eastAsia="zh-CN"/>
              </w:rPr>
              <w:t>不锈钢</w:t>
            </w:r>
            <w:r>
              <w:rPr>
                <w:rFonts w:hint="eastAsia" w:cs="Arial" w:asciiTheme="minorEastAsia" w:hAnsiTheme="minorEastAsia" w:eastAsiaTheme="minorEastAsia"/>
                <w:lang w:val="da-DK" w:eastAsia="zh-CN"/>
              </w:rPr>
              <w:t>水池底部有交叉导流线，不产生积水。</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ascii="宋体" w:hAnsi="宋体"/>
                <w:lang w:eastAsia="zh-CN"/>
              </w:rPr>
              <w:t>所有不锈钢水池靠墙侧应做2</w:t>
            </w:r>
            <w:r>
              <w:rPr>
                <w:rFonts w:ascii="宋体" w:hAnsi="宋体"/>
                <w:lang w:eastAsia="zh-CN"/>
              </w:rPr>
              <w:t>00</w:t>
            </w:r>
            <w:r>
              <w:rPr>
                <w:rFonts w:hint="eastAsia" w:ascii="宋体" w:hAnsi="宋体"/>
                <w:lang w:eastAsia="zh-CN"/>
              </w:rPr>
              <w:t>mm左右的不锈钢挡水板</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ascii="宋体" w:hAnsi="宋体"/>
                <w:lang w:eastAsia="zh-CN"/>
              </w:rPr>
              <w:t>一更洗手池和D级洗手池需要在侧面安装1</w:t>
            </w:r>
            <w:r>
              <w:rPr>
                <w:rFonts w:ascii="宋体" w:hAnsi="宋体"/>
                <w:lang w:eastAsia="zh-CN"/>
              </w:rPr>
              <w:t>50</w:t>
            </w:r>
            <w:r>
              <w:rPr>
                <w:rFonts w:hint="eastAsia" w:ascii="宋体" w:hAnsi="宋体"/>
                <w:lang w:eastAsia="zh-CN"/>
              </w:rPr>
              <w:t>mm台面</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ascii="宋体" w:hAnsi="宋体"/>
                <w:lang w:eastAsia="zh-CN"/>
              </w:rPr>
              <w:t>清洗间的清洗池内应做活动的水槽，水槽上有溢流口、宝塔头出水口</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ascii="宋体" w:hAnsi="宋体"/>
                <w:lang w:eastAsia="zh-CN"/>
              </w:rPr>
              <w:t>供应商应提供和安装一更间水池的不锈钢水龙头，选型应符合洁净室规范</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ascii="宋体" w:hAnsi="宋体"/>
                <w:lang w:eastAsia="zh-CN"/>
              </w:rPr>
              <w:t>不锈钢平板推车应使用优质聚氨酯车轮，5英寸，带2个定向、2个万向轮，带刹车；四角安装牢固的防撞角；把手9</w:t>
            </w:r>
            <w:r>
              <w:rPr>
                <w:rFonts w:ascii="宋体" w:hAnsi="宋体"/>
                <w:lang w:eastAsia="zh-CN"/>
              </w:rPr>
              <w:t>00</w:t>
            </w:r>
            <w:r>
              <w:rPr>
                <w:rFonts w:hint="eastAsia" w:ascii="宋体" w:hAnsi="宋体"/>
                <w:lang w:eastAsia="zh-CN"/>
              </w:rPr>
              <w:t>mm高</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ascii="宋体" w:hAnsi="宋体"/>
                <w:lang w:eastAsia="zh-CN"/>
              </w:rPr>
              <w:t>不锈钢步梯脚踏面应采用易清洁的表面处理方式，且有一定防滑功能。</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ascii="宋体" w:hAnsi="宋体"/>
                <w:lang w:val="en-US" w:eastAsia="zh-CN"/>
              </w:rPr>
              <w:t>不锈钢器具上应有便于核对的编号及具体尺寸标记， 若使用粘胶，需使用易撕拉无残留的优质粘胶。</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jc w:val="both"/>
              <w:rPr>
                <w:rFonts w:ascii="宋体" w:hAnsi="宋体"/>
                <w:lang w:eastAsia="zh-CN"/>
              </w:rPr>
            </w:pPr>
            <w:r>
              <w:rPr>
                <w:rFonts w:hint="eastAsia" w:ascii="宋体" w:hAnsi="宋体"/>
                <w:lang w:eastAsia="zh-CN"/>
              </w:rPr>
              <w:t>所有不锈钢桌，凳均设计最简单的形式易于清洁，减少支撑架或承重杆，若必须设计，请防止人员踩踏。</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r>
              <w:rPr>
                <w:rFonts w:hint="eastAsia" w:ascii="Times New Roman" w:hAnsi="Times New Roman"/>
                <w:szCs w:val="21"/>
              </w:rPr>
              <w:t>。</w:t>
            </w:r>
          </w:p>
        </w:tc>
        <w:tc>
          <w:tcPr>
            <w:tcW w:w="7122" w:type="dxa"/>
            <w:shd w:val="clear" w:color="auto" w:fill="auto"/>
            <w:vAlign w:val="center"/>
          </w:tcPr>
          <w:p>
            <w:pPr>
              <w:spacing w:line="360" w:lineRule="auto"/>
              <w:jc w:val="both"/>
              <w:rPr>
                <w:rFonts w:ascii="宋体" w:hAnsi="宋体"/>
                <w:lang w:eastAsia="zh-CN"/>
              </w:rPr>
            </w:pPr>
            <w:r>
              <w:rPr>
                <w:rFonts w:hint="eastAsia"/>
                <w:color w:val="000000" w:themeColor="text1"/>
                <w:lang w:eastAsia="zh-CN"/>
                <w14:textFill>
                  <w14:solidFill>
                    <w14:schemeClr w14:val="tx1"/>
                  </w14:solidFill>
                </w14:textFill>
              </w:rPr>
              <w:t>供应商</w:t>
            </w:r>
            <w:r>
              <w:rPr>
                <w:color w:val="000000" w:themeColor="text1"/>
                <w:lang w:eastAsia="zh-CN"/>
                <w14:textFill>
                  <w14:solidFill>
                    <w14:schemeClr w14:val="tx1"/>
                  </w14:solidFill>
                </w14:textFill>
              </w:rPr>
              <w:t>负责更鞋柜</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更衣柜</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货架、水槽</w:t>
            </w:r>
            <w:r>
              <w:rPr>
                <w:rFonts w:hint="eastAsia"/>
                <w:color w:val="000000" w:themeColor="text1"/>
                <w:lang w:eastAsia="zh-CN"/>
                <w14:textFill>
                  <w14:solidFill>
                    <w14:schemeClr w14:val="tx1"/>
                  </w14:solidFill>
                </w14:textFill>
              </w:rPr>
              <w:t>及排水</w:t>
            </w:r>
            <w:r>
              <w:rPr>
                <w:color w:val="000000" w:themeColor="text1"/>
                <w:lang w:eastAsia="zh-CN"/>
                <w14:textFill>
                  <w14:solidFill>
                    <w14:schemeClr w14:val="tx1"/>
                  </w14:solidFill>
                </w14:textFill>
              </w:rPr>
              <w:t>管安装、工作台的安装</w:t>
            </w:r>
            <w:r>
              <w:rPr>
                <w:rFonts w:hint="eastAsia"/>
                <w:color w:val="000000" w:themeColor="text1"/>
                <w:lang w:eastAsia="zh-CN"/>
                <w14:textFill>
                  <w14:solidFill>
                    <w14:schemeClr w14:val="tx1"/>
                  </w14:solidFill>
                </w14:textFill>
              </w:rPr>
              <w:t>及</w:t>
            </w:r>
            <w:r>
              <w:rPr>
                <w:color w:val="000000" w:themeColor="text1"/>
                <w:lang w:eastAsia="zh-CN"/>
                <w14:textFill>
                  <w14:solidFill>
                    <w14:schemeClr w14:val="tx1"/>
                  </w14:solidFill>
                </w14:textFill>
              </w:rPr>
              <w:t>调试。</w:t>
            </w:r>
          </w:p>
        </w:tc>
        <w:tc>
          <w:tcPr>
            <w:tcW w:w="2128" w:type="dxa"/>
            <w:shd w:val="clear" w:color="auto" w:fill="auto"/>
            <w:vAlign w:val="center"/>
          </w:tcPr>
          <w:p>
            <w:pPr>
              <w:spacing w:line="360" w:lineRule="auto"/>
              <w:rPr>
                <w:szCs w:val="21"/>
                <w:lang w:eastAsia="zh-CN"/>
              </w:rPr>
            </w:pPr>
            <w:r>
              <w:rPr>
                <w:rFonts w:hint="eastAsia"/>
                <w:szCs w:val="21"/>
                <w:lang w:eastAsia="zh-CN"/>
              </w:rPr>
              <w:t>关键</w:t>
            </w:r>
          </w:p>
        </w:tc>
      </w:tr>
      <w:bookmarkEnd w:id="23"/>
      <w:bookmarkEnd w:id="24"/>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的包装需满足运输和装卸要求，防潮湿、防磕碰、防振动，如有轮子，应包裹轮子进车间，保证轮子不直接接触地面，运抵相应房间后才可去掉包装。（同时需满足使用部门对不锈钢保温层/夹套等的技术要求以及工作压力的要求）</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包装采用三层，外壳为纸箱包装、外包气泡膜、不锈钢器具接触面采用塑料膜包裹</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ascii="宋体" w:hAnsi="宋体"/>
                <w:szCs w:val="21"/>
                <w:lang w:eastAsia="zh-CN"/>
              </w:rPr>
              <w:t>泵盒内必须有聚四氟乙烯等适合湿热灭菌的高分子材料制作的支撑架。必须根据泵的外形来制作。</w:t>
            </w:r>
            <w:r>
              <w:rPr>
                <w:rFonts w:hint="eastAsia" w:ascii="宋体" w:hAnsi="宋体"/>
                <w:szCs w:val="21"/>
                <w:lang w:val="en-US" w:eastAsia="zh-CN"/>
              </w:rPr>
              <w:t>且需能受121</w:t>
            </w:r>
            <w:r>
              <w:rPr>
                <w:rFonts w:hint="eastAsia" w:ascii="宋体" w:hAnsi="宋体" w:cs="宋体"/>
                <w:szCs w:val="21"/>
                <w:lang w:val="en-US" w:eastAsia="zh-CN"/>
              </w:rPr>
              <w:t>℃</w:t>
            </w:r>
            <w:r>
              <w:rPr>
                <w:rFonts w:hint="eastAsia" w:ascii="宋体" w:hAnsi="宋体"/>
                <w:szCs w:val="21"/>
                <w:lang w:val="en-US" w:eastAsia="zh-CN"/>
              </w:rPr>
              <w:t>湿热灭菌不变形。</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pStyle w:val="31"/>
              <w:ind w:left="350" w:firstLine="0" w:firstLineChars="0"/>
              <w:rPr>
                <w:rFonts w:ascii="Times New Roman" w:hAnsi="Times New Roman"/>
                <w:szCs w:val="21"/>
              </w:rPr>
            </w:pPr>
            <w:permStart w:id="22" w:edGrp="everyone"/>
          </w:p>
        </w:tc>
        <w:tc>
          <w:tcPr>
            <w:tcW w:w="9250" w:type="dxa"/>
            <w:gridSpan w:val="2"/>
            <w:shd w:val="clear" w:color="auto" w:fill="D8D8D8" w:themeFill="background1" w:themeFillShade="D9"/>
            <w:vAlign w:val="center"/>
          </w:tcPr>
          <w:p>
            <w:pPr>
              <w:jc w:val="both"/>
              <w:rPr>
                <w:szCs w:val="21"/>
                <w:lang w:eastAsia="zh-CN"/>
              </w:rPr>
            </w:pPr>
            <w:r>
              <w:rPr>
                <w:rFonts w:hint="eastAsia"/>
                <w:kern w:val="44"/>
                <w:szCs w:val="21"/>
                <w:lang w:val="en-US"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pStyle w:val="31"/>
              <w:ind w:left="350" w:firstLine="0" w:firstLineChars="0"/>
              <w:rPr>
                <w:rFonts w:ascii="Times New Roman" w:hAnsi="Times New Roman"/>
                <w:szCs w:val="21"/>
              </w:rPr>
            </w:pPr>
            <w:permStart w:id="23" w:edGrp="everyone"/>
          </w:p>
        </w:tc>
        <w:tc>
          <w:tcPr>
            <w:tcW w:w="9250" w:type="dxa"/>
            <w:gridSpan w:val="2"/>
            <w:shd w:val="clear" w:color="auto" w:fill="D8D8D8" w:themeFill="background1" w:themeFillShade="D9"/>
            <w:vAlign w:val="center"/>
          </w:tcPr>
          <w:p>
            <w:pPr>
              <w:jc w:val="both"/>
              <w:rPr>
                <w:szCs w:val="21"/>
                <w:lang w:eastAsia="zh-CN"/>
              </w:rPr>
            </w:pPr>
            <w:r>
              <w:rPr>
                <w:rFonts w:hint="eastAsia"/>
                <w:kern w:val="44"/>
                <w:szCs w:val="21"/>
                <w:lang w:val="en-US" w:eastAsia="zh-CN"/>
              </w:rPr>
              <w:t>N/A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ermStart w:id="24" w:edGrp="everyone"/>
            <w:permEnd w:id="24"/>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所有可接触部分，不得有毛刺和尖锐面，防止人员操作时受伤。</w:t>
            </w:r>
          </w:p>
        </w:tc>
        <w:tc>
          <w:tcPr>
            <w:tcW w:w="2128" w:type="dxa"/>
            <w:shd w:val="clear" w:color="auto" w:fill="auto"/>
            <w:vAlign w:val="center"/>
          </w:tcPr>
          <w:p>
            <w:pPr>
              <w:jc w:val="both"/>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不锈钢器具应进行倒角处理，防止出现扎伤和割伤的情况。</w:t>
            </w:r>
          </w:p>
        </w:tc>
        <w:tc>
          <w:tcPr>
            <w:tcW w:w="2128"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625289"/>
      <w:bookmarkStart w:id="30" w:name="_Toc482369815"/>
      <w:bookmarkStart w:id="31" w:name="_Toc482717202"/>
      <w:bookmarkStart w:id="32" w:name="_Toc482370151"/>
      <w:bookmarkStart w:id="33" w:name="_Toc482370071"/>
      <w:bookmarkStart w:id="34" w:name="_Toc481702480"/>
      <w:bookmarkStart w:id="35" w:name="_Toc483400317"/>
      <w:bookmarkStart w:id="36" w:name="_Toc482370359"/>
      <w:bookmarkStart w:id="37" w:name="_Toc482359946"/>
      <w:bookmarkStart w:id="38" w:name="_Toc483227237"/>
      <w:bookmarkStart w:id="39" w:name="_Toc482370767"/>
      <w:bookmarkStart w:id="40" w:name="_Toc482360291"/>
      <w:r>
        <w:rPr>
          <w:rFonts w:ascii="Times New Roman" w:hAnsi="Times New Roman"/>
          <w:b/>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6" w:edGrp="everyone"/>
            <w:permEnd w:id="2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left="350" w:firstLine="0" w:firstLineChars="0"/>
              <w:rPr>
                <w:rFonts w:ascii="Times New Roman" w:hAnsi="Times New Roman"/>
                <w:szCs w:val="21"/>
              </w:rPr>
            </w:pPr>
            <w:permStart w:id="27" w:edGrp="everyone"/>
          </w:p>
        </w:tc>
        <w:tc>
          <w:tcPr>
            <w:tcW w:w="9253" w:type="dxa"/>
            <w:gridSpan w:val="2"/>
            <w:shd w:val="clear" w:color="auto" w:fill="D8D8D8" w:themeFill="background1" w:themeFillShade="D9"/>
            <w:vAlign w:val="center"/>
          </w:tcPr>
          <w:p>
            <w:pPr>
              <w:jc w:val="both"/>
              <w:rPr>
                <w:szCs w:val="21"/>
                <w:lang w:eastAsia="zh-CN"/>
              </w:rPr>
            </w:pPr>
            <w:r>
              <w:rPr>
                <w:rFonts w:hint="eastAsia"/>
                <w:kern w:val="44"/>
                <w:szCs w:val="21"/>
                <w:lang w:val="en-US"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left="350" w:firstLine="0" w:firstLineChars="0"/>
              <w:rPr>
                <w:rFonts w:ascii="Times New Roman" w:hAnsi="Times New Roman"/>
                <w:szCs w:val="21"/>
              </w:rPr>
            </w:pPr>
            <w:permStart w:id="28" w:edGrp="everyone"/>
          </w:p>
        </w:tc>
        <w:tc>
          <w:tcPr>
            <w:tcW w:w="9253" w:type="dxa"/>
            <w:gridSpan w:val="2"/>
            <w:shd w:val="clear" w:color="auto" w:fill="D8D8D8" w:themeFill="background1" w:themeFillShade="D9"/>
            <w:vAlign w:val="center"/>
          </w:tcPr>
          <w:p>
            <w:pPr>
              <w:jc w:val="both"/>
              <w:rPr>
                <w:szCs w:val="21"/>
                <w:lang w:eastAsia="zh-CN"/>
              </w:rPr>
            </w:pPr>
            <w:r>
              <w:rPr>
                <w:rFonts w:hint="eastAsia"/>
                <w:kern w:val="44"/>
                <w:szCs w:val="21"/>
                <w:lang w:val="en-US" w:eastAsia="zh-CN"/>
              </w:rPr>
              <w:t>N/A</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0" w:edGrp="everyone"/>
          </w:p>
        </w:tc>
        <w:tc>
          <w:tcPr>
            <w:tcW w:w="9253" w:type="dxa"/>
            <w:gridSpan w:val="2"/>
            <w:shd w:val="clear" w:color="auto" w:fill="auto"/>
            <w:vAlign w:val="center"/>
          </w:tcPr>
          <w:p>
            <w:pPr>
              <w:jc w:val="both"/>
              <w:rPr>
                <w:szCs w:val="21"/>
                <w:lang w:eastAsia="zh-CN"/>
              </w:rPr>
            </w:pPr>
            <w:r>
              <w:rPr>
                <w:rFonts w:hint="eastAsia"/>
                <w:i/>
                <w:iCs/>
                <w:color w:val="0070C0"/>
                <w:kern w:val="44"/>
                <w:szCs w:val="21"/>
                <w:lang w:val="en-US" w:eastAsia="zh-CN"/>
              </w:rPr>
              <w:t xml:space="preserve">N/A </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1" w:edGrp="everyone"/>
          </w:p>
        </w:tc>
        <w:tc>
          <w:tcPr>
            <w:tcW w:w="9253" w:type="dxa"/>
            <w:gridSpan w:val="2"/>
            <w:shd w:val="clear" w:color="auto" w:fill="auto"/>
            <w:vAlign w:val="center"/>
          </w:tcPr>
          <w:p>
            <w:pPr>
              <w:jc w:val="both"/>
              <w:rPr>
                <w:szCs w:val="21"/>
                <w:lang w:eastAsia="zh-CN"/>
              </w:rPr>
            </w:pPr>
            <w:r>
              <w:rPr>
                <w:rFonts w:hint="eastAsia"/>
                <w:i/>
                <w:iCs/>
                <w:color w:val="0070C0"/>
                <w:kern w:val="44"/>
                <w:szCs w:val="21"/>
                <w:lang w:val="en-US" w:eastAsia="zh-CN"/>
              </w:rPr>
              <w:t xml:space="preserve">N/A </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kern w:val="44"/>
                <w:szCs w:val="21"/>
                <w:lang w:val="en-US" w:eastAsia="zh-CN"/>
              </w:rPr>
            </w:pPr>
            <w:r>
              <w:rPr>
                <w:rFonts w:hint="eastAsia"/>
                <w:kern w:val="44"/>
                <w:szCs w:val="21"/>
                <w:lang w:val="en-US" w:eastAsia="zh-CN"/>
              </w:rPr>
              <w:t>供应商提供对应材质的检验证明材料。</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kern w:val="44"/>
                <w:szCs w:val="21"/>
                <w:lang w:val="en-US" w:eastAsia="zh-CN"/>
              </w:rPr>
            </w:pPr>
            <w:r>
              <w:rPr>
                <w:rFonts w:hint="eastAsia"/>
                <w:kern w:val="44"/>
                <w:szCs w:val="21"/>
                <w:lang w:val="en-US" w:eastAsia="zh-CN"/>
              </w:rPr>
              <w:t>投标文件、合同及订单，卖方发运清单及相关检验报告。</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kern w:val="44"/>
                <w:szCs w:val="21"/>
                <w:lang w:val="en-US" w:eastAsia="zh-CN"/>
              </w:rPr>
            </w:pPr>
            <w:r>
              <w:rPr>
                <w:rFonts w:hint="eastAsia"/>
                <w:kern w:val="44"/>
                <w:szCs w:val="21"/>
                <w:lang w:val="en-US" w:eastAsia="zh-CN"/>
              </w:rPr>
              <w:t>设备厂家文件：出厂测试合格证、相关检测报告、设备及组件清单（包含设备尺寸图，使用寿命相关说明等）</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kern w:val="44"/>
                <w:szCs w:val="21"/>
                <w:lang w:val="en-US" w:eastAsia="zh-CN"/>
              </w:rPr>
            </w:pPr>
            <w:r>
              <w:rPr>
                <w:rFonts w:hint="eastAsia"/>
                <w:kern w:val="44"/>
                <w:szCs w:val="21"/>
                <w:lang w:val="en-US" w:eastAsia="zh-CN"/>
              </w:rPr>
              <w:t>必要的使用操作说明书及维护保养说明</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kern w:val="44"/>
                <w:szCs w:val="21"/>
                <w:lang w:val="en-US" w:eastAsia="zh-CN"/>
              </w:rPr>
            </w:pPr>
            <w:r>
              <w:rPr>
                <w:rFonts w:hint="eastAsia"/>
                <w:kern w:val="44"/>
                <w:szCs w:val="21"/>
                <w:lang w:val="en-US" w:eastAsia="zh-CN"/>
              </w:rPr>
              <w:t>上述条款规定的文件需提供电子版，并在设备开箱验收时将最终批准的电子版及纸质版全套资料交工程技术部存档。</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5" w:edGrp="everyone"/>
            <w:permEnd w:id="3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left="350" w:firstLine="0" w:firstLineChars="0"/>
              <w:rPr>
                <w:rFonts w:ascii="Times New Roman" w:hAnsi="Times New Roman"/>
                <w:szCs w:val="21"/>
              </w:rPr>
            </w:pPr>
            <w:permStart w:id="36" w:edGrp="everyone"/>
          </w:p>
        </w:tc>
        <w:tc>
          <w:tcPr>
            <w:tcW w:w="9253" w:type="dxa"/>
            <w:gridSpan w:val="2"/>
            <w:shd w:val="clear" w:color="auto" w:fill="D8D8D8" w:themeFill="background1" w:themeFillShade="D9"/>
            <w:vAlign w:val="center"/>
          </w:tcPr>
          <w:p>
            <w:pPr>
              <w:jc w:val="both"/>
              <w:rPr>
                <w:szCs w:val="21"/>
                <w:lang w:eastAsia="zh-CN"/>
              </w:rPr>
            </w:pPr>
            <w:r>
              <w:rPr>
                <w:rFonts w:hint="eastAsia"/>
                <w:i/>
                <w:iCs/>
                <w:color w:val="0070C0"/>
                <w:kern w:val="44"/>
                <w:szCs w:val="21"/>
                <w:lang w:val="en-US" w:eastAsia="zh-CN"/>
              </w:rPr>
              <w:t>N/A</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设备运输在运输途中需做好防护措施，不得有任何损伤。</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kern w:val="44"/>
                <w:szCs w:val="21"/>
                <w:lang w:val="en-US" w:eastAsia="zh-CN"/>
              </w:rPr>
            </w:pPr>
            <w:r>
              <w:rPr>
                <w:lang w:eastAsia="zh-CN"/>
              </w:rPr>
              <w:t>厂家负责</w:t>
            </w:r>
            <w:r>
              <w:rPr>
                <w:rFonts w:hint="eastAsia"/>
                <w:lang w:eastAsia="zh-CN"/>
              </w:rPr>
              <w:t>不锈钢器具</w:t>
            </w:r>
            <w:r>
              <w:rPr>
                <w:lang w:eastAsia="zh-CN"/>
              </w:rPr>
              <w:t>包装运输至</w:t>
            </w:r>
            <w:r>
              <w:rPr>
                <w:rFonts w:hint="eastAsia"/>
                <w:lang w:eastAsia="zh-CN"/>
              </w:rPr>
              <w:t>我公司</w:t>
            </w:r>
            <w:r>
              <w:rPr>
                <w:lang w:eastAsia="zh-CN"/>
              </w:rPr>
              <w:t>工厂</w:t>
            </w:r>
            <w:r>
              <w:rPr>
                <w:rFonts w:hint="eastAsia"/>
                <w:lang w:eastAsia="zh-CN"/>
              </w:rPr>
              <w:t>指定地点</w:t>
            </w:r>
            <w:r>
              <w:rPr>
                <w:lang w:eastAsia="zh-CN"/>
              </w:rPr>
              <w:t>。</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left="350" w:firstLine="0" w:firstLineChars="0"/>
              <w:rPr>
                <w:rFonts w:ascii="Times New Roman" w:hAnsi="Times New Roman"/>
                <w:i/>
                <w:iCs/>
                <w:color w:val="0070C0"/>
                <w:kern w:val="44"/>
                <w:szCs w:val="21"/>
              </w:rPr>
            </w:pPr>
            <w:permStart w:id="38" w:edGrp="everyone"/>
          </w:p>
        </w:tc>
        <w:tc>
          <w:tcPr>
            <w:tcW w:w="9253" w:type="dxa"/>
            <w:gridSpan w:val="2"/>
            <w:shd w:val="clear" w:color="auto" w:fill="D8D8D8" w:themeFill="background1" w:themeFillShade="D9"/>
            <w:vAlign w:val="center"/>
          </w:tcPr>
          <w:p>
            <w:pPr>
              <w:jc w:val="both"/>
              <w:rPr>
                <w:i/>
                <w:iCs/>
                <w:color w:val="0070C0"/>
                <w:kern w:val="44"/>
                <w:szCs w:val="21"/>
                <w:lang w:val="en-US" w:eastAsia="zh-CN"/>
              </w:rPr>
            </w:pPr>
            <w:r>
              <w:rPr>
                <w:rFonts w:hint="eastAsia"/>
                <w:i/>
                <w:iCs/>
                <w:color w:val="0070C0"/>
                <w:kern w:val="44"/>
                <w:szCs w:val="21"/>
                <w:lang w:val="en-US" w:eastAsia="zh-CN"/>
              </w:rPr>
              <w:t>N/A</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质保期至少一年（主要部件保修期至少三年），质保期内免费保修并免费更换所有配件，保修期后应提供良好的售后服务。</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厂家应提供合格的备件，用于设备相应部件的维修、更换。</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完成后由供应商和我方共同验收，供应商工程师免费为买方提供调试。</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确认验收合格后，甲乙双方签订验收报告。</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42"/>
    </w:tbl>
    <w:p/>
    <w:p>
      <w:pPr>
        <w:pStyle w:val="31"/>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kern w:val="44"/>
          <w:szCs w:val="21"/>
          <w:lang w:eastAsia="zh-CN"/>
        </w:rPr>
      </w:pPr>
      <w:permStart w:id="43" w:edGrp="everyone"/>
      <w:r>
        <w:rPr>
          <w:kern w:val="44"/>
          <w:szCs w:val="21"/>
          <w:lang w:eastAsia="zh-CN"/>
        </w:rPr>
        <w:t>各房间不锈钢器具数量要求</w:t>
      </w:r>
    </w:p>
    <w:tbl>
      <w:tblPr>
        <w:tblStyle w:val="19"/>
        <w:tblW w:w="9923" w:type="dxa"/>
        <w:jc w:val="center"/>
        <w:tblLayout w:type="fixed"/>
        <w:tblCellMar>
          <w:top w:w="0" w:type="dxa"/>
          <w:left w:w="108" w:type="dxa"/>
          <w:bottom w:w="0" w:type="dxa"/>
          <w:right w:w="108" w:type="dxa"/>
        </w:tblCellMar>
      </w:tblPr>
      <w:tblGrid>
        <w:gridCol w:w="961"/>
        <w:gridCol w:w="1806"/>
        <w:gridCol w:w="2520"/>
        <w:gridCol w:w="14"/>
        <w:gridCol w:w="2729"/>
        <w:gridCol w:w="896"/>
        <w:gridCol w:w="997"/>
      </w:tblGrid>
      <w:tr>
        <w:tblPrEx>
          <w:tblCellMar>
            <w:top w:w="0" w:type="dxa"/>
            <w:left w:w="108" w:type="dxa"/>
            <w:bottom w:w="0" w:type="dxa"/>
            <w:right w:w="108" w:type="dxa"/>
          </w:tblCellMar>
        </w:tblPrEx>
        <w:trPr>
          <w:trHeight w:val="555"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overflowPunct/>
              <w:autoSpaceDE/>
              <w:autoSpaceDN/>
              <w:adjustRightInd/>
              <w:jc w:val="center"/>
              <w:textAlignment w:val="auto"/>
              <w:rPr>
                <w:rFonts w:cs="宋体" w:asciiTheme="minorEastAsia" w:hAnsiTheme="minorEastAsia" w:eastAsiaTheme="minorEastAsia"/>
                <w:b/>
                <w:bCs/>
                <w:szCs w:val="21"/>
                <w:lang w:val="en-US" w:eastAsia="zh-CN"/>
              </w:rPr>
            </w:pPr>
            <w:r>
              <w:rPr>
                <w:rFonts w:hint="eastAsia" w:cs="宋体" w:asciiTheme="minorEastAsia" w:hAnsiTheme="minorEastAsia" w:eastAsiaTheme="minorEastAsia"/>
                <w:b/>
                <w:bCs/>
                <w:szCs w:val="21"/>
                <w:lang w:val="en-US" w:eastAsia="zh-CN"/>
              </w:rPr>
              <w:t>序号</w:t>
            </w:r>
          </w:p>
        </w:tc>
        <w:tc>
          <w:tcPr>
            <w:tcW w:w="180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overflowPunct/>
              <w:autoSpaceDE/>
              <w:autoSpaceDN/>
              <w:adjustRightInd/>
              <w:jc w:val="center"/>
              <w:textAlignment w:val="auto"/>
              <w:rPr>
                <w:rFonts w:cs="宋体" w:asciiTheme="minorEastAsia" w:hAnsiTheme="minorEastAsia" w:eastAsiaTheme="minorEastAsia"/>
                <w:b/>
                <w:bCs/>
                <w:szCs w:val="21"/>
                <w:lang w:val="en-US" w:eastAsia="zh-CN"/>
              </w:rPr>
            </w:pPr>
            <w:r>
              <w:rPr>
                <w:rFonts w:hint="eastAsia" w:cs="宋体" w:asciiTheme="minorEastAsia" w:hAnsiTheme="minorEastAsia" w:eastAsiaTheme="minorEastAsia"/>
                <w:b/>
                <w:bCs/>
                <w:szCs w:val="21"/>
                <w:lang w:val="en-US" w:eastAsia="zh-CN"/>
              </w:rPr>
              <w:t>安装位置</w:t>
            </w:r>
          </w:p>
        </w:tc>
        <w:tc>
          <w:tcPr>
            <w:tcW w:w="2534" w:type="dxa"/>
            <w:gridSpan w:val="2"/>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overflowPunct/>
              <w:autoSpaceDE/>
              <w:autoSpaceDN/>
              <w:adjustRightInd/>
              <w:jc w:val="center"/>
              <w:textAlignment w:val="auto"/>
              <w:rPr>
                <w:rFonts w:cs="宋体" w:asciiTheme="minorEastAsia" w:hAnsiTheme="minorEastAsia" w:eastAsiaTheme="minorEastAsia"/>
                <w:b/>
                <w:bCs/>
                <w:szCs w:val="21"/>
                <w:lang w:val="en-US" w:eastAsia="zh-CN"/>
              </w:rPr>
            </w:pPr>
            <w:r>
              <w:rPr>
                <w:rFonts w:hint="eastAsia" w:cs="宋体" w:asciiTheme="minorEastAsia" w:hAnsiTheme="minorEastAsia" w:eastAsiaTheme="minorEastAsia"/>
                <w:b/>
                <w:bCs/>
                <w:szCs w:val="21"/>
                <w:lang w:val="en-US" w:eastAsia="zh-CN"/>
              </w:rPr>
              <w:t>名称</w:t>
            </w:r>
          </w:p>
        </w:tc>
        <w:tc>
          <w:tcPr>
            <w:tcW w:w="272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overflowPunct/>
              <w:autoSpaceDE/>
              <w:autoSpaceDN/>
              <w:adjustRightInd/>
              <w:jc w:val="center"/>
              <w:textAlignment w:val="auto"/>
              <w:rPr>
                <w:rFonts w:cs="宋体" w:asciiTheme="minorEastAsia" w:hAnsiTheme="minorEastAsia" w:eastAsiaTheme="minorEastAsia"/>
                <w:b/>
                <w:bCs/>
                <w:szCs w:val="21"/>
                <w:lang w:val="en-US" w:eastAsia="zh-CN"/>
              </w:rPr>
            </w:pPr>
            <w:r>
              <w:rPr>
                <w:rFonts w:hint="eastAsia" w:cs="宋体" w:asciiTheme="minorEastAsia" w:hAnsiTheme="minorEastAsia" w:eastAsiaTheme="minorEastAsia"/>
                <w:b/>
                <w:bCs/>
                <w:szCs w:val="21"/>
                <w:lang w:val="en-US" w:eastAsia="zh-CN"/>
              </w:rPr>
              <w:t>参考规格尺寸</w:t>
            </w:r>
          </w:p>
        </w:tc>
        <w:tc>
          <w:tcPr>
            <w:tcW w:w="89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overflowPunct/>
              <w:autoSpaceDE/>
              <w:autoSpaceDN/>
              <w:adjustRightInd/>
              <w:jc w:val="center"/>
              <w:textAlignment w:val="auto"/>
              <w:rPr>
                <w:rFonts w:cs="宋体" w:asciiTheme="minorEastAsia" w:hAnsiTheme="minorEastAsia" w:eastAsiaTheme="minorEastAsia"/>
                <w:b/>
                <w:bCs/>
                <w:szCs w:val="21"/>
                <w:lang w:val="en-US" w:eastAsia="zh-CN"/>
              </w:rPr>
            </w:pPr>
            <w:r>
              <w:rPr>
                <w:rFonts w:hint="eastAsia" w:cs="宋体" w:asciiTheme="minorEastAsia" w:hAnsiTheme="minorEastAsia" w:eastAsiaTheme="minorEastAsia"/>
                <w:b/>
                <w:bCs/>
                <w:szCs w:val="21"/>
                <w:lang w:val="en-US" w:eastAsia="zh-CN"/>
              </w:rPr>
              <w:t>单位</w:t>
            </w:r>
          </w:p>
        </w:tc>
        <w:tc>
          <w:tcPr>
            <w:tcW w:w="99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overflowPunct/>
              <w:autoSpaceDE/>
              <w:autoSpaceDN/>
              <w:adjustRightInd/>
              <w:jc w:val="center"/>
              <w:textAlignment w:val="auto"/>
              <w:rPr>
                <w:rFonts w:cs="宋体" w:asciiTheme="minorEastAsia" w:hAnsiTheme="minorEastAsia" w:eastAsiaTheme="minorEastAsia"/>
                <w:b/>
                <w:bCs/>
                <w:szCs w:val="21"/>
                <w:lang w:val="en-US" w:eastAsia="zh-CN"/>
              </w:rPr>
            </w:pPr>
            <w:r>
              <w:rPr>
                <w:rFonts w:hint="eastAsia" w:cs="宋体" w:asciiTheme="minorEastAsia" w:hAnsiTheme="minorEastAsia" w:eastAsiaTheme="minorEastAsia"/>
                <w:b/>
                <w:bCs/>
                <w:szCs w:val="21"/>
                <w:lang w:val="en-US" w:eastAsia="zh-CN"/>
              </w:rPr>
              <w:t>数量</w:t>
            </w:r>
          </w:p>
        </w:tc>
      </w:tr>
      <w:tr>
        <w:tblPrEx>
          <w:tblCellMar>
            <w:top w:w="0" w:type="dxa"/>
            <w:left w:w="108" w:type="dxa"/>
            <w:bottom w:w="0" w:type="dxa"/>
            <w:right w:w="108" w:type="dxa"/>
          </w:tblCellMar>
        </w:tblPrEx>
        <w:trPr>
          <w:trHeight w:val="525"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换鞋间（1031004）</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不锈钢鞋柜</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1590×600×600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组</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278" w:hRule="atLeast"/>
        </w:trPr>
        <w:tc>
          <w:tcPr>
            <w:tcW w:w="961" w:type="dxa"/>
            <w:vMerge w:val="restart"/>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2</w:t>
            </w:r>
          </w:p>
        </w:tc>
        <w:tc>
          <w:tcPr>
            <w:tcW w:w="1806"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更鞋洗手间(1031015)</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不锈钢鞋柜</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1900×400×600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278" w:hRule="atLeast"/>
        </w:trPr>
        <w:tc>
          <w:tcPr>
            <w:tcW w:w="96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806"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不锈钢水池</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600×400×850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278" w:hRule="atLeast"/>
        </w:trPr>
        <w:tc>
          <w:tcPr>
            <w:tcW w:w="961" w:type="dxa"/>
            <w:vMerge w:val="restart"/>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3</w:t>
            </w:r>
          </w:p>
        </w:tc>
        <w:tc>
          <w:tcPr>
            <w:tcW w:w="1806"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更衣间（1031017）</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不锈钢鞋柜</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1100×400×600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278" w:hRule="atLeast"/>
        </w:trPr>
        <w:tc>
          <w:tcPr>
            <w:tcW w:w="96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806"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不锈钢三层衣架</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2400×400×1800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278" w:hRule="atLeast"/>
        </w:trPr>
        <w:tc>
          <w:tcPr>
            <w:tcW w:w="96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806"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不锈钢穿衣凳</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2400×500×200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525"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4</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C级暂存间（1031023）</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不锈钢三层货架</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3000×500×1800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525"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5</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缓冲间2（1031030）</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不锈钢鞋柜</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1300×400×600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278" w:hRule="atLeast"/>
        </w:trPr>
        <w:tc>
          <w:tcPr>
            <w:tcW w:w="961" w:type="dxa"/>
            <w:vMerge w:val="restart"/>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6</w:t>
            </w:r>
          </w:p>
        </w:tc>
        <w:tc>
          <w:tcPr>
            <w:tcW w:w="1806"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穿无菌服（1031031）</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不锈钢三层衣架</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2600×400×1800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278" w:hRule="atLeast"/>
        </w:trPr>
        <w:tc>
          <w:tcPr>
            <w:tcW w:w="961"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806"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不锈钢穿衣凳</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2400×500×200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278"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7</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男一更间</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不锈钢三层货架</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1800×500×1800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278"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8</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女一更间</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不锈钢三层货架</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1800×500×1800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525"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9</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消毒剂接收间（1031037）</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不锈钢双层架</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2100×300×1500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525"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10</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B级暂存间（1031039）</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不锈钢双层架</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2400×400×1500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525"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11</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一更后洗手（1031007）</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不锈钢水池</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2000×650×850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2</w:t>
            </w:r>
          </w:p>
        </w:tc>
      </w:tr>
      <w:tr>
        <w:tblPrEx>
          <w:tblCellMar>
            <w:top w:w="0" w:type="dxa"/>
            <w:left w:w="108" w:type="dxa"/>
            <w:bottom w:w="0" w:type="dxa"/>
            <w:right w:w="108" w:type="dxa"/>
          </w:tblCellMar>
        </w:tblPrEx>
        <w:trPr>
          <w:trHeight w:val="525"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12</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资料间（1031003）</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不锈钢水池</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500×450×850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788"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13</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灭菌架</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lang w:eastAsia="zh-CN"/>
              </w:rPr>
            </w:pPr>
            <w:r>
              <w:rPr>
                <w:rFonts w:hint="eastAsia"/>
                <w:color w:val="000000"/>
                <w:szCs w:val="21"/>
                <w:lang w:eastAsia="zh-CN"/>
              </w:rPr>
              <w:t>定制，用于湿热柜内放置剪刀/止血钳，可放置15把</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8</w:t>
            </w:r>
          </w:p>
        </w:tc>
      </w:tr>
      <w:tr>
        <w:tblPrEx>
          <w:tblCellMar>
            <w:top w:w="0" w:type="dxa"/>
            <w:left w:w="108" w:type="dxa"/>
            <w:bottom w:w="0" w:type="dxa"/>
            <w:right w:w="108" w:type="dxa"/>
          </w:tblCellMar>
        </w:tblPrEx>
        <w:trPr>
          <w:trHeight w:val="278"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14</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手套盒</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300×300×300(无盖)</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2</w:t>
            </w:r>
          </w:p>
        </w:tc>
      </w:tr>
      <w:tr>
        <w:tblPrEx>
          <w:tblCellMar>
            <w:top w:w="0" w:type="dxa"/>
            <w:left w:w="108" w:type="dxa"/>
            <w:bottom w:w="0" w:type="dxa"/>
            <w:right w:w="108" w:type="dxa"/>
          </w:tblCellMar>
        </w:tblPrEx>
        <w:trPr>
          <w:trHeight w:val="525" w:hRule="atLeast"/>
        </w:trPr>
        <w:tc>
          <w:tcPr>
            <w:tcW w:w="961"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15</w:t>
            </w:r>
          </w:p>
        </w:tc>
        <w:tc>
          <w:tcPr>
            <w:tcW w:w="1806"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w:t>
            </w:r>
          </w:p>
        </w:tc>
        <w:tc>
          <w:tcPr>
            <w:tcW w:w="2520" w:type="dxa"/>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洗衣整衣间（1031027）</w:t>
            </w:r>
          </w:p>
        </w:tc>
        <w:tc>
          <w:tcPr>
            <w:tcW w:w="2743" w:type="dxa"/>
            <w:gridSpan w:val="2"/>
            <w:tcBorders>
              <w:top w:val="nil"/>
              <w:left w:val="nil"/>
              <w:bottom w:val="single" w:color="auto" w:sz="4" w:space="0"/>
              <w:right w:val="single" w:color="auto" w:sz="4" w:space="0"/>
            </w:tcBorders>
            <w:shd w:val="clear" w:color="000000" w:fill="FFFFFF"/>
            <w:vAlign w:val="center"/>
          </w:tcPr>
          <w:p>
            <w:pPr>
              <w:jc w:val="center"/>
              <w:rPr>
                <w:rFonts w:hint="eastAsia"/>
                <w:color w:val="000000"/>
                <w:szCs w:val="21"/>
              </w:rPr>
            </w:pPr>
            <w:r>
              <w:rPr>
                <w:rFonts w:hint="eastAsia"/>
                <w:color w:val="000000"/>
                <w:szCs w:val="21"/>
              </w:rPr>
              <w:t>1200×600×1500（底层750，间隔350）</w:t>
            </w:r>
          </w:p>
        </w:tc>
        <w:tc>
          <w:tcPr>
            <w:tcW w:w="896"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个</w:t>
            </w:r>
          </w:p>
        </w:tc>
        <w:tc>
          <w:tcPr>
            <w:tcW w:w="997" w:type="dxa"/>
            <w:tcBorders>
              <w:top w:val="nil"/>
              <w:left w:val="nil"/>
              <w:bottom w:val="single" w:color="auto" w:sz="4" w:space="0"/>
              <w:right w:val="single" w:color="auto" w:sz="4" w:space="0"/>
            </w:tcBorders>
            <w:shd w:val="clear" w:color="000000" w:fill="FFFFFF"/>
            <w:noWrap/>
            <w:vAlign w:val="center"/>
          </w:tcPr>
          <w:p>
            <w:pPr>
              <w:jc w:val="center"/>
              <w:rPr>
                <w:rFonts w:hint="eastAsia"/>
                <w:color w:val="000000"/>
                <w:szCs w:val="21"/>
              </w:rPr>
            </w:pPr>
            <w:r>
              <w:rPr>
                <w:rFonts w:hint="eastAsia"/>
                <w:color w:val="000000"/>
                <w:szCs w:val="21"/>
              </w:rPr>
              <w:t>1</w:t>
            </w:r>
          </w:p>
        </w:tc>
      </w:tr>
      <w:tr>
        <w:tblPrEx>
          <w:tblCellMar>
            <w:top w:w="0" w:type="dxa"/>
            <w:left w:w="108" w:type="dxa"/>
            <w:bottom w:w="0" w:type="dxa"/>
            <w:right w:w="108" w:type="dxa"/>
          </w:tblCellMar>
        </w:tblPrEx>
        <w:trPr>
          <w:trHeight w:val="567" w:hRule="atLeast"/>
          <w:jc w:val="center"/>
        </w:trPr>
        <w:tc>
          <w:tcPr>
            <w:tcW w:w="992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textAlignment w:val="center"/>
              <w:rPr>
                <w:rFonts w:ascii="宋体" w:hAnsi="宋体" w:cs="宋体"/>
                <w:szCs w:val="21"/>
                <w:lang w:val="en-US" w:eastAsia="zh-CN"/>
              </w:rPr>
            </w:pPr>
            <w:r>
              <w:rPr>
                <w:rFonts w:hint="eastAsia" w:ascii="宋体" w:hAnsi="宋体" w:cs="宋体"/>
                <w:szCs w:val="21"/>
                <w:lang w:val="en-US" w:eastAsia="zh-CN"/>
              </w:rPr>
              <w:t>备注：（1）</w:t>
            </w:r>
            <w:r>
              <w:rPr>
                <w:rFonts w:ascii="宋体" w:hAnsi="宋体" w:cs="宋体"/>
                <w:szCs w:val="21"/>
                <w:lang w:eastAsia="zh-CN"/>
              </w:rPr>
              <w:t>以上定制尺寸，需与乙方核对、保证都能进入相应洁净区，如有困难可相应拆分器具大小以满足需求</w:t>
            </w:r>
            <w:r>
              <w:rPr>
                <w:rFonts w:hint="eastAsia" w:ascii="宋体" w:hAnsi="宋体" w:cs="宋体"/>
                <w:szCs w:val="21"/>
                <w:lang w:eastAsia="zh-CN"/>
              </w:rPr>
              <w:t>。（</w:t>
            </w:r>
            <w:r>
              <w:rPr>
                <w:rFonts w:hint="eastAsia" w:ascii="宋体" w:hAnsi="宋体" w:cs="宋体"/>
                <w:szCs w:val="21"/>
                <w:lang w:val="en-US" w:eastAsia="zh-CN"/>
              </w:rPr>
              <w:t>2）上述不锈钢器具尺寸，需甲方提供设计图纸，乙方根据现场实际测量结果反馈修改意见。</w:t>
            </w:r>
          </w:p>
        </w:tc>
      </w:tr>
      <w:permEnd w:id="43"/>
    </w:tbl>
    <w:p>
      <w:pPr>
        <w:pStyle w:val="41"/>
        <w:spacing w:before="0" w:line="360" w:lineRule="auto"/>
        <w:ind w:left="357"/>
        <w:jc w:val="left"/>
        <w:rPr>
          <w:i/>
          <w:iCs/>
          <w:color w:val="0070C0"/>
          <w:kern w:val="44"/>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2"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3FA774"/>
    <w:multiLevelType w:val="multilevel"/>
    <w:tmpl w:val="523FA774"/>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0YmViMTIxOGQ5MTQ3ODEyYmE1Y2Q3NmRlYmM0NzI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1A83"/>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76D"/>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07DA4"/>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7D6"/>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457C"/>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2016"/>
    <w:rsid w:val="002438D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3E9C"/>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6ABB"/>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7E7"/>
    <w:rsid w:val="004F4C63"/>
    <w:rsid w:val="004F5AE6"/>
    <w:rsid w:val="004F5C19"/>
    <w:rsid w:val="004F7B6A"/>
    <w:rsid w:val="0050090F"/>
    <w:rsid w:val="0050208D"/>
    <w:rsid w:val="0050284B"/>
    <w:rsid w:val="00502F99"/>
    <w:rsid w:val="00504B71"/>
    <w:rsid w:val="00504F06"/>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6706"/>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1A32"/>
    <w:rsid w:val="006221A2"/>
    <w:rsid w:val="00627113"/>
    <w:rsid w:val="00627B8B"/>
    <w:rsid w:val="0063106D"/>
    <w:rsid w:val="006312FF"/>
    <w:rsid w:val="00632136"/>
    <w:rsid w:val="00632C67"/>
    <w:rsid w:val="006331B6"/>
    <w:rsid w:val="00633310"/>
    <w:rsid w:val="00633315"/>
    <w:rsid w:val="00633384"/>
    <w:rsid w:val="006359F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584F"/>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677F4"/>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375CF"/>
    <w:rsid w:val="00840298"/>
    <w:rsid w:val="00841BE4"/>
    <w:rsid w:val="00845A53"/>
    <w:rsid w:val="00847E8C"/>
    <w:rsid w:val="008505E1"/>
    <w:rsid w:val="00850B19"/>
    <w:rsid w:val="00852488"/>
    <w:rsid w:val="0085405E"/>
    <w:rsid w:val="008571DD"/>
    <w:rsid w:val="0085772E"/>
    <w:rsid w:val="00860344"/>
    <w:rsid w:val="00860E2C"/>
    <w:rsid w:val="00864BC6"/>
    <w:rsid w:val="008654C1"/>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5928"/>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4F3F"/>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1FDB"/>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2D99"/>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6F"/>
    <w:rsid w:val="009D6CF1"/>
    <w:rsid w:val="009D74BA"/>
    <w:rsid w:val="009E0874"/>
    <w:rsid w:val="009E1A16"/>
    <w:rsid w:val="009E2045"/>
    <w:rsid w:val="009E4A84"/>
    <w:rsid w:val="009E6973"/>
    <w:rsid w:val="009F0466"/>
    <w:rsid w:val="009F4200"/>
    <w:rsid w:val="009F4933"/>
    <w:rsid w:val="009F5FD0"/>
    <w:rsid w:val="009F69AA"/>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58D"/>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022E"/>
    <w:rsid w:val="00B021ED"/>
    <w:rsid w:val="00B0250D"/>
    <w:rsid w:val="00B032B1"/>
    <w:rsid w:val="00B03F46"/>
    <w:rsid w:val="00B059B8"/>
    <w:rsid w:val="00B07418"/>
    <w:rsid w:val="00B1040F"/>
    <w:rsid w:val="00B11547"/>
    <w:rsid w:val="00B11EF0"/>
    <w:rsid w:val="00B1226C"/>
    <w:rsid w:val="00B14990"/>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25D5"/>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0D25"/>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1AF0"/>
    <w:rsid w:val="00E223C6"/>
    <w:rsid w:val="00E2443D"/>
    <w:rsid w:val="00E24789"/>
    <w:rsid w:val="00E26615"/>
    <w:rsid w:val="00E26F37"/>
    <w:rsid w:val="00E33928"/>
    <w:rsid w:val="00E33C90"/>
    <w:rsid w:val="00E34D15"/>
    <w:rsid w:val="00E35E86"/>
    <w:rsid w:val="00E3696E"/>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13E"/>
    <w:rsid w:val="00E706B6"/>
    <w:rsid w:val="00E76FF1"/>
    <w:rsid w:val="00E774FE"/>
    <w:rsid w:val="00E77E26"/>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4B0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A6E83"/>
    <w:rsid w:val="00FA7D21"/>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142BA7"/>
    <w:rsid w:val="07E0684A"/>
    <w:rsid w:val="07E45868"/>
    <w:rsid w:val="08521324"/>
    <w:rsid w:val="0A7F4E57"/>
    <w:rsid w:val="23514CF6"/>
    <w:rsid w:val="23A32D3D"/>
    <w:rsid w:val="2B6169AE"/>
    <w:rsid w:val="33BA31C6"/>
    <w:rsid w:val="399A07FE"/>
    <w:rsid w:val="48491332"/>
    <w:rsid w:val="4A384DE4"/>
    <w:rsid w:val="4C672813"/>
    <w:rsid w:val="4F1C617D"/>
    <w:rsid w:val="54173089"/>
    <w:rsid w:val="5F21549D"/>
    <w:rsid w:val="66EE3171"/>
    <w:rsid w:val="68D73C6F"/>
    <w:rsid w:val="6E7073F0"/>
    <w:rsid w:val="729B4DB1"/>
    <w:rsid w:val="74095A2F"/>
    <w:rsid w:val="77A1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788</Words>
  <Characters>4493</Characters>
  <Lines>37</Lines>
  <Paragraphs>10</Paragraphs>
  <TotalTime>0</TotalTime>
  <ScaleCrop>false</ScaleCrop>
  <LinksUpToDate>false</LinksUpToDate>
  <CharactersWithSpaces>5271</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2022-12-05T02:08:00Z</dcterms:created>
  <dc:creator>Lilly</dc:creator>
  <cp:lastModifiedBy>汪洋</cp:lastModifiedBy>
  <cp:lastPrinted>2022-09-06T04:50:00Z</cp:lastPrinted>
  <dcterms:modified xsi:type="dcterms:W3CDTF">2022-12-06T01:32:17Z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1CC5FBAC682C4FEAA9666CCCEB770F61</vt:lpwstr>
  </property>
</Properties>
</file>