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666358"/>
      <w:bookmarkStart w:id="1" w:name="_Toc483400307"/>
      <w:bookmarkStart w:id="2" w:name="_Toc484532399"/>
      <w:bookmarkStart w:id="3" w:name="_Toc482717189"/>
      <w:bookmarkStart w:id="4" w:name="_Toc483227223"/>
    </w:p>
    <w:p>
      <w:pPr>
        <w:spacing w:after="158" w:afterLines="50"/>
        <w:jc w:val="center"/>
        <w:rPr>
          <w:b/>
          <w:szCs w:val="21"/>
          <w:lang w:eastAsia="zh-CN"/>
        </w:rPr>
      </w:pPr>
      <w:permStart w:id="0" w:edGrp="everyone"/>
      <w:r>
        <w:rPr>
          <w:rFonts w:hint="eastAsia"/>
          <w:b/>
          <w:color w:val="000000" w:themeColor="text1"/>
          <w:sz w:val="28"/>
          <w:szCs w:val="28"/>
          <w:lang w:eastAsia="zh-CN"/>
        </w:rPr>
        <w:t>病毒性疫苗研究二室超低平台秤</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3"/>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5"/>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fldChar w:fldCharType="begin"/>
      </w:r>
      <w:r>
        <w:instrText xml:space="preserve"> PAGEREF _Toc522716123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fldChar w:fldCharType="begin"/>
      </w:r>
      <w:r>
        <w:instrText xml:space="preserve"> PAGEREF _Toc522716124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fldChar w:fldCharType="begin"/>
      </w:r>
      <w:r>
        <w:instrText xml:space="preserve"> PAGEREF _Toc522716125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11</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1"/>
        <w:numPr>
          <w:ilvl w:val="0"/>
          <w:numId w:val="3"/>
        </w:numPr>
        <w:spacing w:after="158" w:afterLines="50"/>
        <w:ind w:left="426" w:hanging="426" w:hangingChars="202"/>
        <w:outlineLvl w:val="0"/>
        <w:rPr>
          <w:rFonts w:ascii="Times New Roman" w:hAnsi="Times New Roman"/>
          <w:b/>
        </w:rPr>
      </w:pPr>
      <w:bookmarkStart w:id="5" w:name="_Toc522716115"/>
      <w:bookmarkStart w:id="6" w:name="_Toc522107735"/>
      <w:r>
        <w:rPr>
          <w:rFonts w:ascii="Times New Roman" w:hAnsi="Times New Roman"/>
          <w:b/>
        </w:rPr>
        <w:t>目的</w:t>
      </w:r>
      <w:bookmarkEnd w:id="5"/>
      <w:bookmarkEnd w:id="6"/>
    </w:p>
    <w:p>
      <w:pPr>
        <w:pStyle w:val="41"/>
        <w:spacing w:before="0" w:line="360" w:lineRule="auto"/>
        <w:ind w:left="357"/>
        <w:jc w:val="left"/>
        <w:rPr>
          <w:szCs w:val="21"/>
          <w:lang w:eastAsia="zh-CN"/>
        </w:rPr>
      </w:pPr>
      <w:bookmarkStart w:id="7" w:name="_Toc482369805"/>
      <w:bookmarkStart w:id="8" w:name="_Toc482625279"/>
      <w:bookmarkStart w:id="9" w:name="_Toc481702475"/>
      <w:bookmarkStart w:id="10" w:name="_Toc482370349"/>
      <w:bookmarkStart w:id="11" w:name="_Toc482370141"/>
      <w:bookmarkStart w:id="12" w:name="_Toc482370061"/>
      <w:bookmarkStart w:id="13" w:name="_Toc482360281"/>
      <w:bookmarkStart w:id="14" w:name="_Toc482370757"/>
      <w:bookmarkStart w:id="15" w:name="_Toc482359936"/>
      <w:r>
        <w:rPr>
          <w:szCs w:val="21"/>
          <w:lang w:eastAsia="zh-CN"/>
        </w:rPr>
        <w:t>本文件的目的是描述武汉生物制品研究所有限责任公司</w:t>
      </w:r>
      <w:permStart w:id="3" w:edGrp="everyone"/>
      <w:r>
        <w:rPr>
          <w:rFonts w:hint="eastAsia"/>
          <w:color w:val="000000" w:themeColor="text1"/>
          <w:szCs w:val="21"/>
          <w:lang w:eastAsia="zh-CN"/>
        </w:rPr>
        <w:t>病毒性疫苗研究二室超低平台秤</w:t>
      </w:r>
      <w:permEnd w:id="3"/>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6" w:name="_Toc522716116"/>
      <w:bookmarkStart w:id="17" w:name="_Toc522107736"/>
      <w:r>
        <w:rPr>
          <w:rFonts w:ascii="Times New Roman" w:hAnsi="Times New Roman"/>
          <w:b/>
        </w:rPr>
        <w:t>范围</w:t>
      </w:r>
      <w:bookmarkEnd w:id="16"/>
      <w:bookmarkEnd w:id="17"/>
    </w:p>
    <w:p>
      <w:pPr>
        <w:pStyle w:val="41"/>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color w:val="000000" w:themeColor="text1"/>
          <w:szCs w:val="21"/>
          <w:lang w:eastAsia="zh-CN"/>
        </w:rPr>
        <w:t>病毒性疫苗研究二室超低平台秤</w:t>
      </w:r>
      <w:permEnd w:id="4"/>
      <w:r>
        <w:rPr>
          <w:szCs w:val="21"/>
          <w:lang w:eastAsia="zh-CN"/>
        </w:rPr>
        <w:t>。</w:t>
      </w:r>
      <w:bookmarkEnd w:id="7"/>
      <w:bookmarkEnd w:id="8"/>
      <w:bookmarkEnd w:id="9"/>
      <w:bookmarkEnd w:id="10"/>
      <w:bookmarkEnd w:id="11"/>
      <w:bookmarkEnd w:id="12"/>
      <w:bookmarkEnd w:id="13"/>
      <w:bookmarkEnd w:id="14"/>
      <w:bookmarkEnd w:id="15"/>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8" w:name="_Toc522107737"/>
      <w:bookmarkStart w:id="19" w:name="_Toc522716117"/>
      <w:r>
        <w:rPr>
          <w:rFonts w:ascii="Times New Roman" w:hAnsi="Times New Roman"/>
          <w:b/>
        </w:rPr>
        <w:t>参考文件</w:t>
      </w:r>
      <w:bookmarkEnd w:id="18"/>
      <w:bookmarkEnd w:id="19"/>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5"/>
        </w:numPr>
        <w:spacing w:before="0" w:line="360" w:lineRule="auto"/>
        <w:ind w:left="777"/>
        <w:jc w:val="left"/>
        <w:rPr>
          <w:color w:val="000000" w:themeColor="text1"/>
          <w:szCs w:val="21"/>
          <w:lang w:eastAsia="zh-CN"/>
        </w:rPr>
      </w:pPr>
      <w:permStart w:id="5" w:edGrp="everyone"/>
      <w:r>
        <w:rPr>
          <w:color w:val="000000" w:themeColor="text1"/>
          <w:szCs w:val="21"/>
          <w:lang w:eastAsia="zh-CN"/>
        </w:rPr>
        <w:t xml:space="preserve">中国药典 </w:t>
      </w:r>
      <w:r>
        <w:rPr>
          <w:color w:val="000000" w:themeColor="text1"/>
          <w:szCs w:val="21"/>
        </w:rPr>
        <w:t>20</w:t>
      </w:r>
      <w:r>
        <w:rPr>
          <w:rFonts w:hint="eastAsia"/>
          <w:color w:val="000000" w:themeColor="text1"/>
          <w:szCs w:val="21"/>
          <w:lang w:eastAsia="zh-CN"/>
        </w:rPr>
        <w:t>20</w:t>
      </w:r>
      <w:r>
        <w:rPr>
          <w:color w:val="000000" w:themeColor="text1"/>
          <w:szCs w:val="21"/>
        </w:rPr>
        <w:t>年版</w:t>
      </w:r>
    </w:p>
    <w:p>
      <w:pPr>
        <w:pStyle w:val="41"/>
        <w:numPr>
          <w:ilvl w:val="0"/>
          <w:numId w:val="5"/>
        </w:numPr>
        <w:spacing w:before="0" w:line="360" w:lineRule="auto"/>
        <w:ind w:left="777"/>
        <w:jc w:val="left"/>
        <w:rPr>
          <w:color w:val="000000" w:themeColor="text1"/>
          <w:sz w:val="18"/>
          <w:szCs w:val="21"/>
          <w:lang w:eastAsia="zh-CN"/>
        </w:rPr>
      </w:pPr>
      <w:r>
        <w:rPr>
          <w:rFonts w:hAnsi="宋体" w:cs="Arial"/>
          <w:color w:val="000000"/>
        </w:rPr>
        <w:t>GB/T7723-2008《固定式电子衡器》</w:t>
      </w:r>
    </w:p>
    <w:p>
      <w:pPr>
        <w:pStyle w:val="41"/>
        <w:numPr>
          <w:ilvl w:val="0"/>
          <w:numId w:val="5"/>
        </w:numPr>
        <w:spacing w:before="0" w:line="360" w:lineRule="auto"/>
        <w:ind w:left="777"/>
        <w:jc w:val="left"/>
        <w:rPr>
          <w:color w:val="000000" w:themeColor="text1"/>
          <w:sz w:val="18"/>
          <w:szCs w:val="21"/>
          <w:lang w:eastAsia="zh-CN"/>
        </w:rPr>
      </w:pPr>
      <w:r>
        <w:rPr>
          <w:rFonts w:hAnsi="宋体" w:cs="Arial"/>
          <w:color w:val="000000"/>
          <w:lang w:eastAsia="zh-CN"/>
        </w:rPr>
        <w:t>CMC《中华人民共和国制造计量器具许可证》</w:t>
      </w:r>
    </w:p>
    <w:p>
      <w:pPr>
        <w:pStyle w:val="41"/>
        <w:numPr>
          <w:ilvl w:val="0"/>
          <w:numId w:val="5"/>
        </w:numPr>
        <w:spacing w:before="0" w:line="360" w:lineRule="auto"/>
        <w:ind w:left="777"/>
        <w:jc w:val="left"/>
        <w:rPr>
          <w:color w:val="000000" w:themeColor="text1"/>
          <w:sz w:val="18"/>
          <w:szCs w:val="21"/>
          <w:lang w:eastAsia="zh-CN"/>
        </w:rPr>
      </w:pPr>
      <w:r>
        <w:rPr>
          <w:rFonts w:hAnsi="宋体" w:cs="Arial"/>
          <w:color w:val="000000"/>
          <w:lang w:eastAsia="zh-CN"/>
        </w:rPr>
        <w:t>国际法制计量OIML R76标准规范要求</w:t>
      </w:r>
    </w:p>
    <w:permEnd w:id="5"/>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1"/>
        <w:numPr>
          <w:ilvl w:val="0"/>
          <w:numId w:val="5"/>
        </w:numPr>
        <w:spacing w:before="0" w:line="360" w:lineRule="auto"/>
        <w:ind w:left="777"/>
        <w:jc w:val="left"/>
        <w:rPr>
          <w:color w:val="000000" w:themeColor="text1"/>
          <w:szCs w:val="21"/>
          <w:lang w:eastAsia="zh-CN"/>
        </w:rPr>
      </w:pPr>
      <w:permStart w:id="6" w:edGrp="everyone"/>
      <w:r>
        <w:rPr>
          <w:color w:val="000000" w:themeColor="text1"/>
          <w:szCs w:val="21"/>
          <w:lang w:eastAsia="zh-CN"/>
        </w:rPr>
        <w:t>电气安全应符合GB4793.1和GB4793.4的要求。</w:t>
      </w:r>
    </w:p>
    <w:p>
      <w:pPr>
        <w:pStyle w:val="41"/>
        <w:numPr>
          <w:ilvl w:val="0"/>
          <w:numId w:val="5"/>
        </w:numPr>
        <w:spacing w:before="0" w:line="360" w:lineRule="auto"/>
        <w:ind w:left="777"/>
        <w:jc w:val="left"/>
        <w:rPr>
          <w:color w:val="000000" w:themeColor="text1"/>
          <w:sz w:val="18"/>
          <w:szCs w:val="21"/>
          <w:lang w:eastAsia="zh-CN"/>
        </w:rPr>
      </w:pPr>
      <w:r>
        <w:rPr>
          <w:rFonts w:hAnsi="宋体" w:cs="Arial"/>
          <w:color w:val="000000"/>
          <w:lang w:eastAsia="zh-CN"/>
        </w:rPr>
        <w:t>达到CE标准要求和国内EHS要求</w:t>
      </w:r>
      <w:r>
        <w:rPr>
          <w:rFonts w:hint="eastAsia" w:hAnsi="宋体" w:cs="Arial"/>
          <w:color w:val="000000"/>
          <w:lang w:eastAsia="zh-CN"/>
        </w:rPr>
        <w:t>。</w:t>
      </w:r>
    </w:p>
    <w:permEnd w:id="6"/>
    <w:p>
      <w:pPr>
        <w:pStyle w:val="41"/>
        <w:spacing w:before="0" w:line="360" w:lineRule="auto"/>
        <w:ind w:left="357"/>
        <w:jc w:val="left"/>
        <w:rPr>
          <w:i/>
          <w:szCs w:val="21"/>
          <w:lang w:eastAsia="zh-CN"/>
        </w:rPr>
      </w:pPr>
    </w:p>
    <w:p>
      <w:pPr>
        <w:pStyle w:val="31"/>
        <w:numPr>
          <w:ilvl w:val="0"/>
          <w:numId w:val="3"/>
        </w:numPr>
        <w:spacing w:after="158" w:afterLines="50"/>
        <w:ind w:left="426" w:hanging="426" w:hangingChars="202"/>
        <w:outlineLvl w:val="0"/>
        <w:rPr>
          <w:rFonts w:ascii="Times New Roman" w:hAnsi="Times New Roman"/>
          <w:b/>
        </w:rPr>
      </w:pPr>
      <w:permStart w:id="7" w:edGrp="everyone"/>
      <w:permEnd w:id="7"/>
      <w:bookmarkStart w:id="20" w:name="_Toc522716119"/>
      <w:bookmarkStart w:id="21" w:name="_Toc522107739"/>
      <w:r>
        <w:rPr>
          <w:rFonts w:ascii="Times New Roman" w:hAnsi="Times New Roman"/>
          <w:b/>
        </w:rPr>
        <w:t>系统描述</w:t>
      </w:r>
      <w:bookmarkEnd w:id="20"/>
      <w:bookmarkEnd w:id="21"/>
    </w:p>
    <w:p>
      <w:pPr>
        <w:pStyle w:val="41"/>
        <w:spacing w:before="0" w:line="360" w:lineRule="auto"/>
        <w:ind w:left="357"/>
        <w:jc w:val="left"/>
        <w:rPr>
          <w:i/>
          <w:color w:val="4472C4"/>
          <w:szCs w:val="21"/>
          <w:lang w:eastAsia="zh-CN"/>
        </w:rPr>
      </w:pPr>
      <w:permStart w:id="8" w:edGrp="everyone"/>
      <w:r>
        <w:rPr>
          <w:color w:val="000000" w:themeColor="text1"/>
          <w:szCs w:val="21"/>
          <w:lang w:eastAsia="zh-CN"/>
        </w:rPr>
        <w:t>病毒性疫苗研究二室拟购置一台超低平台秤</w:t>
      </w:r>
      <w:r>
        <w:rPr>
          <w:rFonts w:hint="eastAsia"/>
          <w:color w:val="000000" w:themeColor="text1"/>
          <w:szCs w:val="21"/>
          <w:lang w:eastAsia="zh-CN"/>
        </w:rPr>
        <w:t>，</w:t>
      </w:r>
      <w:r>
        <w:rPr>
          <w:color w:val="000000" w:themeColor="text1"/>
          <w:szCs w:val="21"/>
          <w:lang w:eastAsia="zh-CN"/>
        </w:rPr>
        <w:t>用于超滤过程中缓冲液重量的称量</w:t>
      </w:r>
      <w:r>
        <w:rPr>
          <w:rFonts w:hint="eastAsia"/>
          <w:color w:val="000000" w:themeColor="text1"/>
          <w:szCs w:val="21"/>
          <w:lang w:eastAsia="zh-CN"/>
        </w:rPr>
        <w:t>。</w:t>
      </w:r>
      <w:permEnd w:id="8"/>
    </w:p>
    <w:p>
      <w:pPr>
        <w:pStyle w:val="31"/>
        <w:numPr>
          <w:ilvl w:val="0"/>
          <w:numId w:val="3"/>
        </w:numPr>
        <w:spacing w:after="158" w:afterLines="50"/>
        <w:ind w:left="426" w:hanging="426" w:hangingChars="202"/>
        <w:outlineLvl w:val="0"/>
        <w:rPr>
          <w:rFonts w:ascii="Times New Roman" w:hAnsi="Times New Roman"/>
          <w:szCs w:val="21"/>
        </w:rPr>
      </w:pPr>
      <w:bookmarkStart w:id="22" w:name="_Toc522716120"/>
      <w:r>
        <w:rPr>
          <w:rFonts w:ascii="Times New Roman" w:hAnsi="Times New Roman"/>
          <w:b/>
          <w:szCs w:val="21"/>
        </w:rPr>
        <w:t>安装要求</w:t>
      </w:r>
      <w:bookmarkEnd w:id="22"/>
      <w:bookmarkStart w:id="47" w:name="_GoBack"/>
      <w:bookmarkEnd w:id="47"/>
      <w:permStart w:id="9" w:edGrp="everyone"/>
      <w:permEnd w:id="9"/>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1"/>
            <w:bookmarkStart w:id="24"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0" w:edGrp="everyone"/>
          </w:p>
        </w:tc>
        <w:tc>
          <w:tcPr>
            <w:tcW w:w="7128" w:type="dxa"/>
            <w:shd w:val="clear" w:color="auto" w:fill="auto"/>
            <w:vAlign w:val="center"/>
          </w:tcPr>
          <w:p>
            <w:pPr>
              <w:spacing w:line="276" w:lineRule="auto"/>
              <w:jc w:val="both"/>
              <w:rPr>
                <w:color w:val="000000" w:themeColor="text1"/>
                <w:szCs w:val="21"/>
                <w:lang w:eastAsia="zh-CN"/>
              </w:rPr>
            </w:pPr>
            <w:r>
              <w:rPr>
                <w:rFonts w:hint="eastAsia"/>
                <w:color w:val="000000" w:themeColor="text1"/>
                <w:szCs w:val="21"/>
                <w:lang w:eastAsia="zh-CN"/>
              </w:rPr>
              <w:t>105流感中试车间</w:t>
            </w:r>
          </w:p>
        </w:tc>
        <w:tc>
          <w:tcPr>
            <w:tcW w:w="2125" w:type="dxa"/>
            <w:shd w:val="clear" w:color="auto" w:fill="auto"/>
            <w:vAlign w:val="center"/>
          </w:tcPr>
          <w:p>
            <w:pPr>
              <w:rPr>
                <w:color w:val="000000" w:themeColor="text1"/>
                <w:szCs w:val="21"/>
                <w:lang w:eastAsia="zh-CN"/>
              </w:rPr>
            </w:pPr>
            <w:r>
              <w:rPr>
                <w:color w:val="000000" w:themeColor="text1"/>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1" w:edGrp="everyone"/>
          </w:p>
        </w:tc>
        <w:tc>
          <w:tcPr>
            <w:tcW w:w="7128" w:type="dxa"/>
            <w:shd w:val="clear" w:color="auto" w:fill="auto"/>
            <w:vAlign w:val="center"/>
          </w:tcPr>
          <w:p>
            <w:pPr>
              <w:spacing w:line="276" w:lineRule="auto"/>
              <w:jc w:val="both"/>
              <w:rPr>
                <w:color w:val="000000" w:themeColor="text1"/>
                <w:szCs w:val="21"/>
                <w:lang w:val="en-US" w:eastAsia="zh-CN"/>
              </w:rPr>
            </w:pPr>
            <w:r>
              <w:rPr>
                <w:color w:val="000000" w:themeColor="text1"/>
                <w:szCs w:val="21"/>
                <w:lang w:eastAsia="zh-CN"/>
              </w:rPr>
              <w:t>设备的形式尺寸应符合制造商说明书及技术文件规定的要求。</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eastAsia="zh-CN"/>
              </w:rPr>
            </w:pPr>
            <w:r>
              <w:rPr>
                <w:color w:val="000000" w:themeColor="text1"/>
                <w:szCs w:val="21"/>
                <w:lang w:eastAsia="zh-CN"/>
              </w:rPr>
              <w:t>供应商必须给出设备选型方案及相应附件选型方案，并交给我公司使用部门及工程类部门审核。</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2" w:edGrp="everyone"/>
          </w:p>
        </w:tc>
        <w:tc>
          <w:tcPr>
            <w:tcW w:w="7128" w:type="dxa"/>
            <w:shd w:val="clear" w:color="auto" w:fill="auto"/>
            <w:vAlign w:val="center"/>
          </w:tcPr>
          <w:p>
            <w:pPr>
              <w:spacing w:line="276" w:lineRule="auto"/>
              <w:jc w:val="both"/>
              <w:rPr>
                <w:color w:val="000000" w:themeColor="text1"/>
                <w:szCs w:val="21"/>
                <w:lang w:eastAsia="zh-CN"/>
              </w:rPr>
            </w:pPr>
            <w:r>
              <w:rPr>
                <w:rFonts w:hint="eastAsia"/>
                <w:color w:val="000000" w:themeColor="text1"/>
                <w:szCs w:val="21"/>
                <w:lang w:eastAsia="zh-CN"/>
              </w:rPr>
              <w:t>设备</w:t>
            </w:r>
            <w:r>
              <w:rPr>
                <w:color w:val="000000" w:themeColor="text1"/>
                <w:szCs w:val="21"/>
                <w:lang w:eastAsia="zh-CN"/>
              </w:rPr>
              <w:t>重量不高于地面承重</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ind w:left="426"/>
              <w:rPr>
                <w:szCs w:val="21"/>
              </w:rPr>
            </w:pPr>
            <w:permStart w:id="13" w:edGrp="everyone"/>
          </w:p>
        </w:tc>
        <w:tc>
          <w:tcPr>
            <w:tcW w:w="9253" w:type="dxa"/>
            <w:gridSpan w:val="2"/>
            <w:shd w:val="clear" w:color="auto" w:fill="auto"/>
            <w:vAlign w:val="center"/>
          </w:tcPr>
          <w:p>
            <w:pPr>
              <w:jc w:val="both"/>
              <w:rPr>
                <w:szCs w:val="21"/>
                <w:lang w:eastAsia="zh-CN"/>
              </w:rPr>
            </w:pPr>
            <w:r>
              <w:rPr>
                <w:rFonts w:hint="eastAsia"/>
                <w:szCs w:val="21"/>
                <w:lang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4" w:edGrp="everyone"/>
          </w:p>
        </w:tc>
        <w:tc>
          <w:tcPr>
            <w:tcW w:w="7128" w:type="dxa"/>
            <w:shd w:val="clear" w:color="auto" w:fill="auto"/>
            <w:vAlign w:val="center"/>
          </w:tcPr>
          <w:p>
            <w:pPr>
              <w:spacing w:line="276" w:lineRule="auto"/>
              <w:jc w:val="both"/>
              <w:rPr>
                <w:color w:val="000000" w:themeColor="text1"/>
                <w:szCs w:val="21"/>
                <w:lang w:eastAsia="zh-CN"/>
              </w:rPr>
            </w:pPr>
            <w:r>
              <w:rPr>
                <w:color w:val="000000" w:themeColor="text1"/>
                <w:lang w:eastAsia="zh-CN"/>
              </w:rPr>
              <w:t>工作环境温度：能适应10</w:t>
            </w:r>
            <w:r>
              <w:rPr>
                <w:rFonts w:hint="eastAsia" w:ascii="宋体" w:hAnsi="宋体" w:cs="宋体"/>
                <w:color w:val="000000" w:themeColor="text1"/>
                <w:lang w:eastAsia="zh-CN"/>
              </w:rPr>
              <w:t>℃</w:t>
            </w:r>
            <w:r>
              <w:rPr>
                <w:color w:val="000000" w:themeColor="text1"/>
                <w:lang w:eastAsia="zh-CN"/>
              </w:rPr>
              <w:t>～32</w:t>
            </w:r>
            <w:r>
              <w:rPr>
                <w:rFonts w:hint="eastAsia" w:ascii="宋体" w:hAnsi="宋体" w:cs="宋体"/>
                <w:color w:val="000000" w:themeColor="text1"/>
                <w:lang w:eastAsia="zh-CN"/>
              </w:rPr>
              <w:t>℃</w:t>
            </w:r>
            <w:r>
              <w:rPr>
                <w:color w:val="000000" w:themeColor="text1"/>
                <w:lang w:eastAsia="zh-CN"/>
              </w:rPr>
              <w:t>环境</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5" w:edGrp="everyone"/>
          </w:p>
        </w:tc>
        <w:tc>
          <w:tcPr>
            <w:tcW w:w="7128" w:type="dxa"/>
            <w:shd w:val="clear" w:color="auto" w:fill="auto"/>
            <w:vAlign w:val="center"/>
          </w:tcPr>
          <w:p>
            <w:pPr>
              <w:spacing w:line="276" w:lineRule="auto"/>
              <w:jc w:val="both"/>
              <w:rPr>
                <w:color w:val="000000" w:themeColor="text1"/>
                <w:szCs w:val="21"/>
                <w:lang w:eastAsia="zh-CN"/>
              </w:rPr>
            </w:pPr>
            <w:r>
              <w:rPr>
                <w:color w:val="000000" w:themeColor="text1"/>
                <w:lang w:eastAsia="zh-CN"/>
              </w:rPr>
              <w:t>工作环境湿度：至少包括</w:t>
            </w:r>
            <w:r>
              <w:rPr>
                <w:rFonts w:hint="eastAsia"/>
                <w:color w:val="000000" w:themeColor="text1"/>
                <w:lang w:eastAsia="zh-CN"/>
              </w:rPr>
              <w:t>10</w:t>
            </w:r>
            <w:r>
              <w:rPr>
                <w:color w:val="000000" w:themeColor="text1"/>
                <w:lang w:eastAsia="zh-CN"/>
              </w:rPr>
              <w:t>%～</w:t>
            </w:r>
            <w:r>
              <w:rPr>
                <w:rFonts w:hint="eastAsia"/>
                <w:color w:val="000000" w:themeColor="text1"/>
                <w:lang w:eastAsia="zh-CN"/>
              </w:rPr>
              <w:t>90</w:t>
            </w:r>
            <w:r>
              <w:rPr>
                <w:color w:val="000000" w:themeColor="text1"/>
                <w:lang w:eastAsia="zh-CN"/>
              </w:rPr>
              <w:t>%</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6" w:edGrp="everyone"/>
          </w:p>
        </w:tc>
        <w:tc>
          <w:tcPr>
            <w:tcW w:w="7128" w:type="dxa"/>
            <w:shd w:val="clear" w:color="auto" w:fill="auto"/>
            <w:vAlign w:val="center"/>
          </w:tcPr>
          <w:p>
            <w:pPr>
              <w:spacing w:line="276" w:lineRule="auto"/>
              <w:jc w:val="both"/>
              <w:rPr>
                <w:color w:val="000000"/>
                <w:lang w:eastAsia="zh-CN"/>
              </w:rPr>
            </w:pPr>
            <w:r>
              <w:rPr>
                <w:color w:val="000000"/>
                <w:lang w:eastAsia="zh-CN"/>
              </w:rPr>
              <w:t>工作环境洁净级别：</w:t>
            </w:r>
            <w:r>
              <w:rPr>
                <w:i/>
                <w:color w:val="0070C0"/>
                <w:lang w:eastAsia="zh-CN"/>
              </w:rPr>
              <w:t xml:space="preserve"> </w:t>
            </w:r>
            <w:r>
              <w:rPr>
                <w:color w:val="000000" w:themeColor="text1"/>
                <w:lang w:eastAsia="zh-CN"/>
              </w:rPr>
              <w:t>C级</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7" w:edGrp="everyone"/>
          </w:p>
        </w:tc>
        <w:tc>
          <w:tcPr>
            <w:tcW w:w="7128" w:type="dxa"/>
            <w:shd w:val="clear" w:color="auto" w:fill="auto"/>
            <w:vAlign w:val="center"/>
          </w:tcPr>
          <w:p>
            <w:pPr>
              <w:spacing w:line="276" w:lineRule="auto"/>
              <w:jc w:val="both"/>
              <w:rPr>
                <w:color w:val="000000"/>
                <w:lang w:eastAsia="zh-CN"/>
              </w:rPr>
            </w:pPr>
            <w:r>
              <w:rPr>
                <w:color w:val="000000"/>
                <w:lang w:eastAsia="zh-CN"/>
              </w:rPr>
              <w:t>交流电电源：</w:t>
            </w:r>
            <w:r>
              <w:rPr>
                <w:color w:val="000000" w:themeColor="text1"/>
                <w:lang w:eastAsia="zh-CN"/>
              </w:rPr>
              <w:t>～220±10%V，50±1Hz</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8" w:edGrp="everyone"/>
          </w:p>
        </w:tc>
        <w:tc>
          <w:tcPr>
            <w:tcW w:w="7128" w:type="dxa"/>
            <w:shd w:val="clear" w:color="auto" w:fill="auto"/>
            <w:vAlign w:val="center"/>
          </w:tcPr>
          <w:p>
            <w:pPr>
              <w:spacing w:line="276" w:lineRule="auto"/>
              <w:jc w:val="both"/>
              <w:rPr>
                <w:color w:val="000000" w:themeColor="text1"/>
                <w:lang w:eastAsia="zh-CN"/>
              </w:rPr>
            </w:pPr>
            <w:r>
              <w:rPr>
                <w:rFonts w:hint="eastAsia"/>
                <w:color w:val="000000" w:themeColor="text1"/>
                <w:lang w:eastAsia="zh-CN"/>
              </w:rPr>
              <w:t>秤体304不锈钢材质，表面玻璃珠喷丸处理，称重显示仪表外壳为304不锈钢材质</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lang w:eastAsia="zh-CN"/>
              </w:rPr>
            </w:pPr>
            <w:r>
              <w:rPr>
                <w:rFonts w:hint="eastAsia" w:hAnsi="宋体" w:cs="Arial"/>
                <w:color w:val="000000"/>
                <w:lang w:eastAsia="zh-CN"/>
              </w:rPr>
              <w:t>秤体无卫生死角，便于清洁。</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eastAsia="zh-CN"/>
              </w:rPr>
            </w:pPr>
            <w:r>
              <w:rPr>
                <w:color w:val="000000" w:themeColor="text1"/>
                <w:szCs w:val="21"/>
                <w:lang w:val="en-US" w:eastAsia="zh-CN"/>
              </w:rPr>
              <w:t>标识</w:t>
            </w:r>
            <w:r>
              <w:rPr>
                <w:color w:val="000000" w:themeColor="text1"/>
                <w:szCs w:val="21"/>
                <w:lang w:eastAsia="zh-CN"/>
              </w:rPr>
              <w:t xml:space="preserve">：至少应有以下永久贴牢和清楚易认的标识： </w:t>
            </w:r>
          </w:p>
          <w:p>
            <w:pPr>
              <w:spacing w:line="276" w:lineRule="auto"/>
              <w:jc w:val="both"/>
              <w:rPr>
                <w:color w:val="000000" w:themeColor="text1"/>
                <w:szCs w:val="21"/>
                <w:lang w:eastAsia="zh-CN"/>
              </w:rPr>
            </w:pPr>
            <w:r>
              <w:rPr>
                <w:color w:val="000000" w:themeColor="text1"/>
                <w:szCs w:val="21"/>
                <w:lang w:eastAsia="zh-CN"/>
              </w:rPr>
              <w:t>（1）制造/供应单位；</w:t>
            </w:r>
          </w:p>
          <w:p>
            <w:pPr>
              <w:spacing w:line="276" w:lineRule="auto"/>
              <w:jc w:val="both"/>
              <w:rPr>
                <w:color w:val="000000" w:themeColor="text1"/>
                <w:szCs w:val="21"/>
                <w:lang w:eastAsia="zh-CN"/>
              </w:rPr>
            </w:pPr>
            <w:r>
              <w:rPr>
                <w:color w:val="000000" w:themeColor="text1"/>
                <w:szCs w:val="21"/>
                <w:lang w:eastAsia="zh-CN"/>
              </w:rPr>
              <w:t>（2）产品注册号；</w:t>
            </w:r>
          </w:p>
          <w:p>
            <w:pPr>
              <w:spacing w:line="276" w:lineRule="auto"/>
              <w:jc w:val="both"/>
              <w:rPr>
                <w:color w:val="000000" w:themeColor="text1"/>
                <w:szCs w:val="21"/>
                <w:lang w:eastAsia="zh-CN"/>
              </w:rPr>
            </w:pPr>
            <w:r>
              <w:rPr>
                <w:color w:val="000000" w:themeColor="text1"/>
                <w:szCs w:val="21"/>
                <w:lang w:eastAsia="zh-CN"/>
              </w:rPr>
              <w:t>（3）型号；</w:t>
            </w:r>
          </w:p>
          <w:p>
            <w:pPr>
              <w:spacing w:line="276" w:lineRule="auto"/>
              <w:jc w:val="both"/>
              <w:rPr>
                <w:color w:val="000000" w:themeColor="text1"/>
                <w:szCs w:val="21"/>
                <w:lang w:eastAsia="zh-CN"/>
              </w:rPr>
            </w:pPr>
            <w:r>
              <w:rPr>
                <w:color w:val="000000" w:themeColor="text1"/>
                <w:szCs w:val="21"/>
                <w:lang w:eastAsia="zh-CN"/>
              </w:rPr>
              <w:t>（4）生产日期或编号；</w:t>
            </w:r>
          </w:p>
          <w:p>
            <w:pPr>
              <w:spacing w:line="276" w:lineRule="auto"/>
              <w:jc w:val="both"/>
              <w:rPr>
                <w:color w:val="000000" w:themeColor="text1"/>
                <w:szCs w:val="21"/>
                <w:lang w:eastAsia="zh-CN"/>
              </w:rPr>
            </w:pPr>
            <w:r>
              <w:rPr>
                <w:color w:val="000000" w:themeColor="text1"/>
                <w:szCs w:val="21"/>
                <w:lang w:eastAsia="zh-CN"/>
              </w:rPr>
              <w:t>（5）对设备必要的说明；</w:t>
            </w:r>
          </w:p>
          <w:p>
            <w:pPr>
              <w:pStyle w:val="7"/>
              <w:spacing w:line="276" w:lineRule="auto"/>
              <w:rPr>
                <w:color w:val="0070C0"/>
                <w:sz w:val="21"/>
                <w:szCs w:val="21"/>
                <w:lang w:eastAsia="zh-CN"/>
              </w:rPr>
            </w:pPr>
            <w:r>
              <w:rPr>
                <w:color w:val="000000" w:themeColor="text1"/>
                <w:sz w:val="21"/>
                <w:szCs w:val="21"/>
              </w:rPr>
              <w:t>（</w:t>
            </w:r>
            <w:r>
              <w:rPr>
                <w:color w:val="000000" w:themeColor="text1"/>
                <w:sz w:val="21"/>
                <w:szCs w:val="21"/>
                <w:lang w:eastAsia="zh-CN"/>
              </w:rPr>
              <w:t>6</w:t>
            </w:r>
            <w:r>
              <w:rPr>
                <w:color w:val="000000" w:themeColor="text1"/>
                <w:sz w:val="21"/>
                <w:szCs w:val="21"/>
              </w:rPr>
              <w:t>）安全标识。</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bookmarkEnd w:id="23"/>
      <w:bookmarkEnd w:id="24"/>
      <w:permEnd w:id="18"/>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5" w:name="_Toc522716121"/>
      <w:bookmarkStart w:id="26" w:name="_Toc522107740"/>
      <w:r>
        <w:rPr>
          <w:rFonts w:ascii="Times New Roman" w:hAnsi="Times New Roman"/>
          <w:b/>
        </w:rPr>
        <w:t>运行要求</w:t>
      </w:r>
      <w:bookmarkEnd w:id="25"/>
      <w:bookmarkEnd w:id="26"/>
    </w:p>
    <w:p>
      <w:pPr>
        <w:pStyle w:val="41"/>
        <w:spacing w:before="0" w:line="360" w:lineRule="auto"/>
        <w:jc w:val="left"/>
        <w:rPr>
          <w:bCs/>
          <w:i/>
          <w:color w:val="4472C4"/>
          <w:kern w:val="44"/>
          <w:szCs w:val="21"/>
          <w:lang w:eastAsia="zh-CN"/>
        </w:rPr>
      </w:pPr>
      <w:permStart w:id="19" w:edGrp="everyone"/>
    </w:p>
    <w:permEnd w:id="19"/>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0" w:edGrp="everyone"/>
          </w:p>
        </w:tc>
        <w:tc>
          <w:tcPr>
            <w:tcW w:w="7128" w:type="dxa"/>
            <w:shd w:val="clear" w:color="auto" w:fill="auto"/>
            <w:vAlign w:val="center"/>
          </w:tcPr>
          <w:p>
            <w:pPr>
              <w:spacing w:line="276" w:lineRule="auto"/>
              <w:jc w:val="both"/>
              <w:rPr>
                <w:szCs w:val="21"/>
                <w:lang w:eastAsia="zh-CN"/>
              </w:rPr>
            </w:pPr>
            <w:r>
              <w:rPr>
                <w:rFonts w:hint="eastAsia" w:hAnsi="宋体" w:cs="Arial"/>
                <w:color w:val="000000"/>
              </w:rPr>
              <w:t>Ⅲ级秤，容量</w:t>
            </w:r>
            <w:r>
              <w:rPr>
                <w:rFonts w:hint="eastAsia" w:hAnsi="宋体" w:cs="Arial"/>
                <w:color w:val="000000"/>
                <w:lang w:val="en-US" w:eastAsia="zh-CN"/>
              </w:rPr>
              <w:t>5</w:t>
            </w:r>
            <w:r>
              <w:rPr>
                <w:rFonts w:hAnsi="宋体" w:cs="Arial"/>
                <w:color w:val="000000"/>
              </w:rPr>
              <w:t>00kg</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firstLine="0" w:firstLineChars="0"/>
              <w:rPr>
                <w:rFonts w:ascii="Times New Roman" w:hAnsi="Times New Roman"/>
                <w:szCs w:val="21"/>
              </w:rPr>
            </w:pPr>
            <w:permStart w:id="21" w:edGrp="everyone"/>
          </w:p>
        </w:tc>
        <w:tc>
          <w:tcPr>
            <w:tcW w:w="9253" w:type="dxa"/>
            <w:gridSpan w:val="2"/>
            <w:shd w:val="clear" w:color="auto" w:fill="auto"/>
            <w:vAlign w:val="center"/>
          </w:tcPr>
          <w:p>
            <w:pPr>
              <w:jc w:val="both"/>
              <w:rPr>
                <w:szCs w:val="21"/>
                <w:lang w:eastAsia="zh-CN"/>
              </w:rPr>
            </w:pPr>
            <w:r>
              <w:rPr>
                <w:rFonts w:hint="eastAsia"/>
                <w:szCs w:val="21"/>
                <w:lang w:eastAsia="zh-CN"/>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2" w:edGrp="everyone"/>
          </w:p>
        </w:tc>
        <w:tc>
          <w:tcPr>
            <w:tcW w:w="7128" w:type="dxa"/>
            <w:shd w:val="clear" w:color="auto" w:fill="auto"/>
            <w:vAlign w:val="center"/>
          </w:tcPr>
          <w:p>
            <w:pPr>
              <w:spacing w:line="276" w:lineRule="auto"/>
              <w:jc w:val="both"/>
              <w:rPr>
                <w:szCs w:val="21"/>
                <w:lang w:eastAsia="zh-CN"/>
              </w:rPr>
            </w:pPr>
            <w:r>
              <w:rPr>
                <w:szCs w:val="24"/>
                <w:lang w:val="it-IT" w:eastAsia="it-IT"/>
              </w:rPr>
              <w:t>设备整体包括</w:t>
            </w:r>
            <w:r>
              <w:rPr>
                <w:rFonts w:hint="eastAsia"/>
                <w:szCs w:val="24"/>
                <w:lang w:val="it-IT" w:eastAsia="zh-CN"/>
              </w:rPr>
              <w:t>：</w:t>
            </w:r>
            <w:r>
              <w:rPr>
                <w:szCs w:val="24"/>
                <w:lang w:val="it-IT" w:eastAsia="it-IT"/>
              </w:rPr>
              <w:t>304</w:t>
            </w:r>
            <w:r>
              <w:rPr>
                <w:rFonts w:hint="eastAsia"/>
                <w:szCs w:val="24"/>
                <w:lang w:val="it-IT" w:eastAsia="it-IT"/>
              </w:rPr>
              <w:t>全不锈钢秤台、超短不锈钢引坡</w:t>
            </w:r>
            <w:r>
              <w:rPr>
                <w:rFonts w:hint="eastAsia"/>
                <w:szCs w:val="24"/>
                <w:lang w:eastAsia="zh-CN"/>
              </w:rPr>
              <w:t>、</w:t>
            </w:r>
            <w:r>
              <w:rPr>
                <w:rFonts w:hint="eastAsia"/>
                <w:szCs w:val="24"/>
                <w:lang w:val="it-IT" w:eastAsia="it-IT"/>
              </w:rPr>
              <w:t>四只全不锈钢传感器及一只不锈钢接线盒、一根信号电缆、一只不锈钢称重显示仪表。</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Ansi="宋体" w:cs="Arial"/>
                <w:color w:val="000000"/>
                <w:lang w:eastAsia="zh-CN"/>
              </w:rPr>
            </w:pPr>
            <w:r>
              <w:rPr>
                <w:rFonts w:hint="eastAsia" w:hAnsi="宋体" w:cs="Arial"/>
                <w:color w:val="000000"/>
                <w:lang w:eastAsia="zh-CN"/>
              </w:rPr>
              <w:t>秤台高度：</w:t>
            </w:r>
            <w:r>
              <w:rPr>
                <w:rFonts w:hint="eastAsia" w:hAnsi="宋体" w:cs="Arial"/>
                <w:color w:val="000000"/>
                <w:lang w:val="en-US" w:eastAsia="zh-CN"/>
              </w:rPr>
              <w:t>45</w:t>
            </w:r>
            <w:r>
              <w:rPr>
                <w:rFonts w:hAnsi="宋体" w:cs="Arial"/>
                <w:color w:val="000000"/>
                <w:lang w:eastAsia="zh-CN"/>
              </w:rPr>
              <w:t>mm</w:t>
            </w:r>
            <w:r>
              <w:rPr>
                <w:rFonts w:hint="eastAsia" w:hAnsi="宋体" w:cs="Arial"/>
                <w:color w:val="000000"/>
                <w:lang w:eastAsia="zh-CN"/>
              </w:rPr>
              <w:t>，易于称量物上秤及下秤。</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Ansi="宋体" w:cs="Arial"/>
                <w:color w:val="000000"/>
                <w:lang w:eastAsia="zh-CN"/>
              </w:rPr>
            </w:pPr>
            <w:r>
              <w:rPr>
                <w:rFonts w:hint="eastAsia" w:hAnsi="宋体" w:cs="Arial"/>
                <w:color w:val="000000"/>
                <w:lang w:eastAsia="zh-CN"/>
              </w:rPr>
              <w:t>承重范围不低于500kg，检定分度值0.1kg。</w:t>
            </w:r>
          </w:p>
        </w:tc>
        <w:tc>
          <w:tcPr>
            <w:tcW w:w="2125" w:type="dxa"/>
            <w:shd w:val="clear" w:color="auto" w:fill="auto"/>
            <w:vAlign w:val="center"/>
          </w:tcPr>
          <w:p>
            <w:pPr>
              <w:jc w:val="both"/>
              <w:rPr>
                <w:color w:val="000000" w:themeColor="text1"/>
                <w:szCs w:val="21"/>
                <w:lang w:eastAsia="zh-CN"/>
              </w:rPr>
            </w:pPr>
            <w:r>
              <w:rPr>
                <w:color w:val="000000" w:themeColor="text1"/>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3" w:edGrp="everyone"/>
          </w:p>
        </w:tc>
        <w:tc>
          <w:tcPr>
            <w:tcW w:w="7128" w:type="dxa"/>
            <w:shd w:val="clear" w:color="auto" w:fill="auto"/>
            <w:vAlign w:val="center"/>
          </w:tcPr>
          <w:p>
            <w:pPr>
              <w:spacing w:line="276" w:lineRule="auto"/>
              <w:jc w:val="both"/>
              <w:rPr>
                <w:szCs w:val="21"/>
                <w:lang w:val="en-US" w:eastAsia="zh-CN"/>
              </w:rPr>
            </w:pPr>
            <w:r>
              <w:rPr>
                <w:szCs w:val="21"/>
                <w:lang w:val="en-US" w:eastAsia="zh-CN"/>
              </w:rPr>
              <w:t>台秤显示屏</w:t>
            </w:r>
            <w:r>
              <w:rPr>
                <w:rFonts w:hint="eastAsia" w:hAnsi="宋体" w:cs="Arial"/>
                <w:color w:val="000000"/>
                <w:lang w:eastAsia="zh-CN"/>
              </w:rPr>
              <w:t>具有</w:t>
            </w:r>
            <w:r>
              <w:rPr>
                <w:rFonts w:hAnsi="宋体" w:cs="Arial"/>
                <w:color w:val="000000"/>
                <w:lang w:eastAsia="zh-CN"/>
              </w:rPr>
              <w:t>防水、耐用的压电式键盘</w:t>
            </w:r>
            <w:r>
              <w:rPr>
                <w:rFonts w:hint="eastAsia" w:hAnsi="宋体" w:cs="Arial"/>
                <w:color w:val="000000"/>
                <w:lang w:eastAsia="zh-CN"/>
              </w:rPr>
              <w:t>。</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rFonts w:hAnsi="宋体" w:cs="Arial"/>
                <w:color w:val="000000"/>
                <w:lang w:eastAsia="zh-CN"/>
              </w:rPr>
            </w:pPr>
            <w:r>
              <w:rPr>
                <w:rFonts w:hint="eastAsia" w:hAnsi="宋体" w:cs="Arial"/>
                <w:color w:val="000000"/>
                <w:lang w:val="en-US" w:eastAsia="zh-CN"/>
              </w:rPr>
              <w:t>显示屏为</w:t>
            </w:r>
            <w:r>
              <w:rPr>
                <w:rFonts w:hint="eastAsia" w:hAnsi="宋体" w:cs="Arial"/>
                <w:color w:val="000000"/>
                <w:lang w:eastAsia="zh-CN"/>
              </w:rPr>
              <w:t>带背光的</w:t>
            </w:r>
            <w:r>
              <w:rPr>
                <w:rFonts w:hAnsi="宋体" w:cs="Arial"/>
                <w:color w:val="000000"/>
                <w:lang w:eastAsia="zh-CN"/>
              </w:rPr>
              <w:t>LCD</w:t>
            </w:r>
            <w:r>
              <w:rPr>
                <w:rFonts w:hint="eastAsia" w:hAnsi="宋体" w:cs="Arial"/>
                <w:color w:val="000000"/>
                <w:lang w:eastAsia="zh-CN"/>
              </w:rPr>
              <w:t>显示屏，像素：不低于</w:t>
            </w:r>
            <w:r>
              <w:rPr>
                <w:rFonts w:hAnsi="宋体" w:cs="Arial"/>
                <w:color w:val="000000"/>
                <w:lang w:eastAsia="zh-CN"/>
              </w:rPr>
              <w:t>240x96</w:t>
            </w:r>
            <w:r>
              <w:rPr>
                <w:rFonts w:hint="eastAsia" w:hAnsi="宋体" w:cs="Arial"/>
                <w:color w:val="000000"/>
                <w:lang w:eastAsia="zh-CN"/>
              </w:rPr>
              <w:t>，支持中文显示。</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rFonts w:hAnsi="宋体" w:cs="Arial"/>
                <w:color w:val="000000"/>
                <w:lang w:eastAsia="zh-CN"/>
              </w:rPr>
            </w:pPr>
            <w:r>
              <w:rPr>
                <w:rFonts w:hint="eastAsia" w:hAnsi="宋体" w:cs="Arial"/>
                <w:color w:val="000000"/>
              </w:rPr>
              <w:t>含一个R</w:t>
            </w:r>
            <w:r>
              <w:rPr>
                <w:rFonts w:hAnsi="宋体" w:cs="Arial"/>
                <w:color w:val="000000"/>
              </w:rPr>
              <w:t>S232</w:t>
            </w:r>
            <w:r>
              <w:rPr>
                <w:rFonts w:hint="eastAsia" w:hAnsi="宋体" w:cs="Arial"/>
                <w:color w:val="000000"/>
                <w:lang w:eastAsia="zh-CN"/>
              </w:rPr>
              <w:t>/</w:t>
            </w:r>
            <w:r>
              <w:rPr>
                <w:rFonts w:hint="eastAsia" w:hAnsi="宋体" w:cs="Arial"/>
                <w:color w:val="000000"/>
              </w:rPr>
              <w:t xml:space="preserve"> R</w:t>
            </w:r>
            <w:r>
              <w:rPr>
                <w:rFonts w:hAnsi="宋体" w:cs="Arial"/>
                <w:color w:val="000000"/>
              </w:rPr>
              <w:t>S485</w:t>
            </w:r>
            <w:r>
              <w:rPr>
                <w:rFonts w:hint="eastAsia" w:hAnsi="宋体" w:cs="Arial"/>
                <w:color w:val="000000"/>
              </w:rPr>
              <w:t>接口、以太网</w:t>
            </w:r>
            <w:r>
              <w:rPr>
                <w:rFonts w:hAnsi="宋体" w:cs="Arial"/>
                <w:color w:val="000000"/>
              </w:rPr>
              <w:t xml:space="preserve"> TCP/IP</w:t>
            </w:r>
            <w:r>
              <w:rPr>
                <w:rFonts w:hint="eastAsia" w:hAnsi="宋体" w:cs="Arial"/>
                <w:color w:val="000000"/>
              </w:rPr>
              <w:t>，</w:t>
            </w:r>
            <w:r>
              <w:rPr>
                <w:rFonts w:hAnsi="宋体" w:cs="Arial"/>
                <w:color w:val="000000"/>
              </w:rPr>
              <w:t>WiFi</w:t>
            </w:r>
            <w:r>
              <w:rPr>
                <w:rFonts w:hint="eastAsia" w:hAnsi="宋体" w:cs="Arial"/>
                <w:color w:val="000000"/>
                <w:lang w:eastAsia="zh-CN"/>
              </w:rPr>
              <w:t>等通信接口。</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hAnsi="宋体" w:cs="Arial"/>
                <w:color w:val="000000"/>
                <w:lang w:eastAsia="zh-CN"/>
              </w:rPr>
              <w:t>具备中文显示、</w:t>
            </w:r>
            <w:r>
              <w:rPr>
                <w:rFonts w:hint="eastAsia" w:hAnsi="宋体" w:cs="Arial"/>
                <w:color w:val="000000"/>
                <w:lang w:val="en-US" w:eastAsia="zh-CN"/>
              </w:rPr>
              <w:t>中文</w:t>
            </w:r>
            <w:r>
              <w:rPr>
                <w:rFonts w:hint="eastAsia" w:hAnsi="宋体" w:cs="Arial"/>
                <w:color w:val="000000"/>
                <w:lang w:eastAsia="zh-CN"/>
              </w:rPr>
              <w:t>输入及</w:t>
            </w:r>
            <w:r>
              <w:rPr>
                <w:rFonts w:hint="eastAsia" w:hAnsi="宋体" w:cs="Arial"/>
                <w:color w:val="000000"/>
                <w:lang w:val="en-US" w:eastAsia="zh-CN"/>
              </w:rPr>
              <w:t>中文</w:t>
            </w:r>
            <w:r>
              <w:rPr>
                <w:rFonts w:hint="eastAsia" w:hAnsi="宋体" w:cs="Arial"/>
                <w:color w:val="000000"/>
                <w:lang w:eastAsia="zh-CN"/>
              </w:rPr>
              <w:t>打印功能。</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hAnsi="宋体" w:cs="Arial"/>
                <w:color w:val="000000"/>
                <w:lang w:eastAsia="zh-CN"/>
              </w:rPr>
              <w:t>防护等级：秤体防护等级不低于</w:t>
            </w:r>
            <w:r>
              <w:rPr>
                <w:rFonts w:hAnsi="宋体" w:cs="Arial"/>
                <w:color w:val="000000"/>
                <w:lang w:eastAsia="zh-CN"/>
              </w:rPr>
              <w:t>IP68</w:t>
            </w:r>
            <w:r>
              <w:rPr>
                <w:rFonts w:hint="eastAsia" w:hAnsi="宋体" w:cs="Arial"/>
                <w:color w:val="000000"/>
                <w:lang w:eastAsia="zh-CN"/>
              </w:rPr>
              <w:t>，仪表防护等级不低于I</w:t>
            </w:r>
            <w:r>
              <w:rPr>
                <w:rFonts w:hAnsi="宋体" w:cs="Arial"/>
                <w:color w:val="000000"/>
                <w:lang w:eastAsia="zh-CN"/>
              </w:rPr>
              <w:t>P66</w:t>
            </w:r>
            <w:r>
              <w:rPr>
                <w:rFonts w:hint="eastAsia" w:hAnsi="宋体" w:cs="Arial"/>
                <w:color w:val="000000"/>
                <w:lang w:eastAsia="zh-CN"/>
              </w:rPr>
              <w:t>。</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Ansi="宋体" w:cs="Arial"/>
                <w:color w:val="000000"/>
                <w:lang w:eastAsia="zh-CN"/>
              </w:rPr>
            </w:pPr>
            <w:r>
              <w:rPr>
                <w:rFonts w:hint="eastAsia" w:hAnsi="宋体" w:cs="Arial"/>
                <w:color w:val="000000"/>
                <w:lang w:eastAsia="zh-CN"/>
              </w:rPr>
              <w:t>结构形式：超低台面，方便清洁，易于</w:t>
            </w:r>
            <w:r>
              <w:rPr>
                <w:rFonts w:hint="eastAsia" w:hAnsi="宋体" w:cs="Arial"/>
                <w:color w:val="000000"/>
                <w:lang w:val="en-US" w:eastAsia="zh-CN"/>
              </w:rPr>
              <w:t>推车上秤</w:t>
            </w:r>
            <w:r>
              <w:rPr>
                <w:rFonts w:hint="eastAsia" w:hAnsi="宋体" w:cs="Arial"/>
                <w:color w:val="000000"/>
                <w:lang w:eastAsia="zh-CN"/>
              </w:rPr>
              <w:t>，具备自动复位传力装置。</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Ansi="宋体" w:cs="Arial"/>
                <w:color w:val="000000"/>
                <w:lang w:eastAsia="zh-CN"/>
              </w:rPr>
            </w:pPr>
            <w:r>
              <w:rPr>
                <w:rFonts w:hint="eastAsia" w:hAnsi="宋体" w:cs="Arial"/>
                <w:color w:val="000000"/>
                <w:lang w:eastAsia="zh-CN"/>
              </w:rPr>
              <w:t>传感器及接线盒防护等级：全不锈钢传感器的防护等级不低于</w:t>
            </w:r>
            <w:r>
              <w:rPr>
                <w:rFonts w:hAnsi="宋体" w:cs="Arial"/>
                <w:color w:val="000000"/>
                <w:lang w:eastAsia="zh-CN"/>
              </w:rPr>
              <w:t>IP68</w:t>
            </w:r>
            <w:r>
              <w:rPr>
                <w:rFonts w:hint="eastAsia" w:hAnsi="宋体" w:cs="Arial"/>
                <w:color w:val="000000"/>
                <w:lang w:eastAsia="zh-CN"/>
              </w:rPr>
              <w:t>；不锈钢接线盒的防护等级不低于</w:t>
            </w:r>
            <w:r>
              <w:rPr>
                <w:rFonts w:hAnsi="宋体" w:cs="Arial"/>
                <w:color w:val="000000"/>
                <w:lang w:eastAsia="zh-CN"/>
              </w:rPr>
              <w:t>IP68</w:t>
            </w:r>
            <w:r>
              <w:rPr>
                <w:rFonts w:hint="eastAsia" w:hAnsi="宋体" w:cs="Arial"/>
                <w:color w:val="000000"/>
                <w:lang w:eastAsia="zh-CN"/>
              </w:rPr>
              <w:t>。</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Ansi="宋体" w:cs="Arial"/>
                <w:color w:val="000000"/>
                <w:lang w:eastAsia="zh-CN"/>
              </w:rPr>
            </w:pPr>
            <w:r>
              <w:rPr>
                <w:rFonts w:hint="eastAsia" w:hAnsi="宋体" w:cs="Arial"/>
                <w:color w:val="000000"/>
                <w:lang w:eastAsia="zh-CN"/>
              </w:rPr>
              <w:t>秤体强度：秤体通过第三方不低于</w:t>
            </w:r>
            <w:r>
              <w:rPr>
                <w:rFonts w:hAnsi="宋体" w:cs="Arial"/>
                <w:color w:val="000000"/>
                <w:lang w:eastAsia="zh-CN"/>
              </w:rPr>
              <w:t>80</w:t>
            </w:r>
            <w:r>
              <w:rPr>
                <w:rFonts w:hint="eastAsia" w:hAnsi="宋体" w:cs="Arial"/>
                <w:color w:val="000000"/>
                <w:lang w:eastAsia="zh-CN"/>
              </w:rPr>
              <w:t>万次疲劳测试认证，并能提供证书或报告。</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firstLine="0" w:firstLineChars="0"/>
              <w:rPr>
                <w:rFonts w:ascii="Times New Roman" w:hAnsi="Times New Roman"/>
                <w:szCs w:val="21"/>
              </w:rPr>
            </w:pPr>
            <w:permStart w:id="24" w:edGrp="everyone"/>
          </w:p>
        </w:tc>
        <w:tc>
          <w:tcPr>
            <w:tcW w:w="9253" w:type="dxa"/>
            <w:gridSpan w:val="2"/>
            <w:shd w:val="clear" w:color="auto" w:fill="auto"/>
            <w:vAlign w:val="center"/>
          </w:tcPr>
          <w:p>
            <w:pPr>
              <w:jc w:val="both"/>
              <w:rPr>
                <w:szCs w:val="21"/>
                <w:lang w:eastAsia="zh-CN"/>
              </w:rPr>
            </w:pPr>
            <w:r>
              <w:rPr>
                <w:rFonts w:hint="eastAsia"/>
                <w:szCs w:val="21"/>
                <w:lang w:eastAsia="zh-CN"/>
              </w:rPr>
              <w:t>N/A</w:t>
            </w:r>
          </w:p>
        </w:tc>
      </w:tr>
      <w:permEnd w:id="24"/>
    </w:tbl>
    <w:p>
      <w:pPr>
        <w:pStyle w:val="31"/>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2359946"/>
      <w:bookmarkStart w:id="30" w:name="_Toc481702480"/>
      <w:bookmarkStart w:id="31" w:name="_Toc482360291"/>
      <w:bookmarkStart w:id="32" w:name="_Toc482370359"/>
      <w:bookmarkStart w:id="33" w:name="_Toc483227237"/>
      <w:bookmarkStart w:id="34" w:name="_Toc483400317"/>
      <w:bookmarkStart w:id="35" w:name="_Toc482369815"/>
      <w:bookmarkStart w:id="36" w:name="_Toc482370071"/>
      <w:bookmarkStart w:id="37" w:name="_Toc482370151"/>
      <w:bookmarkStart w:id="38" w:name="_Toc482370767"/>
      <w:bookmarkStart w:id="39" w:name="_Toc482625289"/>
      <w:bookmarkStart w:id="40" w:name="_Toc482717202"/>
      <w:r>
        <w:rPr>
          <w:rFonts w:ascii="Times New Roman" w:hAnsi="Times New Roman"/>
          <w:b/>
        </w:rPr>
        <w:t>电气、自动控制要求</w:t>
      </w:r>
      <w:bookmarkEnd w:id="27"/>
    </w:p>
    <w:p>
      <w:pPr>
        <w:pStyle w:val="41"/>
        <w:spacing w:before="0" w:line="360" w:lineRule="auto"/>
        <w:jc w:val="left"/>
        <w:rPr>
          <w:i/>
          <w:color w:val="4472C4"/>
          <w:szCs w:val="21"/>
          <w:lang w:eastAsia="zh-CN"/>
        </w:rPr>
      </w:pPr>
      <w:permStart w:id="25" w:edGrp="everyone"/>
    </w:p>
    <w:permEnd w:id="25"/>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firstLine="0" w:firstLineChars="0"/>
              <w:rPr>
                <w:rFonts w:ascii="Times New Roman" w:hAnsi="Times New Roman"/>
                <w:szCs w:val="21"/>
              </w:rPr>
            </w:pPr>
            <w:permStart w:id="26" w:edGrp="everyone"/>
          </w:p>
        </w:tc>
        <w:tc>
          <w:tcPr>
            <w:tcW w:w="9253" w:type="dxa"/>
            <w:gridSpan w:val="2"/>
            <w:shd w:val="clear" w:color="auto" w:fill="auto"/>
            <w:vAlign w:val="center"/>
          </w:tcPr>
          <w:p>
            <w:pPr>
              <w:jc w:val="both"/>
              <w:rPr>
                <w:szCs w:val="21"/>
                <w:lang w:eastAsia="zh-CN"/>
              </w:rPr>
            </w:pPr>
            <w:r>
              <w:rPr>
                <w:rFonts w:hint="eastAsia"/>
                <w:szCs w:val="21"/>
                <w:lang w:eastAsia="zh-CN"/>
              </w:rPr>
              <w:t>N/A</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firstLine="0" w:firstLineChars="0"/>
              <w:rPr>
                <w:rFonts w:ascii="Times New Roman" w:hAnsi="Times New Roman"/>
                <w:szCs w:val="21"/>
              </w:rPr>
            </w:pPr>
            <w:permStart w:id="27" w:edGrp="everyone"/>
          </w:p>
        </w:tc>
        <w:tc>
          <w:tcPr>
            <w:tcW w:w="9253" w:type="dxa"/>
            <w:gridSpan w:val="2"/>
            <w:shd w:val="clear" w:color="auto" w:fill="auto"/>
            <w:vAlign w:val="center"/>
          </w:tcPr>
          <w:p>
            <w:pPr>
              <w:jc w:val="both"/>
              <w:rPr>
                <w:szCs w:val="21"/>
                <w:lang w:eastAsia="zh-CN"/>
              </w:rPr>
            </w:pPr>
            <w:r>
              <w:rPr>
                <w:rFonts w:hint="eastAsia"/>
                <w:szCs w:val="21"/>
                <w:lang w:eastAsia="zh-CN"/>
              </w:rPr>
              <w:t>N/A</w:t>
            </w:r>
          </w:p>
        </w:tc>
      </w:tr>
      <w:permEnd w:id="27"/>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p>
      <w:pPr>
        <w:pStyle w:val="41"/>
        <w:spacing w:before="0" w:line="360" w:lineRule="auto"/>
        <w:ind w:left="357"/>
        <w:jc w:val="left"/>
        <w:rPr>
          <w:i/>
          <w:color w:val="4472C4"/>
          <w:szCs w:val="21"/>
          <w:lang w:eastAsia="zh-CN"/>
        </w:rPr>
      </w:pPr>
      <w:permStart w:id="28" w:edGrp="everyone"/>
    </w:p>
    <w:permEnd w:id="28"/>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9" w:edGrp="everyone"/>
          </w:p>
        </w:tc>
        <w:tc>
          <w:tcPr>
            <w:tcW w:w="7128" w:type="dxa"/>
            <w:shd w:val="clear" w:color="auto" w:fill="auto"/>
            <w:vAlign w:val="center"/>
          </w:tcPr>
          <w:p>
            <w:pPr>
              <w:spacing w:line="276" w:lineRule="auto"/>
              <w:jc w:val="both"/>
              <w:rPr>
                <w:szCs w:val="21"/>
                <w:lang w:eastAsia="zh-CN"/>
              </w:rPr>
            </w:pPr>
            <w:r>
              <w:rPr>
                <w:rFonts w:hint="eastAsia"/>
                <w:lang w:val="en-US" w:eastAsia="zh-CN"/>
              </w:rPr>
              <w:t>电器部分有过载保护的能力。</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lang w:val="en-US" w:eastAsia="zh-CN"/>
              </w:rPr>
              <w:t>承载物超重时，仪表界面有超载和欠载报警提示。</w:t>
            </w:r>
          </w:p>
        </w:tc>
        <w:tc>
          <w:tcPr>
            <w:tcW w:w="2125" w:type="dxa"/>
            <w:shd w:val="clear" w:color="auto" w:fill="auto"/>
            <w:vAlign w:val="center"/>
          </w:tcPr>
          <w:p>
            <w:pPr>
              <w:jc w:val="both"/>
              <w:rPr>
                <w:szCs w:val="21"/>
                <w:lang w:eastAsia="zh-CN"/>
              </w:rPr>
            </w:pPr>
            <w:r>
              <w:rPr>
                <w:szCs w:val="21"/>
                <w:lang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0" w:edGrp="everyone"/>
          </w:p>
        </w:tc>
        <w:tc>
          <w:tcPr>
            <w:tcW w:w="7128" w:type="dxa"/>
            <w:shd w:val="clear" w:color="auto" w:fill="auto"/>
            <w:vAlign w:val="center"/>
          </w:tcPr>
          <w:p>
            <w:pPr>
              <w:jc w:val="both"/>
              <w:rPr>
                <w:szCs w:val="21"/>
                <w:lang w:eastAsia="zh-CN"/>
              </w:rPr>
            </w:pPr>
            <w:r>
              <w:rPr>
                <w:rFonts w:hAnsi="宋体" w:cs="Arial"/>
                <w:color w:val="000000"/>
                <w:lang w:eastAsia="zh-CN"/>
              </w:rPr>
              <w:t>所有电气设备的电线和电缆必须依据IEC标准</w:t>
            </w:r>
            <w:r>
              <w:rPr>
                <w:rFonts w:hint="eastAsia" w:hAnsi="宋体" w:cs="Arial"/>
                <w:color w:val="000000"/>
                <w:lang w:eastAsia="zh-CN"/>
              </w:rPr>
              <w:t>。</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permEnd w:id="30"/>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2" w:name="_Toc522107743"/>
      <w:bookmarkStart w:id="43" w:name="_Toc522716124"/>
      <w:r>
        <w:rPr>
          <w:rFonts w:ascii="Times New Roman" w:hAnsi="Times New Roman"/>
          <w:b/>
        </w:rPr>
        <w:t>文件要求</w:t>
      </w:r>
      <w:bookmarkEnd w:id="42"/>
      <w:bookmarkEnd w:id="43"/>
    </w:p>
    <w:p>
      <w:pPr>
        <w:pStyle w:val="41"/>
        <w:spacing w:before="0" w:line="360" w:lineRule="auto"/>
        <w:jc w:val="left"/>
        <w:rPr>
          <w:i/>
          <w:szCs w:val="21"/>
          <w:lang w:eastAsia="zh-CN"/>
        </w:rPr>
      </w:pPr>
      <w:permStart w:id="31" w:edGrp="everyone"/>
    </w:p>
    <w:permEnd w:id="31"/>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2" w:edGrp="everyone"/>
          </w:p>
        </w:tc>
        <w:tc>
          <w:tcPr>
            <w:tcW w:w="7128" w:type="dxa"/>
            <w:shd w:val="clear" w:color="auto" w:fill="auto"/>
            <w:vAlign w:val="center"/>
          </w:tcPr>
          <w:p>
            <w:pPr>
              <w:jc w:val="both"/>
              <w:rPr>
                <w:szCs w:val="21"/>
                <w:lang w:eastAsia="zh-CN"/>
              </w:rPr>
            </w:pPr>
            <w:r>
              <w:rPr>
                <w:rFonts w:hint="eastAsia" w:ascii="宋体" w:hAnsi="宋体"/>
                <w:szCs w:val="21"/>
                <w:lang w:eastAsia="zh-CN"/>
              </w:rPr>
              <w:t>投标文件、合同及订单。提交</w:t>
            </w:r>
            <w:r>
              <w:rPr>
                <w:rFonts w:ascii="宋体" w:hAnsi="宋体"/>
                <w:szCs w:val="21"/>
                <w:lang w:eastAsia="zh-CN"/>
              </w:rPr>
              <w:t>时限</w:t>
            </w:r>
            <w:r>
              <w:rPr>
                <w:rFonts w:hint="eastAsia" w:ascii="宋体" w:hAnsi="宋体"/>
                <w:szCs w:val="21"/>
                <w:lang w:eastAsia="zh-CN"/>
              </w:rPr>
              <w:t>:设备开箱验收</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hAnsi="宋体" w:cs="Arial"/>
                <w:color w:val="000000"/>
                <w:lang w:eastAsia="zh-CN"/>
              </w:rPr>
              <w:t>图纸：设备尺寸图、设备的电气原理图、设备电气连接图、设备技术参数表。</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:设备开箱验收</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hAnsi="宋体" w:cs="Arial"/>
                <w:color w:val="000000"/>
                <w:lang w:eastAsia="zh-CN"/>
              </w:rPr>
              <w:t>设备部件清单。</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:设备开箱验收</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hAnsi="宋体" w:cs="Arial"/>
                <w:color w:val="000000"/>
                <w:lang w:eastAsia="zh-CN"/>
              </w:rPr>
              <w:t>设备的材质证明书、设备标定证明书。</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:设备开箱验收</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hAnsi="宋体" w:cs="Arial"/>
                <w:color w:val="000000"/>
                <w:lang w:eastAsia="zh-CN"/>
              </w:rPr>
              <w:t>设备清单、设备合格证、设备的验证批准日期。</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:设备开箱验收</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hAnsi="宋体" w:cs="Arial"/>
                <w:color w:val="000000"/>
                <w:lang w:eastAsia="zh-CN"/>
              </w:rPr>
              <w:t>设备标准操作规程、设备操作的安全注意事项说明书。</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:设备开箱验收</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hAnsi="宋体" w:cs="Arial"/>
                <w:color w:val="000000"/>
                <w:lang w:eastAsia="zh-CN"/>
              </w:rPr>
              <w:t>设备预防性维护保养、设备日常维护保养，</w:t>
            </w:r>
            <w:r>
              <w:rPr>
                <w:rFonts w:hAnsi="宋体" w:cs="Arial"/>
                <w:color w:val="000000"/>
                <w:lang w:eastAsia="zh-CN"/>
              </w:rPr>
              <w:t xml:space="preserve"> 使用</w:t>
            </w:r>
            <w:r>
              <w:rPr>
                <w:rFonts w:hint="eastAsia" w:hAnsi="宋体" w:cs="Arial"/>
                <w:color w:val="000000"/>
                <w:lang w:eastAsia="zh-CN"/>
              </w:rPr>
              <w:t>维护手册，翻译为中文。</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:设备开箱验收</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Ansi="宋体" w:cs="Arial"/>
                <w:color w:val="000000"/>
                <w:lang w:eastAsia="zh-CN"/>
              </w:rPr>
            </w:pPr>
            <w:r>
              <w:rPr>
                <w:rFonts w:hint="eastAsia" w:hAnsi="宋体" w:cs="Arial"/>
                <w:color w:val="000000"/>
                <w:lang w:eastAsia="zh-CN"/>
              </w:rPr>
              <w:t>整秤（秤体及仪表等）CPA型式批准证书。</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:设备开箱验收</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Ansi="宋体" w:cs="Arial"/>
                <w:color w:val="000000"/>
                <w:lang w:eastAsia="zh-CN"/>
              </w:rPr>
            </w:pPr>
            <w:r>
              <w:rPr>
                <w:rFonts w:hint="eastAsia" w:hAnsi="宋体" w:cs="Arial"/>
                <w:color w:val="000000"/>
                <w:lang w:eastAsia="zh-CN"/>
              </w:rPr>
              <w:t>第三方计量证书。提交时限： IQ开始前</w:t>
            </w:r>
          </w:p>
        </w:tc>
        <w:tc>
          <w:tcPr>
            <w:tcW w:w="2125" w:type="dxa"/>
            <w:shd w:val="clear" w:color="auto" w:fill="auto"/>
            <w:vAlign w:val="center"/>
          </w:tcPr>
          <w:p>
            <w:pPr>
              <w:jc w:val="both"/>
              <w:rPr>
                <w:color w:val="000000" w:themeColor="text1"/>
                <w:szCs w:val="21"/>
                <w:lang w:eastAsia="zh-CN"/>
              </w:rPr>
            </w:pPr>
            <w:r>
              <w:rPr>
                <w:color w:val="000000" w:themeColor="text1"/>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3" w:edGrp="everyone"/>
          </w:p>
        </w:tc>
        <w:tc>
          <w:tcPr>
            <w:tcW w:w="7128" w:type="dxa"/>
            <w:shd w:val="clear" w:color="auto" w:fill="auto"/>
            <w:vAlign w:val="center"/>
          </w:tcPr>
          <w:p>
            <w:pPr>
              <w:jc w:val="both"/>
              <w:rPr>
                <w:szCs w:val="21"/>
                <w:lang w:eastAsia="zh-CN"/>
              </w:rPr>
            </w:pPr>
            <w:r>
              <w:rPr>
                <w:rFonts w:hint="eastAsia" w:hAnsi="宋体" w:cs="Arial"/>
                <w:color w:val="000000"/>
                <w:lang w:eastAsia="zh-CN"/>
              </w:rPr>
              <w:t>制造商需提供所有部件的材质的可追溯性。所有的图纸及文件需有项目号及订单号。所有的文件为中文或英文版，所有的单位及尺寸为国际单位制</w:t>
            </w:r>
            <w:r>
              <w:rPr>
                <w:rFonts w:hAnsi="宋体" w:cs="Arial"/>
                <w:color w:val="000000"/>
                <w:lang w:eastAsia="zh-CN"/>
              </w:rPr>
              <w:t>。</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360" w:lineRule="auto"/>
              <w:rPr>
                <w:rFonts w:hint="eastAsia" w:ascii="宋体" w:hAnsi="宋体" w:cs="Arial"/>
                <w:color w:val="000000"/>
                <w:szCs w:val="21"/>
                <w:lang w:eastAsia="zh-CN"/>
              </w:rPr>
            </w:pPr>
            <w:r>
              <w:rPr>
                <w:rFonts w:hint="eastAsia" w:ascii="宋体" w:hAnsi="宋体" w:cs="Arial"/>
                <w:color w:val="000000"/>
                <w:szCs w:val="21"/>
                <w:lang w:eastAsia="zh-CN"/>
              </w:rPr>
              <w:t>验证文件：</w:t>
            </w:r>
          </w:p>
          <w:p>
            <w:pPr>
              <w:spacing w:line="360" w:lineRule="auto"/>
              <w:rPr>
                <w:rFonts w:hint="eastAsia" w:ascii="宋体" w:hAnsi="宋体" w:cs="Arial"/>
                <w:color w:val="000000"/>
                <w:szCs w:val="21"/>
                <w:lang w:eastAsia="zh-CN"/>
              </w:rPr>
            </w:pPr>
            <w:r>
              <w:rPr>
                <w:rFonts w:hint="eastAsia" w:ascii="宋体" w:hAnsi="宋体" w:cs="Arial"/>
                <w:color w:val="000000"/>
                <w:szCs w:val="21"/>
                <w:lang w:eastAsia="zh-CN"/>
              </w:rPr>
              <w:t>a) 安装确认及文件（IQ）；</w:t>
            </w:r>
          </w:p>
          <w:p>
            <w:pPr>
              <w:spacing w:line="360" w:lineRule="auto"/>
              <w:rPr>
                <w:rFonts w:hint="eastAsia" w:ascii="宋体" w:hAnsi="宋体" w:cs="Arial"/>
                <w:color w:val="000000"/>
                <w:szCs w:val="21"/>
                <w:lang w:eastAsia="zh-CN"/>
              </w:rPr>
            </w:pPr>
            <w:r>
              <w:rPr>
                <w:rFonts w:hint="eastAsia" w:ascii="宋体" w:hAnsi="宋体" w:cs="Arial"/>
                <w:color w:val="000000"/>
                <w:szCs w:val="21"/>
                <w:lang w:eastAsia="zh-CN"/>
              </w:rPr>
              <w:t>b) 运行确认及文件（OQ）；</w:t>
            </w:r>
          </w:p>
          <w:p>
            <w:pPr>
              <w:spacing w:line="360" w:lineRule="auto"/>
              <w:rPr>
                <w:rFonts w:hint="eastAsia" w:ascii="宋体" w:hAnsi="宋体" w:cs="Arial"/>
                <w:color w:val="000000"/>
                <w:szCs w:val="21"/>
                <w:lang w:eastAsia="zh-CN"/>
              </w:rPr>
            </w:pPr>
            <w:r>
              <w:rPr>
                <w:rFonts w:hint="eastAsia" w:ascii="宋体" w:hAnsi="宋体" w:cs="Arial"/>
                <w:color w:val="000000"/>
                <w:szCs w:val="21"/>
                <w:lang w:eastAsia="zh-CN"/>
              </w:rPr>
              <w:t>c) 性能确认及文件（PQ）；</w:t>
            </w:r>
          </w:p>
          <w:p>
            <w:pPr>
              <w:jc w:val="both"/>
              <w:rPr>
                <w:rFonts w:hAnsi="宋体" w:cs="Arial"/>
                <w:color w:val="000000"/>
                <w:lang w:eastAsia="zh-CN"/>
              </w:rPr>
            </w:pPr>
            <w:r>
              <w:rPr>
                <w:rFonts w:hint="eastAsia" w:ascii="宋体" w:hAnsi="宋体" w:cs="Arial"/>
                <w:color w:val="000000"/>
                <w:szCs w:val="21"/>
                <w:lang w:eastAsia="zh-CN"/>
              </w:rPr>
              <w:t>负责制定IQ/OQ/PQ验证文件并负责验证工作的实施，该验证文件作为设备必备文件。提交时限： IQ报告在OQ前提交，OQ报告在PQ前提交，PQ报告在设备最终验收交付前提交，所有方案在相应验证开始前完成审批。</w:t>
            </w:r>
          </w:p>
        </w:tc>
        <w:tc>
          <w:tcPr>
            <w:tcW w:w="2125" w:type="dxa"/>
            <w:shd w:val="clear" w:color="auto" w:fill="auto"/>
            <w:vAlign w:val="center"/>
          </w:tcPr>
          <w:p>
            <w:pPr>
              <w:jc w:val="both"/>
              <w:rPr>
                <w:color w:val="000000" w:themeColor="text1"/>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Ansi="宋体" w:cs="Arial"/>
                <w:color w:val="000000"/>
                <w:lang w:eastAsia="zh-CN"/>
              </w:rPr>
            </w:pPr>
            <w:r>
              <w:rPr>
                <w:rFonts w:hint="eastAsia" w:ascii="微软雅黑" w:hAnsi="微软雅黑" w:eastAsiaTheme="minorEastAsia"/>
                <w:color w:val="111111"/>
                <w:szCs w:val="21"/>
                <w:shd w:val="clear" w:color="auto" w:fill="FFFFFF"/>
                <w:lang w:eastAsia="zh-CN"/>
              </w:rPr>
              <w:t>上述条款规定的文件需提供电子版，并在设备开箱验收时将最终批准的电子版及纸质版全套资料交工程技术部存档。</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permEnd w:id="33"/>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p>
      <w:pPr>
        <w:pStyle w:val="41"/>
        <w:spacing w:before="0" w:line="360" w:lineRule="auto"/>
        <w:jc w:val="left"/>
        <w:rPr>
          <w:i/>
          <w:color w:val="4472C4"/>
          <w:szCs w:val="21"/>
          <w:lang w:eastAsia="zh-CN"/>
        </w:rPr>
      </w:pPr>
      <w:permStart w:id="34" w:edGrp="everyone"/>
    </w:p>
    <w:permEnd w:id="34"/>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5" w:edGrp="everyone"/>
          </w:p>
        </w:tc>
        <w:tc>
          <w:tcPr>
            <w:tcW w:w="7128" w:type="dxa"/>
            <w:shd w:val="clear" w:color="auto" w:fill="auto"/>
            <w:vAlign w:val="center"/>
          </w:tcPr>
          <w:p>
            <w:pPr>
              <w:spacing w:line="276" w:lineRule="auto"/>
              <w:jc w:val="both"/>
              <w:rPr>
                <w:color w:val="000000" w:themeColor="text1"/>
                <w:szCs w:val="21"/>
                <w:lang w:eastAsia="zh-CN"/>
              </w:rPr>
            </w:pPr>
            <w:r>
              <w:rPr>
                <w:color w:val="000000" w:themeColor="text1"/>
                <w:lang w:eastAsia="zh-CN"/>
              </w:rPr>
              <w:t>设备供应商应免费对设备使用方人员进行全面培训，包括对生产操作人员及设备维护、维修人员，并填写培训记录。</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6" w:edGrp="everyone"/>
          </w:p>
        </w:tc>
        <w:tc>
          <w:tcPr>
            <w:tcW w:w="7128" w:type="dxa"/>
            <w:shd w:val="clear" w:color="auto" w:fill="auto"/>
            <w:vAlign w:val="center"/>
          </w:tcPr>
          <w:p>
            <w:pPr>
              <w:spacing w:line="276" w:lineRule="auto"/>
              <w:jc w:val="both"/>
              <w:rPr>
                <w:color w:val="000000" w:themeColor="text1"/>
                <w:szCs w:val="21"/>
                <w:lang w:eastAsia="zh-CN"/>
              </w:rPr>
            </w:pPr>
            <w:r>
              <w:rPr>
                <w:color w:val="000000" w:themeColor="text1"/>
                <w:lang w:eastAsia="zh-CN"/>
              </w:rPr>
              <w:t>生产操作人员培训包括设备结构原理、性能、操作、清洗消毒、故障排除等基本</w:t>
            </w:r>
            <w:r>
              <w:rPr>
                <w:color w:val="000000" w:themeColor="text1"/>
                <w:szCs w:val="21"/>
                <w:lang w:eastAsia="zh-CN"/>
              </w:rPr>
              <w:t>知识</w:t>
            </w:r>
            <w:r>
              <w:rPr>
                <w:color w:val="000000" w:themeColor="text1"/>
                <w:lang w:eastAsia="zh-CN"/>
              </w:rPr>
              <w:t>。合格标准为用户参加培训人员能够独立正确操作设备，会排除常见故障。</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7" w:edGrp="everyone"/>
          </w:p>
        </w:tc>
        <w:tc>
          <w:tcPr>
            <w:tcW w:w="7128" w:type="dxa"/>
            <w:shd w:val="clear" w:color="auto" w:fill="auto"/>
            <w:vAlign w:val="center"/>
          </w:tcPr>
          <w:p>
            <w:pPr>
              <w:spacing w:line="276" w:lineRule="auto"/>
              <w:jc w:val="both"/>
              <w:rPr>
                <w:color w:val="000000" w:themeColor="text1"/>
                <w:lang w:eastAsia="zh-CN"/>
              </w:rPr>
            </w:pPr>
            <w:r>
              <w:rPr>
                <w:color w:val="000000" w:themeColor="text1"/>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8" w:edGrp="everyone"/>
          </w:p>
        </w:tc>
        <w:tc>
          <w:tcPr>
            <w:tcW w:w="7128" w:type="dxa"/>
            <w:shd w:val="clear" w:color="auto" w:fill="auto"/>
            <w:vAlign w:val="center"/>
          </w:tcPr>
          <w:p>
            <w:pPr>
              <w:spacing w:line="276" w:lineRule="auto"/>
              <w:jc w:val="both"/>
              <w:rPr>
                <w:color w:val="000000" w:themeColor="text1"/>
                <w:szCs w:val="21"/>
                <w:lang w:eastAsia="zh-CN"/>
              </w:rPr>
            </w:pPr>
            <w:r>
              <w:rPr>
                <w:color w:val="000000" w:themeColor="text1"/>
                <w:lang w:eastAsia="zh-CN"/>
              </w:rPr>
              <w:t>设备运输在运输途中需做好防护措施，不得有任何损伤。</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9"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验证包括PQ、IQ、OQ文件与服务，供应商必须派出具备该类系统验证经验，且熟悉验证相关文件编写及验证工作实施的验证工程师开展验证工作。供应商协助完成PQ。</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szCs w:val="21"/>
                <w:lang w:eastAsia="zh-CN"/>
              </w:rPr>
            </w:pPr>
            <w:r>
              <w:rPr>
                <w:rFonts w:hint="eastAsia" w:ascii="宋体" w:hAnsi="宋体"/>
                <w:szCs w:val="21"/>
                <w:lang w:eastAsia="zh-CN"/>
              </w:rPr>
              <w:t>各验证工作开始前验证方案需经过本公司相关部门审核，并经质量保证部批准。</w:t>
            </w:r>
          </w:p>
        </w:tc>
        <w:tc>
          <w:tcPr>
            <w:tcW w:w="2125" w:type="dxa"/>
            <w:shd w:val="clear" w:color="auto" w:fill="auto"/>
            <w:vAlign w:val="center"/>
          </w:tcPr>
          <w:p>
            <w:pPr>
              <w:jc w:val="both"/>
              <w:rPr>
                <w:color w:val="000000" w:themeColor="text1"/>
                <w:szCs w:val="21"/>
                <w:lang w:eastAsia="zh-CN"/>
              </w:rPr>
            </w:pPr>
            <w:r>
              <w:rPr>
                <w:color w:val="000000" w:themeColor="text1"/>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0" w:edGrp="everyone"/>
          </w:p>
        </w:tc>
        <w:tc>
          <w:tcPr>
            <w:tcW w:w="7128" w:type="dxa"/>
            <w:shd w:val="clear" w:color="auto" w:fill="auto"/>
            <w:vAlign w:val="center"/>
          </w:tcPr>
          <w:p>
            <w:pPr>
              <w:spacing w:line="276" w:lineRule="auto"/>
              <w:jc w:val="both"/>
              <w:rPr>
                <w:szCs w:val="21"/>
                <w:lang w:eastAsia="zh-CN"/>
              </w:rPr>
            </w:pPr>
            <w:r>
              <w:rPr>
                <w:rFonts w:hint="eastAsia" w:ascii="宋体" w:hAnsi="宋体"/>
                <w:szCs w:val="21"/>
                <w:lang w:eastAsia="zh-CN"/>
              </w:rPr>
              <w:t>验证工作应按时保质完成，供应商需提供验证工作计划表。</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szCs w:val="21"/>
                <w:lang w:eastAsia="zh-CN"/>
              </w:rPr>
            </w:pPr>
            <w:r>
              <w:rPr>
                <w:rFonts w:hint="eastAsia" w:ascii="宋体" w:hAnsi="宋体"/>
                <w:szCs w:val="21"/>
                <w:lang w:eastAsia="zh-CN"/>
              </w:rPr>
              <w:t>验证项目应包含法规要求的测试项目，以及本公司提出的测试项目。</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szCs w:val="21"/>
                <w:lang w:eastAsia="zh-CN"/>
              </w:rPr>
            </w:pPr>
            <w:r>
              <w:rPr>
                <w:rFonts w:hint="eastAsia" w:ascii="宋体" w:hAnsi="宋体"/>
                <w:szCs w:val="21"/>
                <w:lang w:eastAsia="zh-CN"/>
              </w:rPr>
              <w:t>验证工作完成后，验证记录经本公司相关部门审核，并经质量保证部批准。</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szCs w:val="21"/>
                <w:lang w:eastAsia="zh-CN"/>
              </w:rPr>
            </w:pPr>
            <w:r>
              <w:rPr>
                <w:rFonts w:hint="eastAsia" w:ascii="宋体" w:hAnsi="宋体"/>
                <w:szCs w:val="21"/>
                <w:lang w:eastAsia="zh-CN"/>
              </w:rPr>
              <w:t>验收前，验证工作已成功完成，验证最终报告已经本公司相关部门审核，并经质量保证部批准。</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1" w:edGrp="everyone"/>
          </w:p>
        </w:tc>
        <w:tc>
          <w:tcPr>
            <w:tcW w:w="7128" w:type="dxa"/>
            <w:shd w:val="clear" w:color="auto" w:fill="auto"/>
            <w:vAlign w:val="center"/>
          </w:tcPr>
          <w:p>
            <w:pPr>
              <w:spacing w:line="276" w:lineRule="auto"/>
              <w:jc w:val="both"/>
              <w:rPr>
                <w:szCs w:val="21"/>
                <w:lang w:eastAsia="zh-CN"/>
              </w:rPr>
            </w:pPr>
            <w:r>
              <w:rPr>
                <w:rFonts w:hAnsi="宋体" w:cs="Arial"/>
                <w:color w:val="000000"/>
                <w:lang w:eastAsia="zh-CN"/>
              </w:rPr>
              <w:t>供应商提供的所有货物的质保期至少为12个月（从最终验收调试合格之日起算）</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2" w:edGrp="everyone"/>
          </w:p>
        </w:tc>
        <w:tc>
          <w:tcPr>
            <w:tcW w:w="7128" w:type="dxa"/>
            <w:shd w:val="clear" w:color="auto" w:fill="auto"/>
            <w:vAlign w:val="center"/>
          </w:tcPr>
          <w:p>
            <w:pPr>
              <w:spacing w:line="276" w:lineRule="auto"/>
              <w:jc w:val="both"/>
              <w:rPr>
                <w:szCs w:val="21"/>
                <w:lang w:eastAsia="zh-CN"/>
              </w:rPr>
            </w:pPr>
            <w:r>
              <w:rPr>
                <w:rFonts w:hAnsi="宋体" w:cs="Arial"/>
                <w:color w:val="000000"/>
                <w:lang w:eastAsia="zh-CN"/>
              </w:rPr>
              <w:t>在质保期限内，合同中所供货物和工作内容在操作规程内出现任何问题，供应商负责无偿维修或更换。</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Ansi="宋体" w:cs="Arial"/>
                <w:color w:val="000000"/>
                <w:lang w:eastAsia="zh-CN"/>
              </w:rPr>
            </w:pPr>
            <w:r>
              <w:rPr>
                <w:rFonts w:hAnsi="宋体" w:cs="Arial"/>
                <w:color w:val="000000"/>
                <w:lang w:eastAsia="zh-CN"/>
              </w:rPr>
              <w:t>供应商在接到报修或故障电话后，24h内响应，保证期后应提供良好的售后服务。</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Ansi="宋体" w:cs="Arial"/>
                <w:color w:val="000000"/>
                <w:lang w:eastAsia="zh-CN"/>
              </w:rPr>
            </w:pPr>
            <w:r>
              <w:rPr>
                <w:rFonts w:hAnsi="宋体" w:cs="Arial"/>
                <w:color w:val="000000"/>
                <w:lang w:eastAsia="zh-CN"/>
              </w:rPr>
              <w:t>供应商提供设备的维护方案。</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3" w:edGrp="everyone"/>
          </w:p>
        </w:tc>
        <w:tc>
          <w:tcPr>
            <w:tcW w:w="7128" w:type="dxa"/>
            <w:shd w:val="clear" w:color="auto" w:fill="auto"/>
            <w:vAlign w:val="center"/>
          </w:tcPr>
          <w:p>
            <w:pPr>
              <w:spacing w:line="276" w:lineRule="auto"/>
              <w:jc w:val="both"/>
              <w:rPr>
                <w:szCs w:val="21"/>
                <w:lang w:eastAsia="zh-CN"/>
              </w:rPr>
            </w:pPr>
            <w:r>
              <w:rPr>
                <w:rFonts w:hint="eastAsia" w:ascii="宋体" w:hAnsi="宋体"/>
                <w:szCs w:val="21"/>
                <w:lang w:eastAsia="zh-CN"/>
              </w:rPr>
              <w:t>货物到达买方使用现场后，由买卖双方共同验收，卖方工程师免费为买方提供调试。</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4" w:edGrp="everyone"/>
          </w:p>
        </w:tc>
        <w:tc>
          <w:tcPr>
            <w:tcW w:w="7128" w:type="dxa"/>
            <w:shd w:val="clear" w:color="auto" w:fill="auto"/>
            <w:vAlign w:val="center"/>
          </w:tcPr>
          <w:p>
            <w:pPr>
              <w:spacing w:line="276" w:lineRule="auto"/>
              <w:jc w:val="both"/>
              <w:rPr>
                <w:szCs w:val="21"/>
                <w:lang w:eastAsia="zh-CN"/>
              </w:rPr>
            </w:pPr>
            <w:r>
              <w:rPr>
                <w:rFonts w:hint="eastAsia" w:ascii="宋体" w:hAnsi="宋体"/>
                <w:szCs w:val="21"/>
                <w:lang w:eastAsia="zh-CN"/>
              </w:rPr>
              <w:t>供应商进厂安装需遵守安全和安装规定。</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szCs w:val="21"/>
                <w:lang w:eastAsia="zh-CN"/>
              </w:rPr>
            </w:pPr>
            <w:r>
              <w:rPr>
                <w:rFonts w:hint="eastAsia" w:ascii="宋体" w:hAnsi="宋体"/>
                <w:szCs w:val="21"/>
                <w:lang w:eastAsia="zh-CN"/>
              </w:rPr>
              <w:t>确认并验证合格后，买卖双方签订验收报告。</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szCs w:val="21"/>
                <w:lang w:eastAsia="zh-CN"/>
              </w:rPr>
            </w:pPr>
            <w:r>
              <w:rPr>
                <w:rFonts w:hint="eastAsia" w:ascii="宋体" w:hAnsi="宋体"/>
                <w:szCs w:val="21"/>
                <w:lang w:eastAsia="zh-CN"/>
              </w:rPr>
              <w:t>确认验收合格应包含所有附件及备件。</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permEnd w:id="44"/>
    </w:tbl>
    <w:p/>
    <w:p>
      <w:pPr>
        <w:pStyle w:val="31"/>
        <w:numPr>
          <w:ilvl w:val="0"/>
          <w:numId w:val="3"/>
        </w:numPr>
        <w:spacing w:after="158" w:afterLines="50"/>
        <w:ind w:left="426" w:hanging="426" w:hangingChars="202"/>
        <w:outlineLvl w:val="0"/>
        <w:rPr>
          <w:rFonts w:ascii="Times New Roman" w:hAnsi="Times New Roman"/>
          <w:b/>
        </w:rPr>
      </w:pPr>
      <w:bookmarkStart w:id="45" w:name="_Toc522716126"/>
      <w:bookmarkStart w:id="46" w:name="_Toc52210774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41"/>
        <w:spacing w:before="0" w:line="360" w:lineRule="auto"/>
        <w:ind w:left="357"/>
        <w:jc w:val="left"/>
        <w:rPr>
          <w:color w:val="000000" w:themeColor="text1"/>
          <w:szCs w:val="21"/>
          <w:lang w:eastAsia="zh-CN"/>
        </w:rPr>
      </w:pPr>
      <w:permStart w:id="45" w:edGrp="everyone"/>
      <w:r>
        <w:rPr>
          <w:rFonts w:hint="eastAsia"/>
          <w:color w:val="000000" w:themeColor="text1"/>
          <w:szCs w:val="21"/>
          <w:lang w:eastAsia="zh-CN"/>
        </w:rPr>
        <w:t>不适用</w:t>
      </w:r>
      <w:permEnd w:id="45"/>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2"/>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0A82"/>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17C63"/>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4BBF"/>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24B2"/>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5F51"/>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2815"/>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44CA"/>
    <w:rsid w:val="005E65FA"/>
    <w:rsid w:val="005F19CE"/>
    <w:rsid w:val="005F28F4"/>
    <w:rsid w:val="005F2B60"/>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1F24"/>
    <w:rsid w:val="00693018"/>
    <w:rsid w:val="006A0059"/>
    <w:rsid w:val="006A7425"/>
    <w:rsid w:val="006B058A"/>
    <w:rsid w:val="006B1299"/>
    <w:rsid w:val="006B1DBF"/>
    <w:rsid w:val="006B26D9"/>
    <w:rsid w:val="006B310C"/>
    <w:rsid w:val="006B664C"/>
    <w:rsid w:val="006C1125"/>
    <w:rsid w:val="006C1C83"/>
    <w:rsid w:val="006C3E78"/>
    <w:rsid w:val="006C54E6"/>
    <w:rsid w:val="006C5762"/>
    <w:rsid w:val="006C690D"/>
    <w:rsid w:val="006D149F"/>
    <w:rsid w:val="006D1E9A"/>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83B"/>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21D6"/>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41E"/>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0902"/>
    <w:rsid w:val="008C1132"/>
    <w:rsid w:val="008C302A"/>
    <w:rsid w:val="008C3E42"/>
    <w:rsid w:val="008C4B72"/>
    <w:rsid w:val="008C5279"/>
    <w:rsid w:val="008C527D"/>
    <w:rsid w:val="008C5C9F"/>
    <w:rsid w:val="008C6773"/>
    <w:rsid w:val="008C72BB"/>
    <w:rsid w:val="008D140C"/>
    <w:rsid w:val="008D2BAE"/>
    <w:rsid w:val="008D2C9E"/>
    <w:rsid w:val="008D41F5"/>
    <w:rsid w:val="008D4B0C"/>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1A37"/>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3478"/>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1AE7"/>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3EE8"/>
    <w:rsid w:val="00B14F05"/>
    <w:rsid w:val="00B15D01"/>
    <w:rsid w:val="00B20EBF"/>
    <w:rsid w:val="00B24F44"/>
    <w:rsid w:val="00B25428"/>
    <w:rsid w:val="00B255BB"/>
    <w:rsid w:val="00B25E24"/>
    <w:rsid w:val="00B2609A"/>
    <w:rsid w:val="00B301B1"/>
    <w:rsid w:val="00B302C8"/>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571F"/>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3E87"/>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B79AE"/>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6A3"/>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446E"/>
    <w:rsid w:val="00F66036"/>
    <w:rsid w:val="00F6689D"/>
    <w:rsid w:val="00F67E23"/>
    <w:rsid w:val="00F71601"/>
    <w:rsid w:val="00F72C75"/>
    <w:rsid w:val="00F74033"/>
    <w:rsid w:val="00F759EB"/>
    <w:rsid w:val="00F772F7"/>
    <w:rsid w:val="00F81334"/>
    <w:rsid w:val="00F81A81"/>
    <w:rsid w:val="00F81CC5"/>
    <w:rsid w:val="00F8760D"/>
    <w:rsid w:val="00F87AAD"/>
    <w:rsid w:val="00F91472"/>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B1A"/>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6FC65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2"/>
    <w:semiHidden/>
    <w:uiPriority w:val="0"/>
  </w:style>
  <w:style w:type="paragraph" w:styleId="7">
    <w:name w:val="Body Text 3"/>
    <w:basedOn w:val="1"/>
    <w:uiPriority w:val="0"/>
    <w:pPr>
      <w:spacing w:after="120"/>
    </w:pPr>
    <w:rPr>
      <w:sz w:val="16"/>
      <w:szCs w:val="16"/>
    </w:rPr>
  </w:style>
  <w:style w:type="paragraph" w:styleId="8">
    <w:name w:val="Body Text"/>
    <w:basedOn w:val="1"/>
    <w:uiPriority w:val="0"/>
    <w:pPr>
      <w:ind w:right="56"/>
    </w:pPr>
    <w:rPr>
      <w:b/>
      <w:sz w:val="22"/>
    </w:rPr>
  </w:style>
  <w:style w:type="paragraph" w:styleId="9">
    <w:name w:val="Body Text Indent"/>
    <w:basedOn w:val="1"/>
    <w:uiPriority w:val="0"/>
    <w:pPr>
      <w:spacing w:after="120"/>
      <w:ind w:left="420" w:leftChars="200"/>
    </w:pPr>
  </w:style>
  <w:style w:type="paragraph" w:styleId="10">
    <w:name w:val="toc 3"/>
    <w:basedOn w:val="1"/>
    <w:next w:val="1"/>
    <w:uiPriority w:val="39"/>
    <w:pPr>
      <w:tabs>
        <w:tab w:val="right" w:leader="dot" w:pos="8302"/>
        <w:tab w:val="right" w:leader="dot" w:pos="8835"/>
      </w:tabs>
      <w:spacing w:line="360" w:lineRule="auto"/>
      <w:ind w:left="300" w:leftChars="300"/>
    </w:pPr>
    <w:rPr>
      <w:sz w:val="20"/>
    </w:rPr>
  </w:style>
  <w:style w:type="paragraph" w:styleId="11">
    <w:name w:val="Body Text Indent 2"/>
    <w:basedOn w:val="1"/>
    <w:uiPriority w:val="0"/>
    <w:pPr>
      <w:spacing w:after="120" w:line="480" w:lineRule="auto"/>
      <w:ind w:left="420" w:leftChars="200"/>
    </w:pPr>
  </w:style>
  <w:style w:type="paragraph" w:styleId="12">
    <w:name w:val="Balloon Text"/>
    <w:basedOn w:val="1"/>
    <w:semiHidden/>
    <w:uiPriority w:val="0"/>
    <w:rPr>
      <w:sz w:val="18"/>
      <w:szCs w:val="18"/>
    </w:rPr>
  </w:style>
  <w:style w:type="paragraph" w:styleId="13">
    <w:name w:val="footer"/>
    <w:basedOn w:val="1"/>
    <w:link w:val="34"/>
    <w:uiPriority w:val="99"/>
    <w:pPr>
      <w:tabs>
        <w:tab w:val="center" w:pos="4320"/>
        <w:tab w:val="right" w:pos="8640"/>
      </w:tabs>
    </w:pPr>
  </w:style>
  <w:style w:type="paragraph" w:styleId="14">
    <w:name w:val="header"/>
    <w:basedOn w:val="1"/>
    <w:link w:val="26"/>
    <w:uiPriority w:val="0"/>
    <w:pPr>
      <w:tabs>
        <w:tab w:val="center" w:pos="4320"/>
        <w:tab w:val="right" w:pos="8640"/>
      </w:tabs>
    </w:pPr>
  </w:style>
  <w:style w:type="paragraph" w:styleId="15">
    <w:name w:val="toc 1"/>
    <w:basedOn w:val="1"/>
    <w:next w:val="1"/>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uiPriority w:val="0"/>
    <w:rPr>
      <w:b/>
      <w:bCs/>
    </w:rPr>
  </w:style>
  <w:style w:type="table" w:styleId="20">
    <w:name w:val="Table Grid"/>
    <w:basedOn w:val="19"/>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uiPriority w:val="0"/>
  </w:style>
  <w:style w:type="character" w:styleId="23">
    <w:name w:val="Hyperlink"/>
    <w:uiPriority w:val="99"/>
    <w:rPr>
      <w:color w:val="0000FF"/>
      <w:u w:val="single"/>
    </w:rPr>
  </w:style>
  <w:style w:type="character" w:styleId="24">
    <w:name w:val="annotation reference"/>
    <w:semiHidden/>
    <w:uiPriority w:val="0"/>
    <w:rPr>
      <w:sz w:val="21"/>
      <w:szCs w:val="21"/>
    </w:rPr>
  </w:style>
  <w:style w:type="paragraph" w:customStyle="1" w:styleId="25">
    <w:name w:val="Table"/>
    <w:basedOn w:val="1"/>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Char2"/>
    <w:link w:val="14"/>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uiPriority w:val="0"/>
    <w:pPr>
      <w:overflowPunct/>
      <w:textAlignment w:val="auto"/>
    </w:pPr>
    <w:rPr>
      <w:rFonts w:ascii="Arial" w:hAnsi="Arial"/>
      <w:szCs w:val="24"/>
      <w:lang w:val="en-US"/>
    </w:rPr>
  </w:style>
  <w:style w:type="paragraph" w:customStyle="1" w:styleId="29">
    <w:name w:val="正文1"/>
    <w:basedOn w:val="1"/>
    <w:uiPriority w:val="0"/>
    <w:pPr>
      <w:overflowPunct/>
      <w:textAlignment w:val="auto"/>
    </w:pPr>
    <w:rPr>
      <w:rFonts w:ascii="Arial" w:hAnsi="Arial"/>
      <w:sz w:val="20"/>
      <w:lang w:val="en-US"/>
    </w:rPr>
  </w:style>
  <w:style w:type="paragraph" w:customStyle="1" w:styleId="30">
    <w:name w:val="Revision"/>
    <w:hidden/>
    <w:semiHidden/>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Char"/>
    <w:link w:val="6"/>
    <w:semiHidden/>
    <w:uiPriority w:val="0"/>
    <w:rPr>
      <w:sz w:val="24"/>
      <w:lang w:val="en-GB" w:eastAsia="en-US"/>
    </w:rPr>
  </w:style>
  <w:style w:type="paragraph" w:customStyle="1" w:styleId="33">
    <w:name w:val="TOC Heading"/>
    <w:basedOn w:val="2"/>
    <w:next w:val="1"/>
    <w:qFormat/>
    <w:uiPriority w:val="39"/>
    <w:pPr>
      <w:numPr>
        <w:numId w:val="0"/>
      </w:numPr>
      <w:outlineLvl w:val="9"/>
    </w:pPr>
  </w:style>
  <w:style w:type="character" w:customStyle="1" w:styleId="34">
    <w:name w:val="页脚 Char"/>
    <w:link w:val="13"/>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uiPriority w:val="0"/>
    <w:rPr>
      <w:rFonts w:ascii="Arial" w:hAnsi="Arial" w:eastAsia="PMingLiU"/>
      <w:color w:val="0070C0"/>
      <w:lang w:eastAsia="zh-TW"/>
    </w:rPr>
  </w:style>
  <w:style w:type="paragraph" w:customStyle="1" w:styleId="39">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locked/>
    <w:uiPriority w:val="0"/>
    <w:rPr>
      <w:sz w:val="24"/>
      <w:lang w:eastAsia="en-US"/>
    </w:rPr>
  </w:style>
  <w:style w:type="paragraph" w:customStyle="1" w:styleId="41">
    <w:name w:val="Text"/>
    <w:basedOn w:val="1"/>
    <w:link w:val="40"/>
    <w:uiPriority w:val="0"/>
    <w:pPr>
      <w:overflowPunct/>
      <w:autoSpaceDE/>
      <w:autoSpaceDN/>
      <w:adjustRightInd/>
      <w:spacing w:before="120"/>
      <w:jc w:val="both"/>
      <w:textAlignment w:val="auto"/>
    </w:pPr>
    <w:rPr>
      <w:lang w:val="en-US"/>
    </w:rPr>
  </w:style>
  <w:style w:type="character" w:customStyle="1" w:styleId="42">
    <w:name w:val="ordinary-span-edit2"/>
    <w:uiPriority w:val="0"/>
  </w:style>
  <w:style w:type="character" w:customStyle="1" w:styleId="43">
    <w:name w:val="apple-converted-space"/>
    <w:basedOn w:val="21"/>
    <w:uiPriority w:val="0"/>
  </w:style>
  <w:style w:type="character" w:customStyle="1" w:styleId="44">
    <w:name w:val="标题 Char"/>
    <w:link w:val="17"/>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locked/>
    <w:uiPriority w:val="0"/>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11</Pages>
  <Words>677</Words>
  <Characters>3862</Characters>
  <Lines>32</Lines>
  <Paragraphs>9</Paragraphs>
  <TotalTime>0</TotalTime>
  <ScaleCrop>false</ScaleCrop>
  <LinksUpToDate>false</LinksUpToDate>
  <CharactersWithSpaces>4530</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2022-09-06T01:56:00Z</dcterms:created>
  <dc:creator>Lilly</dc:creator>
  <cp:lastModifiedBy>汪洋</cp:lastModifiedBy>
  <cp:lastPrinted>2020-12-14T04:16:00Z</cp:lastPrinted>
  <dcterms:modified xsi:type="dcterms:W3CDTF">2022-12-13T06:48:43Z</dcterms:modified>
  <dc:title>生效期：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