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3227223"/>
      <w:bookmarkStart w:id="1" w:name="_Toc484532399"/>
      <w:bookmarkStart w:id="2" w:name="_Toc483400307"/>
      <w:bookmarkStart w:id="3" w:name="_Toc483666358"/>
      <w:bookmarkStart w:id="4" w:name="_Toc482717189"/>
    </w:p>
    <w:p>
      <w:pPr>
        <w:spacing w:afterLines="50"/>
        <w:jc w:val="center"/>
        <w:rPr>
          <w:rFonts w:hint="eastAsia" w:ascii="宋体" w:hAnsi="宋体"/>
          <w:b/>
          <w:sz w:val="28"/>
          <w:szCs w:val="28"/>
          <w:lang w:val="en-US" w:eastAsia="zh-CN"/>
        </w:rPr>
      </w:pPr>
      <w:permStart w:id="0" w:edGrp="everyone"/>
      <w:r>
        <w:rPr>
          <w:rFonts w:hint="eastAsia" w:ascii="宋体" w:hAnsi="宋体"/>
          <w:b/>
          <w:sz w:val="28"/>
          <w:szCs w:val="28"/>
          <w:lang w:val="en-US" w:eastAsia="zh-CN"/>
        </w:rPr>
        <w:t>武汉生物制品研究所有限责任公司流感疫苗楼流感病毒疫苗车间</w:t>
      </w:r>
    </w:p>
    <w:p>
      <w:pPr>
        <w:spacing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color w:val="4472C4"/>
          <w:sz w:val="28"/>
          <w:szCs w:val="28"/>
          <w:lang w:val="en-US" w:eastAsia="zh-CN"/>
        </w:rPr>
        <w:t>50L储液袋摇床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3"/>
        <w:keepNext w:val="0"/>
        <w:keepLines w:val="0"/>
        <w:widowControl w:val="0"/>
        <w:spacing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69805"/>
      <w:bookmarkStart w:id="9" w:name="_Toc482370061"/>
      <w:bookmarkStart w:id="10" w:name="_Toc482370757"/>
      <w:bookmarkStart w:id="11" w:name="_Toc482370349"/>
      <w:bookmarkStart w:id="12" w:name="_Toc482370141"/>
      <w:bookmarkStart w:id="13" w:name="_Toc481702475"/>
      <w:bookmarkStart w:id="14" w:name="_Toc482360281"/>
      <w:bookmarkStart w:id="15" w:name="_Toc482625279"/>
      <w:bookmarkStart w:id="16" w:name="_Toc482359936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i/>
          <w:color w:val="4472C4"/>
          <w:szCs w:val="21"/>
          <w:lang w:val="en-US" w:eastAsia="zh-CN"/>
        </w:rPr>
        <w:t>流感疫苗楼流感病毒疫苗车间50L储液袋摇床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i/>
          <w:color w:val="4472C4"/>
          <w:szCs w:val="21"/>
          <w:lang w:val="en-US" w:eastAsia="zh-CN"/>
        </w:rPr>
        <w:t>流感楼流感病毒疫苗车间4台50L储液袋摇床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716117"/>
      <w:bookmarkStart w:id="20" w:name="_Toc52210773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szCs w:val="21"/>
          <w:lang w:eastAsia="zh-CN"/>
        </w:rPr>
      </w:pPr>
      <w:permStart w:id="5" w:edGrp="everyone"/>
      <w:permEnd w:id="5"/>
      <w:r>
        <w:rPr>
          <w:rFonts w:hint="eastAsia"/>
          <w:szCs w:val="21"/>
          <w:lang w:eastAsia="zh-CN"/>
        </w:rPr>
        <w:t>中国药典20</w:t>
      </w:r>
      <w:r>
        <w:rPr>
          <w:rFonts w:hint="eastAsia"/>
          <w:szCs w:val="21"/>
          <w:lang w:val="en-US" w:eastAsia="zh-CN"/>
        </w:rPr>
        <w:t>20</w:t>
      </w:r>
      <w:r>
        <w:rPr>
          <w:rFonts w:hint="eastAsia"/>
          <w:szCs w:val="21"/>
          <w:lang w:eastAsia="zh-CN"/>
        </w:rPr>
        <w:t>版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  <w:t>《药品生产质量管理规范》（201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  <w:lang w:eastAsia="zh-CN"/>
        </w:rPr>
        <w:t>版）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《药品</w:t>
      </w:r>
      <w:r>
        <w:rPr>
          <w:szCs w:val="21"/>
          <w:lang w:eastAsia="zh-CN"/>
        </w:rPr>
        <w:t>GMP</w:t>
      </w:r>
      <w:r>
        <w:rPr>
          <w:rFonts w:hint="eastAsia"/>
          <w:szCs w:val="21"/>
          <w:lang w:eastAsia="zh-CN"/>
        </w:rPr>
        <w:t>指南》无菌药品</w:t>
      </w:r>
      <w:r>
        <w:rPr>
          <w:rFonts w:hint="eastAsia" w:ascii="宋体" w:hAnsi="宋体"/>
          <w:kern w:val="2"/>
          <w:szCs w:val="24"/>
          <w:lang w:eastAsia="zh-CN"/>
        </w:rPr>
        <w:t>（</w:t>
      </w:r>
      <w:r>
        <w:rPr>
          <w:rFonts w:ascii="宋体" w:hAnsi="宋体"/>
          <w:kern w:val="2"/>
          <w:szCs w:val="24"/>
          <w:lang w:eastAsia="zh-CN"/>
        </w:rPr>
        <w:t>2011</w:t>
      </w:r>
      <w:r>
        <w:rPr>
          <w:rFonts w:hint="eastAsia" w:ascii="宋体" w:hAnsi="宋体"/>
          <w:kern w:val="2"/>
          <w:szCs w:val="24"/>
          <w:lang w:eastAsia="zh-CN"/>
        </w:rPr>
        <w:t>版）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rFonts w:hint="eastAsia"/>
          <w:szCs w:val="21"/>
          <w:lang w:eastAsia="zh-CN"/>
        </w:rPr>
      </w:pPr>
      <w:r>
        <w:rPr>
          <w:kern w:val="2"/>
          <w:szCs w:val="24"/>
          <w:lang w:eastAsia="zh-CN"/>
        </w:rPr>
        <w:t>GMP</w:t>
      </w:r>
      <w:r>
        <w:rPr>
          <w:rFonts w:hint="eastAsia" w:ascii="宋体" w:hAnsi="宋体"/>
          <w:kern w:val="2"/>
          <w:szCs w:val="24"/>
          <w:lang w:eastAsia="zh-CN"/>
        </w:rPr>
        <w:t>附件</w:t>
      </w:r>
      <w:r>
        <w:rPr>
          <w:rFonts w:ascii="宋体" w:hAnsi="宋体"/>
          <w:kern w:val="2"/>
          <w:szCs w:val="24"/>
          <w:lang w:eastAsia="zh-CN"/>
        </w:rPr>
        <w:t>2</w:t>
      </w:r>
      <w:r>
        <w:rPr>
          <w:rFonts w:hint="eastAsia" w:ascii="宋体" w:hAnsi="宋体"/>
          <w:kern w:val="2"/>
          <w:szCs w:val="24"/>
          <w:lang w:eastAsia="zh-CN"/>
        </w:rPr>
        <w:t>《确认与验证》（</w:t>
      </w:r>
      <w:r>
        <w:rPr>
          <w:rFonts w:ascii="宋体" w:hAnsi="宋体"/>
          <w:kern w:val="2"/>
          <w:szCs w:val="24"/>
          <w:lang w:eastAsia="zh-CN"/>
        </w:rPr>
        <w:t>2015</w:t>
      </w:r>
      <w:r>
        <w:rPr>
          <w:rFonts w:hint="eastAsia" w:ascii="宋体" w:hAnsi="宋体"/>
          <w:kern w:val="2"/>
          <w:szCs w:val="24"/>
          <w:lang w:eastAsia="zh-CN"/>
        </w:rPr>
        <w:t>版）</w:t>
      </w:r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i/>
          <w:color w:val="0070C0"/>
          <w:szCs w:val="21"/>
          <w:lang w:eastAsia="zh-CN"/>
        </w:rPr>
      </w:pPr>
      <w:permStart w:id="6" w:edGrp="everyone"/>
      <w:r>
        <w:rPr>
          <w:i/>
          <w:color w:val="0070C0"/>
          <w:szCs w:val="21"/>
          <w:lang w:eastAsia="zh-CN"/>
        </w:rPr>
        <w:t>电气安全应符合GB4793.1和GB4793.4的要求。</w:t>
      </w:r>
    </w:p>
    <w:permEnd w:id="6"/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107739"/>
      <w:bookmarkStart w:id="22" w:name="_Toc52271611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 w:ascii="Arial" w:hAnsi="Arial" w:cs="Arial"/>
          <w:szCs w:val="24"/>
          <w:lang w:val="it-IT" w:eastAsia="zh-CN"/>
        </w:rPr>
        <w:t>武汉生物制品研究所有限责任公司</w:t>
      </w:r>
      <w:r>
        <w:rPr>
          <w:rFonts w:hint="eastAsia" w:ascii="Arial" w:hAnsi="Arial" w:cs="Arial"/>
          <w:szCs w:val="21"/>
          <w:lang w:val="it-IT" w:eastAsia="zh-CN"/>
        </w:rPr>
        <w:t>流感病毒疫苗车间</w:t>
      </w:r>
      <w:r>
        <w:rPr>
          <w:rFonts w:hint="eastAsia"/>
          <w:szCs w:val="21"/>
          <w:lang w:eastAsia="zh-CN"/>
        </w:rPr>
        <w:t>需购买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  <w:lang w:eastAsia="zh-CN"/>
        </w:rPr>
        <w:t>台</w:t>
      </w:r>
      <w:r>
        <w:rPr>
          <w:rFonts w:hint="eastAsia"/>
          <w:szCs w:val="21"/>
          <w:lang w:val="en-US" w:eastAsia="zh-CN"/>
        </w:rPr>
        <w:t>50L储液袋摇床</w:t>
      </w:r>
      <w:r>
        <w:rPr>
          <w:rFonts w:hint="eastAsia"/>
          <w:szCs w:val="21"/>
          <w:lang w:eastAsia="zh-CN"/>
        </w:rPr>
        <w:t>用于</w:t>
      </w:r>
      <w:r>
        <w:rPr>
          <w:rFonts w:hint="eastAsia"/>
          <w:szCs w:val="21"/>
          <w:lang w:val="en-US" w:eastAsia="zh-CN"/>
        </w:rPr>
        <w:t>原液制备及半成品配制原液混匀</w:t>
      </w:r>
      <w:r>
        <w:rPr>
          <w:i/>
          <w:color w:val="4472C4"/>
          <w:szCs w:val="21"/>
          <w:lang w:eastAsia="zh-CN"/>
        </w:rPr>
        <w:t>。</w:t>
      </w:r>
      <w:permEnd w:id="8"/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  <w:permStart w:id="9" w:edGrp="everyone"/>
      <w:permEnd w:id="9"/>
      <w:bookmarkStart w:id="48" w:name="_GoBack"/>
      <w:bookmarkEnd w:id="48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武汉生物制品研究所有限责任公司</w:t>
            </w:r>
            <w:r>
              <w:rPr>
                <w:rFonts w:hint="eastAsia"/>
                <w:szCs w:val="21"/>
                <w:lang w:val="en-US" w:eastAsia="zh-CN"/>
              </w:rPr>
              <w:t>流感疫苗楼</w:t>
            </w:r>
            <w:r>
              <w:rPr>
                <w:rFonts w:hint="eastAsia" w:ascii="Arial" w:hAnsi="Arial" w:cs="Arial"/>
                <w:szCs w:val="21"/>
                <w:lang w:val="it-IT" w:eastAsia="zh-CN"/>
              </w:rPr>
              <w:t>流感病毒疫苗车间。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50L储液袋摇床</w:t>
            </w:r>
            <w:r>
              <w:rPr>
                <w:rFonts w:hint="eastAsia" w:ascii="宋体" w:hAnsi="宋体"/>
                <w:szCs w:val="21"/>
                <w:lang w:eastAsia="zh-CN"/>
              </w:rPr>
              <w:t>的形式及尺寸应符合制造商说明书及技术文件规定的要求。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i/>
                <w:color w:val="0070C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重量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可承受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0L储液袋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/>
                <w:color w:val="0070C0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/>
                <w:color w:val="0070C0"/>
                <w:lang w:val="en-US" w:eastAsia="zh-CN"/>
              </w:rPr>
              <w:t>N/A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5" w:edGrp="everyone"/>
            <w:permEnd w:id="15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shd w:val="clear" w:color="auto" w:fill="auto"/>
            <w:vAlign w:val="top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2"/>
                <w:lang w:val="en-GB" w:eastAsia="zh-CN" w:bidi="ar-SA"/>
              </w:rPr>
            </w:pPr>
            <w:r>
              <w:rPr>
                <w:rFonts w:ascii="Times New Roman" w:hAnsi="Times New Roman" w:cs="Times New Roman"/>
                <w:sz w:val="22"/>
              </w:rPr>
              <w:t>房间等级（生产间）为C级洁净区。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shd w:val="clear" w:color="auto" w:fill="auto"/>
            <w:vAlign w:val="top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2"/>
                <w:lang w:val="en-GB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适应于我公司工作环境温度：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  <w:lang w:eastAsia="zh-CN"/>
              </w:rPr>
              <w:t>℃-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  <w:lang w:eastAsia="zh-CN"/>
              </w:rPr>
              <w:t>℃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shd w:val="clear" w:color="auto" w:fill="auto"/>
            <w:vAlign w:val="top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2"/>
                <w:lang w:val="en-GB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适应于我公司工作环境湿度：45-65%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sz w:val="22"/>
                <w:lang w:eastAsia="zh-CN" w:bidi="th-TH"/>
              </w:rPr>
              <w:t>设备电源要求为220V，50Hz。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7128" w:type="dxa"/>
            <w:shd w:val="clear" w:color="auto" w:fill="auto"/>
            <w:vAlign w:val="top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70C0"/>
                <w:szCs w:val="21"/>
                <w:lang w:val="en-US" w:eastAsia="zh-CN"/>
              </w:rPr>
              <w:t>标识</w:t>
            </w:r>
            <w:r>
              <w:rPr>
                <w:color w:val="0070C0"/>
                <w:szCs w:val="21"/>
                <w:lang w:eastAsia="zh-CN"/>
              </w:rPr>
              <w:t xml:space="preserve">：至少应有以下永久贴牢和清楚易认的标识： </w:t>
            </w:r>
          </w:p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70C0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70C0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70C0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color w:val="0070C0"/>
                <w:szCs w:val="21"/>
                <w:lang w:eastAsia="zh-CN"/>
              </w:rPr>
              <w:t>（</w:t>
            </w:r>
            <w:r>
              <w:rPr>
                <w:rFonts w:hint="eastAsia"/>
                <w:color w:val="0070C0"/>
                <w:szCs w:val="21"/>
                <w:lang w:eastAsia="zh-CN"/>
              </w:rPr>
              <w:t>4</w:t>
            </w:r>
            <w:r>
              <w:rPr>
                <w:color w:val="0070C0"/>
                <w:szCs w:val="21"/>
                <w:lang w:eastAsia="zh-CN"/>
              </w:rPr>
              <w:t>）对设备必要的说明；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Times New Roman" w:hAnsi="Times New Roman" w:eastAsia="宋体" w:cs="Times New Roman"/>
                <w:i/>
                <w:color w:val="000000"/>
                <w:sz w:val="21"/>
                <w:lang w:val="en-GB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设备外观应端正、整齐，不得有明显的偏歪、毛刺和锈蚀等缺陷。表面易于清洁，耐腐蚀。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设备在洁净区使用应满足整机能耐受过氧化氢、臭氧、甲醛、75%酒精、1%84、新洁尔灭、杀孢子剂、酸性苯酚、碱性苯酚及其他消毒剂消毒，易于清洁，无死角。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20"/>
    </w:tbl>
    <w:p>
      <w:pPr>
        <w:pStyle w:val="31"/>
        <w:spacing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bCs/>
          <w:i/>
          <w:color w:val="4472C4"/>
          <w:kern w:val="44"/>
          <w:szCs w:val="21"/>
          <w:lang w:eastAsia="zh-CN"/>
        </w:rPr>
      </w:pPr>
      <w:bookmarkStart w:id="26" w:name="_Toc522716121"/>
      <w:bookmarkStart w:id="27" w:name="_Toc522107740"/>
      <w:r>
        <w:rPr>
          <w:rFonts w:ascii="Times New Roman" w:hAnsi="Times New Roman"/>
          <w:b/>
        </w:rPr>
        <w:t>运行要求</w:t>
      </w:r>
      <w:bookmarkEnd w:id="26"/>
      <w:bookmarkEnd w:id="27"/>
      <w:permStart w:id="21" w:edGrp="everyone"/>
    </w:p>
    <w:permEnd w:id="21"/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color w:val="0070C0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/>
                <w:color w:val="0070C0"/>
                <w:lang w:val="en-US" w:eastAsia="zh-CN"/>
              </w:rPr>
              <w:t>N/A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i/>
                <w:color w:val="0070C0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i/>
                <w:color w:val="0070C0"/>
                <w:lang w:val="en-US" w:eastAsia="zh-CN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  <w:t>转    速：可实现0~60r/min。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hint="default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  <w:t>负    载：0~180kg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  <w:t>噪    音：空载状态下50dB,满负载状态下60dB左右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  <w:t>回旋半径：20mm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hint="default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  <w:t>可正反转动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hint="default" w:ascii="宋体" w:hAnsi="宋体" w:eastAsia="宋体" w:cs="宋体"/>
                <w:iCs/>
                <w:kern w:val="0"/>
                <w:sz w:val="21"/>
                <w:szCs w:val="21"/>
                <w:lang w:val="en-GB" w:eastAsia="en-US" w:bidi="ar-SA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  <w:t>摇床需带有数据记录功能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GB" w:eastAsia="en-US" w:bidi="ar-SA"/>
              </w:rPr>
            </w:pPr>
            <w:r>
              <w:rPr>
                <w:rFonts w:hint="eastAsia" w:ascii="宋体" w:hAnsi="宋体" w:eastAsia="宋体" w:cs="宋体"/>
                <w:iCs/>
                <w:kern w:val="0"/>
                <w:sz w:val="21"/>
                <w:szCs w:val="21"/>
                <w:lang w:val="en-US" w:eastAsia="zh-CN" w:bidi="ar-SA"/>
              </w:rPr>
              <w:t>摇床需有以太网接口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hint="default" w:ascii="宋体" w:hAnsi="宋体" w:eastAsia="宋体" w:cs="宋体"/>
                <w:iCs/>
                <w:kern w:val="0"/>
                <w:sz w:val="21"/>
                <w:szCs w:val="21"/>
                <w:lang w:val="en-GB" w:eastAsia="en-US" w:bidi="ar-SA"/>
              </w:rPr>
            </w:pPr>
            <w:r>
              <w:rPr>
                <w:rFonts w:hint="eastAsia" w:ascii="宋体" w:hAnsi="宋体" w:cs="宋体"/>
                <w:iCs/>
                <w:kern w:val="0"/>
                <w:sz w:val="21"/>
                <w:szCs w:val="21"/>
                <w:lang w:val="en-US" w:eastAsia="zh-CN" w:bidi="ar-SA"/>
              </w:rPr>
              <w:t>摇床需匹配50L储液袋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3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2" w:edGrp="everyone"/>
            <w:permEnd w:id="32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2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33"/>
    </w:tbl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70071"/>
      <w:bookmarkStart w:id="31" w:name="_Toc482717202"/>
      <w:bookmarkStart w:id="32" w:name="_Toc483400317"/>
      <w:bookmarkStart w:id="33" w:name="_Toc482359946"/>
      <w:bookmarkStart w:id="34" w:name="_Toc482370151"/>
      <w:bookmarkStart w:id="35" w:name="_Toc481702480"/>
      <w:bookmarkStart w:id="36" w:name="_Toc482369815"/>
      <w:bookmarkStart w:id="37" w:name="_Toc482625289"/>
      <w:bookmarkStart w:id="38" w:name="_Toc482370767"/>
      <w:bookmarkStart w:id="39" w:name="_Toc482360291"/>
      <w:bookmarkStart w:id="40" w:name="_Toc483227237"/>
      <w:bookmarkStart w:id="41" w:name="_Toc482370359"/>
      <w:r>
        <w:rPr>
          <w:rFonts w:ascii="Times New Roman" w:hAnsi="Times New Roman"/>
          <w:b/>
        </w:rPr>
        <w:t>电气、自动控制要求</w:t>
      </w:r>
      <w:bookmarkEnd w:id="28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both"/>
              <w:rPr>
                <w:b/>
                <w:szCs w:val="21"/>
              </w:rPr>
            </w:pPr>
            <w:permStart w:id="34" w:edGrp="everyone"/>
            <w:permEnd w:id="34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Times New Roman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lang w:val="en-US" w:eastAsia="zh-CN" w:bidi="ar-SA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36" w:edGrp="everyone"/>
            <w:permEnd w:id="36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37"/>
    </w:tbl>
    <w:p>
      <w:pPr>
        <w:spacing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both"/>
              <w:rPr>
                <w:b/>
                <w:szCs w:val="21"/>
              </w:rPr>
            </w:pPr>
            <w:permStart w:id="38" w:edGrp="everyone"/>
            <w:permEnd w:id="38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40" w:edGrp="everyone"/>
            <w:permEnd w:id="40"/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41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2" w:edGrp="everyone"/>
            <w:permEnd w:id="4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设备供应商应提供操作手册包括但不限于以下内容：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开箱后的装箱单和设备手册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设备出厂时的测试证书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设备使用和维护说明书</w:t>
            </w:r>
          </w:p>
          <w:p>
            <w:pPr>
              <w:pStyle w:val="31"/>
              <w:tabs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98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30528"/>
              </w:tabs>
              <w:suppressAutoHyphens/>
              <w:spacing w:before="63" w:beforeLines="20" w:after="63" w:afterLines="20"/>
              <w:ind w:firstLine="0" w:firstLineChars="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产品合格证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1"/>
                <w:szCs w:val="21"/>
                <w:lang w:val="en-GB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随机配件清单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设备供应商应提供设备的验证资料、设备出厂检测报告。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4"/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45" w:edGrp="everyone"/>
            <w:permEnd w:id="45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6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生产操作人员培训包括设备结构原理、性能、操作、清洗消毒、故障排除等基本</w:t>
            </w:r>
            <w:r>
              <w:rPr>
                <w:color w:val="000000"/>
                <w:szCs w:val="21"/>
                <w:lang w:eastAsia="zh-CN"/>
              </w:rPr>
              <w:t>知识</w:t>
            </w:r>
            <w:r>
              <w:rPr>
                <w:color w:val="000000"/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8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9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</w:rPr>
              <w:t>包装满足运输要求，防潮湿、防磕碰、防振动，由于包装不良而造成的任何变形或锈损，供方承担全部损失和费用。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4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0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hint="default" w:ascii="Times New Roman" w:hAnsi="Times New Roman" w:eastAsia="宋体" w:cs="Times New Roman"/>
                <w:i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/>
                <w:sz w:val="21"/>
                <w:szCs w:val="21"/>
                <w:lang w:val="en-US" w:eastAsia="zh-CN" w:bidi="ar-SA"/>
              </w:rPr>
              <w:t>N/A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N/A</w:t>
            </w:r>
          </w:p>
        </w:tc>
      </w:tr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51" w:edGrp="everyone"/>
            <w:permEnd w:id="51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2" w:edGrp="everyone"/>
          </w:p>
        </w:tc>
        <w:tc>
          <w:tcPr>
            <w:tcW w:w="7128" w:type="dxa"/>
            <w:shd w:val="clear" w:color="auto" w:fill="auto"/>
            <w:vAlign w:val="top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2"/>
                <w:lang w:val="en-GB" w:eastAsia="zh-CN" w:bidi="ar-SA"/>
              </w:rPr>
            </w:pPr>
            <w:r>
              <w:rPr>
                <w:rFonts w:ascii="Times New Roman" w:hAnsi="Times New Roman" w:cs="Times New Roman"/>
                <w:sz w:val="22"/>
              </w:rPr>
              <w:t>设备保修期自终验收合格后算起至少12个月。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3" w:edGrp="everyone"/>
          </w:p>
        </w:tc>
        <w:tc>
          <w:tcPr>
            <w:tcW w:w="7128" w:type="dxa"/>
            <w:shd w:val="clear" w:color="auto" w:fill="auto"/>
            <w:vAlign w:val="top"/>
          </w:tcPr>
          <w:p>
            <w:pPr>
              <w:spacing w:line="48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提供售后服务的能力：定期维保的服务；应急抢修的服务；技术升级的服务。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4" w:edGrp="everyone"/>
          </w:p>
        </w:tc>
        <w:tc>
          <w:tcPr>
            <w:tcW w:w="7128" w:type="dxa"/>
            <w:shd w:val="clear" w:color="auto" w:fill="auto"/>
            <w:vAlign w:val="top"/>
          </w:tcPr>
          <w:p>
            <w:pPr>
              <w:spacing w:line="480" w:lineRule="exact"/>
              <w:rPr>
                <w:rFonts w:hint="eastAsia" w:ascii="宋体" w:hAnsi="宋体" w:cs="宋体"/>
                <w:iCs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要求设备在签订合同后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auto"/>
                <w:szCs w:val="21"/>
                <w:lang w:eastAsia="zh-CN"/>
              </w:rPr>
              <w:t>个月内到货。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5" w:edGrp="everyone"/>
          </w:p>
        </w:tc>
        <w:tc>
          <w:tcPr>
            <w:tcW w:w="7128" w:type="dxa"/>
            <w:shd w:val="clear" w:color="auto" w:fill="auto"/>
            <w:vAlign w:val="top"/>
          </w:tcPr>
          <w:p>
            <w:pPr>
              <w:spacing w:line="480" w:lineRule="exact"/>
              <w:rPr>
                <w:rFonts w:ascii="Times New Roman" w:hAnsi="Times New Roman" w:eastAsia="宋体" w:cs="Times New Roman"/>
                <w:sz w:val="22"/>
                <w:lang w:val="en-GB" w:eastAsia="zh-CN" w:bidi="ar-SA"/>
              </w:rPr>
            </w:pPr>
            <w:r>
              <w:rPr>
                <w:rFonts w:ascii="Times New Roman" w:hAnsi="Times New Roman" w:cs="Times New Roman"/>
                <w:sz w:val="22"/>
              </w:rPr>
              <w:t>保修期内，卖方免费为买方维修设备（包括零部件费用）；保修期外，长期提供优惠的维修服务及零部件。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56" w:edGrp="everyone"/>
            <w:permEnd w:id="56"/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7" w:edGrp="everyone"/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bCs/>
                <w:color w:val="000000"/>
                <w:sz w:val="21"/>
                <w:szCs w:val="21"/>
              </w:rPr>
              <w:t>货物开箱和检查要在设备安装现场进行，应由设备制造方、买方各派代表参加；根据运单和装箱单核对设备及其配套件的数量和质量；如制造方授权使用方自行拆箱，拆箱后如发现设备及零配件有任何损坏、缺少，制造方应负全责不得推诿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lang w:eastAsia="zh-CN"/>
              </w:rPr>
              <w:t>确认验收合格后，买卖双方签订验收报告。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关键</w:t>
            </w:r>
          </w:p>
        </w:tc>
      </w:tr>
      <w:permEnd w:id="57"/>
    </w:tbl>
    <w:p/>
    <w:p>
      <w:pPr>
        <w:pStyle w:val="31"/>
        <w:numPr>
          <w:ilvl w:val="0"/>
          <w:numId w:val="3"/>
        </w:numPr>
        <w:spacing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6"/>
      <w:bookmarkStart w:id="47" w:name="_Toc522107746"/>
      <w:r>
        <w:rPr>
          <w:rFonts w:ascii="Times New Roman" w:hAnsi="Times New Roman"/>
          <w:b/>
        </w:rPr>
        <w:t>附件</w:t>
      </w:r>
      <w:bookmarkEnd w:id="46"/>
      <w:bookmarkEnd w:id="47"/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>
      <w:pPr>
        <w:pStyle w:val="41"/>
        <w:spacing w:before="0" w:line="360" w:lineRule="auto"/>
        <w:jc w:val="left"/>
        <w:rPr>
          <w:color w:val="4472C4"/>
          <w:szCs w:val="21"/>
          <w:lang w:eastAsia="zh-CN"/>
        </w:rPr>
      </w:pPr>
      <w:permStart w:id="58" w:edGrp="everyone"/>
      <w:permEnd w:id="58"/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ZjM3MmEyYzc4YWE0ZTdiODE5NmRlY2U5NDM0NzQifQ==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065D35AE"/>
    <w:rsid w:val="0D182B9D"/>
    <w:rsid w:val="10411DDF"/>
    <w:rsid w:val="1C0E39F4"/>
    <w:rsid w:val="1F6550CF"/>
    <w:rsid w:val="333C2923"/>
    <w:rsid w:val="34DB6789"/>
    <w:rsid w:val="3AAD4CE5"/>
    <w:rsid w:val="3FBD063E"/>
    <w:rsid w:val="530C1F6B"/>
    <w:rsid w:val="5621186C"/>
    <w:rsid w:val="56BC61BE"/>
    <w:rsid w:val="6D0B3EE8"/>
    <w:rsid w:val="74A755E1"/>
    <w:rsid w:val="766F5892"/>
    <w:rsid w:val="7EA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Char2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Revision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Char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Heading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Char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Char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2783</Words>
  <Characters>3003</Characters>
  <Lines>29</Lines>
  <Paragraphs>8</Paragraphs>
  <TotalTime>8</TotalTime>
  <ScaleCrop>false</ScaleCrop>
  <LinksUpToDate>false</LinksUpToDate>
  <CharactersWithSpaces>3097</CharactersWithSpaces>
  <Application>WPS Office_11.8.2.10229_F1E327BC-269C-435d-A152-05C5408002CA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2018-12-24T07:58:00Z</dcterms:created>
  <dc:creator>Lilly</dc:creator>
  <cp:lastModifiedBy>汪洋</cp:lastModifiedBy>
  <cp:lastPrinted>2017-06-22T01:53:00Z</cp:lastPrinted>
  <dcterms:modified xsi:type="dcterms:W3CDTF">2023-01-29T01:58:12Z</dcterms:modified>
  <dc:title>生效期：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6AD63CBE92D5483AB4FE33531439241A</vt:lpwstr>
  </property>
</Properties>
</file>