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lang w:val="en-US" w:eastAsia="zh-CN"/>
        </w:rPr>
      </w:pPr>
      <w:bookmarkStart w:id="0" w:name="_Toc483227223"/>
      <w:bookmarkStart w:id="1" w:name="_Toc484532399"/>
      <w:bookmarkStart w:id="2" w:name="_Toc482717189"/>
      <w:bookmarkStart w:id="3" w:name="_Toc483666358"/>
      <w:bookmarkStart w:id="4" w:name="_Toc483400307"/>
    </w:p>
    <w:p>
      <w:pPr>
        <w:spacing w:after="158" w:afterLines="50"/>
        <w:jc w:val="center"/>
        <w:rPr>
          <w:b/>
          <w:szCs w:val="21"/>
          <w:lang w:eastAsia="zh-CN"/>
        </w:rPr>
      </w:pPr>
      <w:permStart w:id="0" w:edGrp="everyone"/>
      <w:r>
        <w:rPr>
          <w:rFonts w:hint="eastAsia"/>
          <w:b/>
          <w:sz w:val="28"/>
          <w:szCs w:val="28"/>
          <w:lang w:val="en-US" w:eastAsia="zh-CN"/>
        </w:rPr>
        <w:t>毓晋楼冻干人用</w:t>
      </w:r>
      <w:r>
        <w:rPr>
          <w:rFonts w:hint="eastAsia"/>
          <w:b/>
          <w:sz w:val="28"/>
          <w:szCs w:val="28"/>
          <w:lang w:eastAsia="zh-CN"/>
        </w:rPr>
        <w:t>狂犬病疫苗（</w:t>
      </w:r>
      <w:r>
        <w:rPr>
          <w:rFonts w:hint="eastAsia"/>
          <w:b/>
          <w:sz w:val="28"/>
          <w:szCs w:val="28"/>
          <w:lang w:val="en-US" w:eastAsia="zh-CN"/>
        </w:rPr>
        <w:t>Vero细胞</w:t>
      </w:r>
      <w:r>
        <w:rPr>
          <w:rFonts w:hint="eastAsia"/>
          <w:b/>
          <w:sz w:val="28"/>
          <w:szCs w:val="28"/>
          <w:lang w:eastAsia="zh-CN"/>
        </w:rPr>
        <w:t>）</w:t>
      </w:r>
      <w:r>
        <w:rPr>
          <w:rFonts w:hint="eastAsia"/>
          <w:b/>
          <w:sz w:val="28"/>
          <w:szCs w:val="28"/>
          <w:lang w:val="en-US" w:eastAsia="zh-CN"/>
        </w:rPr>
        <w:t>低温制冷</w:t>
      </w:r>
      <w:r>
        <w:rPr>
          <w:rFonts w:hint="eastAsia"/>
          <w:b/>
          <w:sz w:val="28"/>
          <w:szCs w:val="28"/>
          <w:lang w:eastAsia="zh-CN"/>
        </w:rPr>
        <w:t>循环器</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4"/>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4"/>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4"/>
        </w:rPr>
        <w:t>4</w:t>
      </w:r>
      <w:r>
        <w:rPr>
          <w:b w:val="0"/>
          <w:bCs w:val="0"/>
          <w:caps w:val="0"/>
          <w:szCs w:val="22"/>
        </w:rPr>
        <w:tab/>
      </w:r>
      <w:r>
        <w:rPr>
          <w:rStyle w:val="24"/>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4"/>
        </w:rPr>
        <w:t>5</w:t>
      </w:r>
      <w:r>
        <w:rPr>
          <w:b w:val="0"/>
          <w:bCs w:val="0"/>
          <w:caps w:val="0"/>
          <w:szCs w:val="22"/>
        </w:rPr>
        <w:tab/>
      </w:r>
      <w:r>
        <w:rPr>
          <w:rStyle w:val="24"/>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4"/>
        </w:rPr>
        <w:t>6</w:t>
      </w:r>
      <w:r>
        <w:rPr>
          <w:b w:val="0"/>
          <w:bCs w:val="0"/>
          <w:caps w:val="0"/>
          <w:szCs w:val="22"/>
        </w:rPr>
        <w:tab/>
      </w:r>
      <w:r>
        <w:rPr>
          <w:rStyle w:val="24"/>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4"/>
        </w:rPr>
        <w:t>7</w:t>
      </w:r>
      <w:r>
        <w:rPr>
          <w:b w:val="0"/>
          <w:bCs w:val="0"/>
          <w:caps w:val="0"/>
          <w:szCs w:val="22"/>
        </w:rPr>
        <w:tab/>
      </w:r>
      <w:r>
        <w:rPr>
          <w:rStyle w:val="24"/>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4"/>
        </w:rPr>
        <w:t>8</w:t>
      </w:r>
      <w:r>
        <w:rPr>
          <w:b w:val="0"/>
          <w:bCs w:val="0"/>
          <w:caps w:val="0"/>
          <w:szCs w:val="22"/>
        </w:rPr>
        <w:tab/>
      </w:r>
      <w:r>
        <w:rPr>
          <w:rStyle w:val="24"/>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4"/>
        </w:rPr>
        <w:t>9</w:t>
      </w:r>
      <w:r>
        <w:rPr>
          <w:b w:val="0"/>
          <w:bCs w:val="0"/>
          <w:caps w:val="0"/>
          <w:szCs w:val="22"/>
        </w:rPr>
        <w:tab/>
      </w:r>
      <w:r>
        <w:rPr>
          <w:rStyle w:val="24"/>
        </w:rPr>
        <w:t>安全要求</w:t>
      </w:r>
      <w:r>
        <w:tab/>
      </w:r>
      <w:r>
        <w:fldChar w:fldCharType="begin"/>
      </w:r>
      <w:r>
        <w:instrText xml:space="preserve"> PAGEREF _Toc522716123 \h </w:instrText>
      </w:r>
      <w:r>
        <w:fldChar w:fldCharType="separate"/>
      </w:r>
      <w:r>
        <w:t>7</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4"/>
        </w:rPr>
        <w:t>10</w:t>
      </w:r>
      <w:r>
        <w:rPr>
          <w:b w:val="0"/>
          <w:bCs w:val="0"/>
          <w:caps w:val="0"/>
          <w:szCs w:val="22"/>
        </w:rPr>
        <w:tab/>
      </w:r>
      <w:r>
        <w:rPr>
          <w:rStyle w:val="24"/>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4"/>
        </w:rPr>
        <w:t>11</w:t>
      </w:r>
      <w:r>
        <w:rPr>
          <w:b w:val="0"/>
          <w:bCs w:val="0"/>
          <w:caps w:val="0"/>
          <w:szCs w:val="22"/>
        </w:rPr>
        <w:tab/>
      </w:r>
      <w:r>
        <w:rPr>
          <w:rStyle w:val="24"/>
        </w:rPr>
        <w:t>服务要求</w:t>
      </w:r>
      <w:r>
        <w:tab/>
      </w:r>
      <w:r>
        <w:fldChar w:fldCharType="begin"/>
      </w:r>
      <w:r>
        <w:instrText xml:space="preserve"> PAGEREF _Toc522716125 \h </w:instrText>
      </w:r>
      <w:r>
        <w:fldChar w:fldCharType="separate"/>
      </w:r>
      <w:r>
        <w:t>10</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4"/>
        </w:rPr>
        <w:t>12</w:t>
      </w:r>
      <w:r>
        <w:rPr>
          <w:b w:val="0"/>
          <w:bCs w:val="0"/>
          <w:caps w:val="0"/>
          <w:szCs w:val="22"/>
        </w:rPr>
        <w:tab/>
      </w:r>
      <w:r>
        <w:rPr>
          <w:rStyle w:val="24"/>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2"/>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2"/>
        <w:spacing w:before="0" w:line="360" w:lineRule="auto"/>
        <w:ind w:left="357"/>
        <w:jc w:val="left"/>
        <w:rPr>
          <w:szCs w:val="21"/>
          <w:lang w:eastAsia="zh-CN"/>
        </w:rPr>
      </w:pPr>
      <w:bookmarkStart w:id="7" w:name="_Toc482360281"/>
      <w:bookmarkStart w:id="8" w:name="_Toc482359936"/>
      <w:bookmarkStart w:id="9" w:name="_Toc482370349"/>
      <w:bookmarkStart w:id="10" w:name="_Toc482370061"/>
      <w:bookmarkStart w:id="11" w:name="_Toc481702475"/>
      <w:bookmarkStart w:id="12" w:name="_Toc482369805"/>
      <w:bookmarkStart w:id="13" w:name="_Toc482370757"/>
      <w:bookmarkStart w:id="14" w:name="_Toc482625279"/>
      <w:bookmarkStart w:id="15" w:name="_Toc482370141"/>
      <w:r>
        <w:rPr>
          <w:szCs w:val="21"/>
          <w:lang w:eastAsia="zh-CN"/>
        </w:rPr>
        <w:t>本文件的目的是描述武汉生物制品研究所有限责任公司</w:t>
      </w:r>
      <w:permStart w:id="3" w:edGrp="everyone"/>
      <w:r>
        <w:rPr>
          <w:rFonts w:hint="eastAsia"/>
          <w:szCs w:val="21"/>
          <w:lang w:eastAsia="zh-CN"/>
        </w:rPr>
        <w:t>毓晋楼冻干人用狂犬病疫苗（Vero细胞）车间低温制冷循环器</w:t>
      </w:r>
      <w:permEnd w:id="3"/>
      <w:r>
        <w:rPr>
          <w:szCs w:val="21"/>
          <w:lang w:eastAsia="zh-CN"/>
        </w:rPr>
        <w:t>的用户需求说明（URS），以确保最终用户的需求在项目设计阶段得以实现，并作为后续验证工作的基础。</w:t>
      </w:r>
    </w:p>
    <w:p>
      <w:pPr>
        <w:pStyle w:val="42"/>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2"/>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毓晋楼冻干人用狂犬病疫苗（Vero细胞）车间低温制冷循环器</w:t>
      </w:r>
      <w:permEnd w:id="4"/>
      <w:r>
        <w:rPr>
          <w:szCs w:val="21"/>
          <w:lang w:eastAsia="zh-CN"/>
        </w:rPr>
        <w:t>。</w:t>
      </w:r>
      <w:bookmarkEnd w:id="7"/>
      <w:bookmarkEnd w:id="8"/>
      <w:bookmarkEnd w:id="9"/>
      <w:bookmarkEnd w:id="10"/>
      <w:bookmarkEnd w:id="11"/>
      <w:bookmarkEnd w:id="12"/>
      <w:bookmarkEnd w:id="13"/>
      <w:bookmarkEnd w:id="14"/>
      <w:bookmarkEnd w:id="15"/>
    </w:p>
    <w:p>
      <w:pPr>
        <w:pStyle w:val="42"/>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2"/>
        <w:numPr>
          <w:ilvl w:val="0"/>
          <w:numId w:val="4"/>
        </w:numPr>
        <w:spacing w:before="0" w:line="360" w:lineRule="auto"/>
        <w:jc w:val="left"/>
        <w:rPr>
          <w:color w:val="000000"/>
          <w:szCs w:val="21"/>
          <w:lang w:eastAsia="zh-CN"/>
        </w:rPr>
      </w:pPr>
      <w:r>
        <w:rPr>
          <w:color w:val="000000"/>
          <w:szCs w:val="21"/>
          <w:lang w:eastAsia="zh-CN"/>
        </w:rPr>
        <w:t>GMP法规指南和SOP</w:t>
      </w:r>
    </w:p>
    <w:p>
      <w:pPr>
        <w:pStyle w:val="42"/>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2"/>
        <w:numPr>
          <w:ilvl w:val="0"/>
          <w:numId w:val="5"/>
        </w:numPr>
        <w:spacing w:before="0" w:line="360" w:lineRule="auto"/>
        <w:jc w:val="left"/>
        <w:rPr>
          <w:szCs w:val="21"/>
          <w:lang w:eastAsia="zh-CN"/>
        </w:rPr>
      </w:pPr>
      <w:permStart w:id="5" w:edGrp="everyone"/>
      <w:r>
        <w:rPr>
          <w:rFonts w:hint="eastAsia"/>
          <w:szCs w:val="21"/>
          <w:lang w:eastAsia="zh-CN"/>
        </w:rPr>
        <w:t>中国药典2020年版</w:t>
      </w:r>
    </w:p>
    <w:p>
      <w:pPr>
        <w:pStyle w:val="42"/>
        <w:numPr>
          <w:ilvl w:val="0"/>
          <w:numId w:val="5"/>
        </w:numPr>
        <w:spacing w:before="0" w:line="360" w:lineRule="auto"/>
        <w:jc w:val="left"/>
        <w:rPr>
          <w:szCs w:val="21"/>
          <w:lang w:eastAsia="zh-CN"/>
        </w:rPr>
      </w:pPr>
      <w:r>
        <w:rPr>
          <w:rFonts w:hint="eastAsia"/>
          <w:szCs w:val="21"/>
          <w:lang w:eastAsia="zh-CN"/>
        </w:rPr>
        <w:t>《药品生产质量管理规范》（</w:t>
      </w:r>
      <w:r>
        <w:rPr>
          <w:rFonts w:hint="eastAsia" w:ascii="宋体" w:hAnsi="宋体" w:cs="宋体"/>
          <w:szCs w:val="21"/>
          <w:lang w:eastAsia="zh-CN"/>
        </w:rPr>
        <w:t>2010年</w:t>
      </w:r>
      <w:r>
        <w:rPr>
          <w:rFonts w:hint="eastAsia"/>
          <w:szCs w:val="21"/>
          <w:lang w:eastAsia="zh-CN"/>
        </w:rPr>
        <w:t>版）</w:t>
      </w:r>
    </w:p>
    <w:p>
      <w:pPr>
        <w:pStyle w:val="42"/>
        <w:numPr>
          <w:ilvl w:val="0"/>
          <w:numId w:val="5"/>
        </w:numPr>
        <w:spacing w:before="0" w:line="360" w:lineRule="auto"/>
        <w:jc w:val="left"/>
        <w:rPr>
          <w:szCs w:val="21"/>
          <w:lang w:eastAsia="zh-CN"/>
        </w:rPr>
      </w:pPr>
      <w:r>
        <w:rPr>
          <w:rFonts w:hint="eastAsia"/>
          <w:szCs w:val="21"/>
          <w:lang w:eastAsia="zh-CN"/>
        </w:rPr>
        <w:t>《药品</w:t>
      </w:r>
      <w:r>
        <w:rPr>
          <w:szCs w:val="21"/>
          <w:lang w:eastAsia="zh-CN"/>
        </w:rPr>
        <w:t>GMP</w:t>
      </w:r>
      <w:r>
        <w:rPr>
          <w:rFonts w:hint="eastAsia"/>
          <w:szCs w:val="21"/>
          <w:lang w:eastAsia="zh-CN"/>
        </w:rPr>
        <w:t>指南》无菌药品</w:t>
      </w:r>
      <w:r>
        <w:rPr>
          <w:rFonts w:hint="eastAsia" w:ascii="宋体" w:hAnsi="宋体"/>
          <w:kern w:val="2"/>
          <w:szCs w:val="24"/>
          <w:lang w:eastAsia="zh-CN"/>
        </w:rPr>
        <w:t>（</w:t>
      </w:r>
      <w:r>
        <w:rPr>
          <w:rFonts w:ascii="宋体" w:hAnsi="宋体"/>
          <w:kern w:val="2"/>
          <w:szCs w:val="24"/>
          <w:lang w:eastAsia="zh-CN"/>
        </w:rPr>
        <w:t>2011</w:t>
      </w:r>
      <w:r>
        <w:rPr>
          <w:rFonts w:hint="eastAsia" w:ascii="宋体" w:hAnsi="宋体" w:cs="宋体"/>
          <w:szCs w:val="21"/>
          <w:lang w:eastAsia="zh-CN"/>
        </w:rPr>
        <w:t>年</w:t>
      </w:r>
      <w:r>
        <w:rPr>
          <w:rFonts w:hint="eastAsia" w:ascii="宋体" w:hAnsi="宋体"/>
          <w:kern w:val="2"/>
          <w:szCs w:val="24"/>
          <w:lang w:eastAsia="zh-CN"/>
        </w:rPr>
        <w:t>版）</w:t>
      </w:r>
    </w:p>
    <w:p>
      <w:pPr>
        <w:pStyle w:val="42"/>
        <w:numPr>
          <w:ilvl w:val="0"/>
          <w:numId w:val="5"/>
        </w:numPr>
        <w:spacing w:before="0" w:line="360" w:lineRule="auto"/>
        <w:jc w:val="left"/>
        <w:rPr>
          <w:szCs w:val="21"/>
          <w:lang w:eastAsia="zh-CN"/>
        </w:rPr>
      </w:pPr>
      <w:r>
        <w:rPr>
          <w:kern w:val="2"/>
          <w:szCs w:val="24"/>
          <w:lang w:eastAsia="zh-CN"/>
        </w:rPr>
        <w:t>GMP</w:t>
      </w:r>
      <w:r>
        <w:rPr>
          <w:rFonts w:hint="eastAsia" w:ascii="宋体" w:hAnsi="宋体"/>
          <w:kern w:val="2"/>
          <w:szCs w:val="24"/>
          <w:lang w:eastAsia="zh-CN"/>
        </w:rPr>
        <w:t>附件</w:t>
      </w:r>
      <w:r>
        <w:rPr>
          <w:rFonts w:ascii="宋体" w:hAnsi="宋体"/>
          <w:kern w:val="2"/>
          <w:szCs w:val="24"/>
          <w:lang w:eastAsia="zh-CN"/>
        </w:rPr>
        <w:t>2</w:t>
      </w:r>
      <w:r>
        <w:rPr>
          <w:rFonts w:hint="eastAsia" w:ascii="宋体" w:hAnsi="宋体"/>
          <w:kern w:val="2"/>
          <w:szCs w:val="24"/>
          <w:lang w:eastAsia="zh-CN"/>
        </w:rPr>
        <w:t>《确认与验证》（</w:t>
      </w:r>
      <w:r>
        <w:rPr>
          <w:rFonts w:ascii="宋体" w:hAnsi="宋体"/>
          <w:kern w:val="2"/>
          <w:szCs w:val="24"/>
          <w:lang w:eastAsia="zh-CN"/>
        </w:rPr>
        <w:t>2015</w:t>
      </w:r>
      <w:r>
        <w:rPr>
          <w:rFonts w:hint="eastAsia" w:ascii="宋体" w:hAnsi="宋体" w:cs="宋体"/>
          <w:szCs w:val="21"/>
          <w:lang w:eastAsia="zh-CN"/>
        </w:rPr>
        <w:t>年</w:t>
      </w:r>
      <w:r>
        <w:rPr>
          <w:rFonts w:hint="eastAsia" w:ascii="宋体" w:hAnsi="宋体"/>
          <w:kern w:val="2"/>
          <w:szCs w:val="24"/>
          <w:lang w:eastAsia="zh-CN"/>
        </w:rPr>
        <w:t>版）</w:t>
      </w:r>
    </w:p>
    <w:p>
      <w:pPr>
        <w:pStyle w:val="42"/>
        <w:spacing w:before="0" w:line="360" w:lineRule="auto"/>
        <w:ind w:left="357"/>
        <w:jc w:val="left"/>
        <w:rPr>
          <w:szCs w:val="21"/>
          <w:lang w:eastAsia="zh-CN"/>
        </w:rPr>
      </w:pPr>
      <w:r>
        <w:rPr>
          <w:rFonts w:hint="eastAsia"/>
          <w:kern w:val="2"/>
          <w:szCs w:val="24"/>
          <w:lang w:eastAsia="zh-CN"/>
        </w:rPr>
        <w:t>3.2 安全及环保法规指南</w:t>
      </w:r>
    </w:p>
    <w:permEnd w:id="5"/>
    <w:p>
      <w:pPr>
        <w:pStyle w:val="42"/>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2"/>
        <w:numPr>
          <w:ilvl w:val="0"/>
          <w:numId w:val="6"/>
        </w:numPr>
        <w:spacing w:before="0" w:line="360" w:lineRule="auto"/>
        <w:jc w:val="left"/>
        <w:rPr>
          <w:szCs w:val="21"/>
          <w:lang w:eastAsia="zh-CN"/>
        </w:rPr>
      </w:pPr>
      <w:permStart w:id="6" w:edGrp="everyone"/>
      <w:r>
        <w:rPr>
          <w:szCs w:val="21"/>
          <w:lang w:eastAsia="zh-CN"/>
        </w:rPr>
        <w:t>所有的电气设备和电缆必须根据IEC标准</w:t>
      </w:r>
    </w:p>
    <w:p>
      <w:pPr>
        <w:pStyle w:val="42"/>
        <w:numPr>
          <w:ilvl w:val="0"/>
          <w:numId w:val="6"/>
        </w:numPr>
        <w:spacing w:before="0" w:line="360" w:lineRule="auto"/>
        <w:jc w:val="left"/>
        <w:rPr>
          <w:szCs w:val="21"/>
          <w:lang w:eastAsia="zh-CN"/>
        </w:rPr>
      </w:pPr>
      <w:r>
        <w:rPr>
          <w:szCs w:val="21"/>
          <w:lang w:eastAsia="zh-CN"/>
        </w:rPr>
        <w:t>GB-5226-2008机械安全机械电气设备</w:t>
      </w:r>
    </w:p>
    <w:p>
      <w:pPr>
        <w:pStyle w:val="42"/>
        <w:numPr>
          <w:ilvl w:val="0"/>
          <w:numId w:val="6"/>
        </w:numPr>
        <w:spacing w:before="0" w:line="360" w:lineRule="auto"/>
        <w:jc w:val="left"/>
        <w:rPr>
          <w:szCs w:val="21"/>
          <w:lang w:eastAsia="zh-CN"/>
        </w:rPr>
      </w:pPr>
      <w:r>
        <w:rPr>
          <w:szCs w:val="21"/>
          <w:lang w:eastAsia="zh-CN"/>
        </w:rPr>
        <w:t>GB/T 30574-2014机械安全安全防护的实施准则</w:t>
      </w:r>
    </w:p>
    <w:permEnd w:id="6"/>
    <w:p>
      <w:pPr>
        <w:pStyle w:val="42"/>
        <w:spacing w:before="0" w:line="360" w:lineRule="auto"/>
        <w:ind w:left="357"/>
        <w:jc w:val="left"/>
        <w:rPr>
          <w:i/>
          <w:szCs w:val="21"/>
          <w:lang w:eastAsia="zh-CN"/>
        </w:rPr>
      </w:pPr>
    </w:p>
    <w:p>
      <w:pPr>
        <w:pStyle w:val="32"/>
        <w:numPr>
          <w:ilvl w:val="0"/>
          <w:numId w:val="3"/>
        </w:numPr>
        <w:spacing w:after="158" w:afterLines="50"/>
        <w:ind w:left="426" w:hanging="426" w:hangingChars="202"/>
        <w:outlineLvl w:val="0"/>
        <w:rPr>
          <w:rFonts w:ascii="Times New Roman" w:hAnsi="Times New Roman"/>
          <w:b/>
        </w:rPr>
      </w:pPr>
      <w:permStart w:id="7" w:edGrp="everyone"/>
      <w:permEnd w:id="7"/>
      <w:bookmarkStart w:id="20" w:name="_Toc522107739"/>
      <w:bookmarkStart w:id="21" w:name="_Toc522716119"/>
      <w:r>
        <w:rPr>
          <w:rFonts w:ascii="Times New Roman" w:hAnsi="Times New Roman"/>
          <w:b/>
        </w:rPr>
        <w:t>系统描述</w:t>
      </w:r>
      <w:bookmarkEnd w:id="20"/>
      <w:bookmarkEnd w:id="21"/>
    </w:p>
    <w:p>
      <w:pPr>
        <w:pStyle w:val="42"/>
        <w:spacing w:before="0" w:line="360" w:lineRule="auto"/>
        <w:ind w:left="357"/>
        <w:jc w:val="left"/>
        <w:rPr>
          <w:i/>
          <w:color w:val="4472C4"/>
          <w:szCs w:val="21"/>
          <w:lang w:eastAsia="zh-CN"/>
        </w:rPr>
      </w:pPr>
      <w:permStart w:id="8" w:edGrp="everyone"/>
      <w:r>
        <w:rPr>
          <w:rFonts w:hint="eastAsia" w:ascii="Arial" w:hAnsi="Arial" w:cs="Arial"/>
          <w:szCs w:val="24"/>
          <w:lang w:val="it-IT" w:eastAsia="zh-CN"/>
        </w:rPr>
        <w:t>武汉生物制品研究所有限责任公司</w:t>
      </w:r>
      <w:r>
        <w:rPr>
          <w:rFonts w:hint="eastAsia"/>
          <w:szCs w:val="21"/>
          <w:lang w:eastAsia="zh-CN"/>
        </w:rPr>
        <w:t>毓晋楼冻干人用狂犬病疫苗（Vero细胞）车间需购买2套低温制冷循环器，其TCU所带管路管径大小需与1000L储液车夹套内管路管径大小匹配。</w:t>
      </w:r>
      <w:permEnd w:id="8"/>
    </w:p>
    <w:p>
      <w:pPr>
        <w:pStyle w:val="32"/>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bookmarkStart w:id="47" w:name="_GoBack"/>
      <w:bookmarkEnd w:id="47"/>
      <w:permStart w:id="9" w:edGrp="everyone"/>
      <w:permEnd w:id="9"/>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7119"/>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1" w:type="dxa"/>
            <w:shd w:val="clear" w:color="auto" w:fill="D9D9D9"/>
            <w:vAlign w:val="center"/>
          </w:tcPr>
          <w:p>
            <w:pPr>
              <w:jc w:val="center"/>
              <w:rPr>
                <w:b/>
                <w:szCs w:val="21"/>
              </w:rPr>
            </w:pPr>
            <w:bookmarkStart w:id="23" w:name="OLE_LINK2"/>
            <w:bookmarkStart w:id="24" w:name="OLE_LINK1"/>
            <w:r>
              <w:rPr>
                <w:b/>
                <w:szCs w:val="21"/>
              </w:rPr>
              <w:t>编号</w:t>
            </w:r>
          </w:p>
        </w:tc>
        <w:tc>
          <w:tcPr>
            <w:tcW w:w="7119" w:type="dxa"/>
            <w:shd w:val="clear" w:color="auto" w:fill="D9D9D9"/>
            <w:vAlign w:val="center"/>
          </w:tcPr>
          <w:p>
            <w:pPr>
              <w:jc w:val="center"/>
              <w:rPr>
                <w:b/>
                <w:szCs w:val="21"/>
                <w:lang w:eastAsia="zh-CN"/>
              </w:rPr>
            </w:pPr>
            <w:r>
              <w:rPr>
                <w:b/>
                <w:szCs w:val="21"/>
                <w:lang w:eastAsia="zh-CN"/>
              </w:rPr>
              <w:t>需求</w:t>
            </w:r>
          </w:p>
        </w:tc>
        <w:tc>
          <w:tcPr>
            <w:tcW w:w="2133"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9D9D9"/>
            <w:vAlign w:val="center"/>
          </w:tcPr>
          <w:p>
            <w:pPr>
              <w:pStyle w:val="32"/>
              <w:numPr>
                <w:ilvl w:val="0"/>
                <w:numId w:val="7"/>
              </w:numPr>
              <w:ind w:firstLineChars="0"/>
              <w:rPr>
                <w:rFonts w:ascii="Times New Roman" w:hAnsi="Times New Roman"/>
                <w:szCs w:val="21"/>
              </w:rPr>
            </w:pPr>
          </w:p>
        </w:tc>
        <w:tc>
          <w:tcPr>
            <w:tcW w:w="9252"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8"/>
              </w:numPr>
              <w:ind w:left="470" w:hanging="120" w:firstLineChars="0"/>
              <w:rPr>
                <w:rFonts w:ascii="Times New Roman" w:hAnsi="Times New Roman"/>
                <w:kern w:val="0"/>
                <w:szCs w:val="21"/>
                <w:lang w:val="en-GB"/>
              </w:rPr>
            </w:pPr>
            <w:permStart w:id="10" w:edGrp="everyone"/>
          </w:p>
        </w:tc>
        <w:tc>
          <w:tcPr>
            <w:tcW w:w="7119" w:type="dxa"/>
            <w:shd w:val="clear" w:color="auto" w:fill="auto"/>
            <w:vAlign w:val="center"/>
          </w:tcPr>
          <w:p>
            <w:pPr>
              <w:spacing w:line="276" w:lineRule="auto"/>
              <w:jc w:val="both"/>
              <w:rPr>
                <w:szCs w:val="21"/>
                <w:lang w:eastAsia="zh-CN"/>
              </w:rPr>
            </w:pPr>
            <w:r>
              <w:rPr>
                <w:rFonts w:hint="eastAsia"/>
                <w:color w:val="000000" w:themeColor="text1"/>
                <w:szCs w:val="21"/>
                <w:lang w:eastAsia="zh-CN"/>
                <w14:textFill>
                  <w14:solidFill>
                    <w14:schemeClr w14:val="tx1"/>
                  </w14:solidFill>
                </w14:textFill>
              </w:rPr>
              <w:t>此设备应方便移动使用，使用范围本车间</w:t>
            </w:r>
            <w:r>
              <w:rPr>
                <w:rFonts w:hint="eastAsia"/>
                <w:color w:val="000000" w:themeColor="text1"/>
                <w:szCs w:val="21"/>
                <w:lang w:val="en-US" w:eastAsia="zh-CN"/>
                <w14:textFill>
                  <w14:solidFill>
                    <w14:schemeClr w14:val="tx1"/>
                  </w14:solidFill>
                </w14:textFill>
              </w:rPr>
              <w:t>C级</w:t>
            </w:r>
            <w:r>
              <w:rPr>
                <w:rFonts w:hint="eastAsia"/>
                <w:color w:val="000000" w:themeColor="text1"/>
                <w:szCs w:val="21"/>
                <w:lang w:eastAsia="zh-CN"/>
                <w14:textFill>
                  <w14:solidFill>
                    <w14:schemeClr w14:val="tx1"/>
                  </w14:solidFill>
                </w14:textFill>
              </w:rPr>
              <w:t>洁净区</w:t>
            </w:r>
          </w:p>
        </w:tc>
        <w:tc>
          <w:tcPr>
            <w:tcW w:w="2133" w:type="dxa"/>
            <w:shd w:val="clear" w:color="auto" w:fill="auto"/>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9D9D9"/>
            <w:vAlign w:val="center"/>
          </w:tcPr>
          <w:p>
            <w:pPr>
              <w:pStyle w:val="32"/>
              <w:numPr>
                <w:ilvl w:val="0"/>
                <w:numId w:val="7"/>
              </w:numPr>
              <w:ind w:firstLineChars="0"/>
              <w:rPr>
                <w:rFonts w:ascii="Times New Roman" w:hAnsi="Times New Roman"/>
                <w:szCs w:val="21"/>
              </w:rPr>
            </w:pPr>
          </w:p>
        </w:tc>
        <w:tc>
          <w:tcPr>
            <w:tcW w:w="92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8"/>
              </w:numPr>
              <w:ind w:left="470" w:hanging="120" w:firstLineChars="0"/>
              <w:rPr>
                <w:rFonts w:ascii="Times New Roman" w:hAnsi="Times New Roman"/>
                <w:kern w:val="0"/>
                <w:szCs w:val="21"/>
                <w:lang w:val="en-GB"/>
              </w:rPr>
            </w:pPr>
            <w:permStart w:id="11" w:edGrp="everyone"/>
          </w:p>
        </w:tc>
        <w:tc>
          <w:tcPr>
            <w:tcW w:w="7119" w:type="dxa"/>
            <w:shd w:val="clear" w:color="auto" w:fill="auto"/>
            <w:vAlign w:val="center"/>
          </w:tcPr>
          <w:p>
            <w:pPr>
              <w:spacing w:line="276" w:lineRule="auto"/>
              <w:jc w:val="both"/>
              <w:rPr>
                <w:szCs w:val="21"/>
                <w:lang w:eastAsia="zh-CN"/>
              </w:rPr>
            </w:pPr>
            <w:r>
              <w:rPr>
                <w:rFonts w:hint="eastAsia" w:ascii="宋体" w:hAnsi="宋体"/>
                <w:szCs w:val="21"/>
                <w:lang w:val="en-US" w:eastAsia="zh-CN"/>
              </w:rPr>
              <w:t>设备</w:t>
            </w:r>
            <w:r>
              <w:rPr>
                <w:rFonts w:hint="eastAsia" w:ascii="宋体" w:hAnsi="宋体"/>
                <w:szCs w:val="21"/>
                <w:lang w:eastAsia="zh-CN"/>
              </w:rPr>
              <w:t>的形式及尺寸（</w:t>
            </w:r>
            <w:r>
              <w:rPr>
                <w:rFonts w:hint="eastAsia" w:ascii="宋体" w:hAnsi="宋体"/>
                <w:szCs w:val="21"/>
                <w:lang w:val="en-US" w:eastAsia="zh-CN"/>
              </w:rPr>
              <w:t>长×宽×高</w:t>
            </w:r>
            <w:r>
              <w:rPr>
                <w:rFonts w:hint="eastAsia" w:ascii="宋体" w:hAnsi="宋体"/>
                <w:szCs w:val="21"/>
                <w:lang w:eastAsia="zh-CN"/>
              </w:rPr>
              <w:t>）应符合制造商说明书及技术文件规定的要求。</w:t>
            </w:r>
          </w:p>
        </w:tc>
        <w:tc>
          <w:tcPr>
            <w:tcW w:w="2133"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8"/>
              </w:numPr>
              <w:ind w:left="470" w:hanging="120" w:firstLineChars="0"/>
              <w:rPr>
                <w:rFonts w:ascii="Times New Roman" w:hAnsi="Times New Roman"/>
                <w:kern w:val="0"/>
                <w:szCs w:val="21"/>
                <w:lang w:val="en-GB"/>
              </w:rPr>
            </w:pPr>
          </w:p>
        </w:tc>
        <w:tc>
          <w:tcPr>
            <w:tcW w:w="7119" w:type="dxa"/>
            <w:shd w:val="clear" w:color="auto" w:fill="auto"/>
            <w:vAlign w:val="center"/>
          </w:tcPr>
          <w:p>
            <w:pPr>
              <w:spacing w:line="276" w:lineRule="auto"/>
              <w:jc w:val="both"/>
              <w:rPr>
                <w:szCs w:val="21"/>
                <w:lang w:val="en-US" w:eastAsia="zh-CN"/>
              </w:rPr>
            </w:pPr>
            <w:r>
              <w:rPr>
                <w:rFonts w:hint="eastAsia" w:ascii="宋体" w:hAnsi="宋体"/>
                <w:szCs w:val="21"/>
                <w:lang w:val="en-US" w:eastAsia="zh-CN"/>
              </w:rPr>
              <w:t>设备</w:t>
            </w:r>
            <w:r>
              <w:rPr>
                <w:rFonts w:hint="eastAsia" w:ascii="宋体" w:hAnsi="宋体"/>
                <w:szCs w:val="21"/>
                <w:lang w:eastAsia="zh-CN"/>
              </w:rPr>
              <w:t>的形式及尺寸应符合制造商说明书及技术文件规定的要求。</w:t>
            </w:r>
          </w:p>
        </w:tc>
        <w:tc>
          <w:tcPr>
            <w:tcW w:w="2133"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8"/>
              </w:numPr>
              <w:ind w:left="470" w:hanging="120" w:firstLineChars="0"/>
              <w:rPr>
                <w:rFonts w:ascii="Times New Roman" w:hAnsi="Times New Roman"/>
                <w:kern w:val="0"/>
                <w:szCs w:val="21"/>
                <w:lang w:val="en-GB"/>
              </w:rPr>
            </w:pPr>
          </w:p>
        </w:tc>
        <w:tc>
          <w:tcPr>
            <w:tcW w:w="7119"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供应商必须给出</w:t>
            </w:r>
            <w:r>
              <w:rPr>
                <w:rFonts w:hint="eastAsia"/>
                <w:szCs w:val="21"/>
                <w:lang w:eastAsia="zh-CN"/>
              </w:rPr>
              <w:t>低温制冷循环器</w:t>
            </w:r>
            <w:r>
              <w:rPr>
                <w:rFonts w:hint="eastAsia" w:ascii="宋体" w:hAnsi="宋体"/>
                <w:szCs w:val="21"/>
                <w:lang w:val="en-US" w:eastAsia="zh-CN"/>
              </w:rPr>
              <w:t>相关</w:t>
            </w:r>
            <w:r>
              <w:rPr>
                <w:rFonts w:hint="eastAsia" w:ascii="宋体" w:hAnsi="宋体"/>
                <w:szCs w:val="21"/>
                <w:lang w:eastAsia="zh-CN"/>
              </w:rPr>
              <w:t>选型方案及相应附件配置方案，并交给我公司使用部门及工程类部门审核。</w:t>
            </w:r>
          </w:p>
        </w:tc>
        <w:tc>
          <w:tcPr>
            <w:tcW w:w="2133" w:type="dxa"/>
            <w:shd w:val="clear" w:color="auto" w:fill="auto"/>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9D9D9"/>
            <w:vAlign w:val="center"/>
          </w:tcPr>
          <w:p>
            <w:pPr>
              <w:pStyle w:val="32"/>
              <w:numPr>
                <w:ilvl w:val="0"/>
                <w:numId w:val="7"/>
              </w:numPr>
              <w:ind w:firstLineChars="0"/>
              <w:rPr>
                <w:rFonts w:ascii="Times New Roman" w:hAnsi="Times New Roman"/>
                <w:szCs w:val="21"/>
              </w:rPr>
            </w:pPr>
          </w:p>
        </w:tc>
        <w:tc>
          <w:tcPr>
            <w:tcW w:w="92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8"/>
              </w:numPr>
              <w:ind w:left="470" w:hanging="120" w:firstLineChars="0"/>
              <w:rPr>
                <w:rFonts w:ascii="Times New Roman" w:hAnsi="Times New Roman"/>
                <w:kern w:val="0"/>
                <w:szCs w:val="21"/>
                <w:lang w:val="en-GB"/>
              </w:rPr>
            </w:pPr>
            <w:permStart w:id="12" w:edGrp="everyone"/>
          </w:p>
        </w:tc>
        <w:tc>
          <w:tcPr>
            <w:tcW w:w="7119" w:type="dxa"/>
            <w:shd w:val="clear" w:color="auto" w:fill="auto"/>
            <w:vAlign w:val="center"/>
          </w:tcPr>
          <w:p>
            <w:pPr>
              <w:spacing w:line="276" w:lineRule="auto"/>
              <w:jc w:val="both"/>
              <w:rPr>
                <w:rFonts w:ascii="宋体" w:hAnsi="宋体"/>
                <w:szCs w:val="21"/>
                <w:lang w:eastAsia="zh-CN"/>
              </w:rPr>
            </w:pPr>
            <w:r>
              <w:rPr>
                <w:szCs w:val="21"/>
                <w:lang w:eastAsia="zh-CN"/>
              </w:rPr>
              <w:t>其重量不超出房间地面（1.2吨/平米）承重要求</w:t>
            </w:r>
          </w:p>
        </w:tc>
        <w:tc>
          <w:tcPr>
            <w:tcW w:w="2133" w:type="dxa"/>
            <w:shd w:val="clear" w:color="auto" w:fill="auto"/>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9D9D9"/>
            <w:vAlign w:val="center"/>
          </w:tcPr>
          <w:p>
            <w:pPr>
              <w:pStyle w:val="32"/>
              <w:numPr>
                <w:ilvl w:val="0"/>
                <w:numId w:val="7"/>
              </w:numPr>
              <w:ind w:firstLineChars="0"/>
              <w:rPr>
                <w:rFonts w:ascii="Times New Roman" w:hAnsi="Times New Roman"/>
                <w:szCs w:val="21"/>
              </w:rPr>
            </w:pPr>
          </w:p>
        </w:tc>
        <w:tc>
          <w:tcPr>
            <w:tcW w:w="92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ind w:firstLine="0" w:firstLineChars="0"/>
              <w:rPr>
                <w:rFonts w:ascii="Times New Roman" w:hAnsi="Times New Roman"/>
                <w:kern w:val="0"/>
                <w:szCs w:val="21"/>
                <w:lang w:val="en-GB"/>
              </w:rPr>
            </w:pPr>
            <w:permStart w:id="13" w:edGrp="everyone"/>
          </w:p>
        </w:tc>
        <w:tc>
          <w:tcPr>
            <w:tcW w:w="7119" w:type="dxa"/>
            <w:shd w:val="clear" w:color="auto" w:fill="auto"/>
            <w:vAlign w:val="center"/>
          </w:tcPr>
          <w:p>
            <w:pPr>
              <w:spacing w:line="276" w:lineRule="auto"/>
              <w:jc w:val="center"/>
              <w:rPr>
                <w:rFonts w:ascii="宋体" w:hAnsi="宋体"/>
                <w:szCs w:val="21"/>
                <w:lang w:val="en-US" w:eastAsia="zh-CN"/>
              </w:rPr>
            </w:pPr>
            <w:r>
              <w:rPr>
                <w:rFonts w:hint="eastAsia" w:ascii="宋体" w:hAnsi="宋体"/>
                <w:szCs w:val="21"/>
                <w:lang w:val="en-US" w:eastAsia="zh-CN"/>
              </w:rPr>
              <w:t>N/A</w:t>
            </w:r>
          </w:p>
        </w:tc>
        <w:tc>
          <w:tcPr>
            <w:tcW w:w="2133" w:type="dxa"/>
            <w:shd w:val="clear" w:color="auto" w:fill="auto"/>
            <w:vAlign w:val="center"/>
          </w:tcPr>
          <w:p>
            <w:pPr>
              <w:jc w:val="both"/>
              <w:rPr>
                <w:szCs w:val="21"/>
                <w:lang w:eastAsia="zh-CN"/>
              </w:rPr>
            </w:pP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9D9D9"/>
            <w:vAlign w:val="center"/>
          </w:tcPr>
          <w:p>
            <w:pPr>
              <w:pStyle w:val="32"/>
              <w:numPr>
                <w:ilvl w:val="0"/>
                <w:numId w:val="7"/>
              </w:numPr>
              <w:ind w:firstLineChars="0"/>
              <w:rPr>
                <w:rFonts w:ascii="Times New Roman" w:hAnsi="Times New Roman"/>
                <w:szCs w:val="21"/>
              </w:rPr>
            </w:pPr>
          </w:p>
        </w:tc>
        <w:tc>
          <w:tcPr>
            <w:tcW w:w="92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8"/>
              </w:numPr>
              <w:ind w:left="470" w:hanging="120" w:firstLineChars="0"/>
              <w:rPr>
                <w:rFonts w:ascii="Times New Roman" w:hAnsi="Times New Roman"/>
                <w:color w:val="000000"/>
                <w:kern w:val="0"/>
                <w:szCs w:val="20"/>
                <w:lang w:val="en-GB"/>
              </w:rPr>
            </w:pPr>
            <w:permStart w:id="14" w:edGrp="everyone"/>
          </w:p>
        </w:tc>
        <w:tc>
          <w:tcPr>
            <w:tcW w:w="7119" w:type="dxa"/>
            <w:shd w:val="clear" w:color="auto" w:fill="auto"/>
            <w:vAlign w:val="center"/>
          </w:tcPr>
          <w:p>
            <w:pPr>
              <w:spacing w:line="276" w:lineRule="auto"/>
              <w:jc w:val="both"/>
              <w:rPr>
                <w:color w:val="000000"/>
                <w:lang w:eastAsia="zh-CN"/>
              </w:rPr>
            </w:pPr>
            <w:r>
              <w:rPr>
                <w:rFonts w:hint="eastAsia"/>
                <w:color w:val="000000"/>
                <w:lang w:eastAsia="zh-CN"/>
              </w:rPr>
              <w:t>适用于我公司</w:t>
            </w:r>
            <w:r>
              <w:rPr>
                <w:color w:val="000000"/>
                <w:lang w:eastAsia="zh-CN"/>
              </w:rPr>
              <w:t>工作环境温度：能适应</w:t>
            </w:r>
            <w:r>
              <w:rPr>
                <w:rFonts w:hint="eastAsia"/>
                <w:color w:val="000000"/>
                <w:lang w:eastAsia="zh-CN"/>
              </w:rPr>
              <w:t>18℃</w:t>
            </w:r>
            <w:r>
              <w:rPr>
                <w:color w:val="000000"/>
                <w:lang w:eastAsia="zh-CN"/>
              </w:rPr>
              <w:t>～</w:t>
            </w:r>
            <w:r>
              <w:rPr>
                <w:rFonts w:hint="eastAsia"/>
                <w:color w:val="000000"/>
                <w:lang w:eastAsia="zh-CN"/>
              </w:rPr>
              <w:t>26℃</w:t>
            </w:r>
            <w:r>
              <w:rPr>
                <w:color w:val="000000"/>
                <w:lang w:eastAsia="zh-CN"/>
              </w:rPr>
              <w:t>环境</w:t>
            </w:r>
            <w:r>
              <w:rPr>
                <w:rFonts w:hint="eastAsia"/>
                <w:color w:val="000000"/>
                <w:lang w:eastAsia="zh-CN"/>
              </w:rPr>
              <w:t>。</w:t>
            </w:r>
          </w:p>
        </w:tc>
        <w:tc>
          <w:tcPr>
            <w:tcW w:w="2133" w:type="dxa"/>
            <w:shd w:val="clear" w:color="auto" w:fill="auto"/>
            <w:vAlign w:val="center"/>
          </w:tcPr>
          <w:p>
            <w:pPr>
              <w:jc w:val="both"/>
              <w:rPr>
                <w:color w:val="000000"/>
                <w:lang w:eastAsia="zh-CN"/>
              </w:rPr>
            </w:pPr>
            <w:r>
              <w:rPr>
                <w:rFonts w:hint="eastAsia"/>
                <w:color w:val="000000"/>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8"/>
              </w:numPr>
              <w:ind w:left="470" w:hanging="120" w:firstLineChars="0"/>
              <w:rPr>
                <w:rFonts w:ascii="Times New Roman" w:hAnsi="Times New Roman"/>
                <w:color w:val="000000"/>
                <w:kern w:val="0"/>
                <w:szCs w:val="20"/>
                <w:lang w:val="en-GB"/>
              </w:rPr>
            </w:pPr>
            <w:permStart w:id="15" w:edGrp="everyone"/>
          </w:p>
        </w:tc>
        <w:tc>
          <w:tcPr>
            <w:tcW w:w="7119" w:type="dxa"/>
            <w:shd w:val="clear" w:color="auto" w:fill="auto"/>
            <w:vAlign w:val="center"/>
          </w:tcPr>
          <w:p>
            <w:pPr>
              <w:spacing w:line="276" w:lineRule="auto"/>
              <w:jc w:val="both"/>
              <w:rPr>
                <w:color w:val="000000"/>
                <w:lang w:eastAsia="zh-CN"/>
              </w:rPr>
            </w:pPr>
            <w:r>
              <w:rPr>
                <w:rFonts w:hint="eastAsia"/>
                <w:color w:val="000000"/>
                <w:lang w:eastAsia="zh-CN"/>
              </w:rPr>
              <w:t>适用于我公司</w:t>
            </w:r>
            <w:r>
              <w:rPr>
                <w:color w:val="000000"/>
                <w:lang w:eastAsia="zh-CN"/>
              </w:rPr>
              <w:t>工作环境湿度：至少包括45%～65%</w:t>
            </w:r>
            <w:r>
              <w:rPr>
                <w:rFonts w:hint="eastAsia"/>
                <w:color w:val="000000"/>
                <w:lang w:eastAsia="zh-CN"/>
              </w:rPr>
              <w:t>。</w:t>
            </w:r>
          </w:p>
        </w:tc>
        <w:tc>
          <w:tcPr>
            <w:tcW w:w="2133" w:type="dxa"/>
            <w:shd w:val="clear" w:color="auto" w:fill="auto"/>
            <w:vAlign w:val="center"/>
          </w:tcPr>
          <w:p>
            <w:pPr>
              <w:jc w:val="both"/>
              <w:rPr>
                <w:color w:val="000000"/>
                <w:lang w:eastAsia="zh-CN"/>
              </w:rPr>
            </w:pPr>
            <w:r>
              <w:rPr>
                <w:rFonts w:hint="eastAsia"/>
                <w:color w:val="000000"/>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8"/>
              </w:numPr>
              <w:ind w:left="470" w:hanging="120" w:firstLineChars="0"/>
              <w:rPr>
                <w:rFonts w:ascii="Times New Roman" w:hAnsi="Times New Roman"/>
                <w:color w:val="000000"/>
                <w:kern w:val="0"/>
                <w:szCs w:val="20"/>
                <w:lang w:val="en-GB"/>
              </w:rPr>
            </w:pPr>
            <w:permStart w:id="16" w:edGrp="everyone"/>
          </w:p>
        </w:tc>
        <w:tc>
          <w:tcPr>
            <w:tcW w:w="7119" w:type="dxa"/>
            <w:shd w:val="clear" w:color="auto" w:fill="auto"/>
            <w:vAlign w:val="center"/>
          </w:tcPr>
          <w:p>
            <w:pPr>
              <w:spacing w:line="276" w:lineRule="auto"/>
              <w:jc w:val="both"/>
              <w:rPr>
                <w:color w:val="000000"/>
                <w:lang w:eastAsia="zh-CN"/>
              </w:rPr>
            </w:pPr>
            <w:r>
              <w:rPr>
                <w:rFonts w:hint="eastAsia"/>
                <w:color w:val="000000"/>
                <w:lang w:eastAsia="zh-CN"/>
              </w:rPr>
              <w:t>适用于我公司</w:t>
            </w:r>
            <w:r>
              <w:rPr>
                <w:color w:val="000000"/>
                <w:lang w:eastAsia="zh-CN"/>
              </w:rPr>
              <w:t>工作环境洁净级别：</w:t>
            </w:r>
            <w:r>
              <w:rPr>
                <w:rFonts w:hint="eastAsia"/>
                <w:color w:val="000000"/>
                <w:lang w:eastAsia="zh-CN"/>
              </w:rPr>
              <w:t>C级洁净区。</w:t>
            </w:r>
          </w:p>
        </w:tc>
        <w:tc>
          <w:tcPr>
            <w:tcW w:w="2133" w:type="dxa"/>
            <w:shd w:val="clear" w:color="auto" w:fill="auto"/>
            <w:vAlign w:val="center"/>
          </w:tcPr>
          <w:p>
            <w:pPr>
              <w:jc w:val="both"/>
              <w:rPr>
                <w:color w:val="000000"/>
                <w:lang w:eastAsia="zh-CN"/>
              </w:rPr>
            </w:pPr>
            <w:r>
              <w:rPr>
                <w:rFonts w:hint="eastAsia"/>
                <w:color w:val="000000"/>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9D9D9"/>
            <w:vAlign w:val="center"/>
          </w:tcPr>
          <w:p>
            <w:pPr>
              <w:pStyle w:val="32"/>
              <w:numPr>
                <w:ilvl w:val="0"/>
                <w:numId w:val="7"/>
              </w:numPr>
              <w:ind w:firstLineChars="0"/>
              <w:rPr>
                <w:rFonts w:ascii="Times New Roman" w:hAnsi="Times New Roman"/>
                <w:szCs w:val="21"/>
              </w:rPr>
            </w:pPr>
          </w:p>
        </w:tc>
        <w:tc>
          <w:tcPr>
            <w:tcW w:w="92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8"/>
              </w:numPr>
              <w:ind w:left="470" w:hanging="120" w:firstLineChars="0"/>
              <w:rPr>
                <w:rFonts w:ascii="Times New Roman" w:hAnsi="Times New Roman"/>
                <w:szCs w:val="21"/>
              </w:rPr>
            </w:pPr>
            <w:permStart w:id="17" w:edGrp="everyone"/>
          </w:p>
        </w:tc>
        <w:tc>
          <w:tcPr>
            <w:tcW w:w="7119" w:type="dxa"/>
            <w:shd w:val="clear" w:color="auto" w:fill="auto"/>
            <w:vAlign w:val="center"/>
          </w:tcPr>
          <w:p>
            <w:pPr>
              <w:spacing w:line="276" w:lineRule="auto"/>
              <w:jc w:val="both"/>
              <w:rPr>
                <w:color w:val="000000"/>
                <w:lang w:val="en-US" w:eastAsia="zh-CN"/>
              </w:rPr>
            </w:pPr>
            <w:r>
              <w:rPr>
                <w:lang w:eastAsia="zh-CN"/>
              </w:rPr>
              <w:t>适用于我公司交流电电源：</w:t>
            </w:r>
            <w:r>
              <w:rPr>
                <w:iCs/>
                <w:lang w:eastAsia="zh-CN"/>
              </w:rPr>
              <w:t xml:space="preserve">～220±10%V，50±1Hz </w:t>
            </w:r>
            <w:r>
              <w:rPr>
                <w:rFonts w:hint="eastAsia"/>
                <w:iCs/>
                <w:lang w:eastAsia="zh-CN"/>
              </w:rPr>
              <w:t>，</w:t>
            </w:r>
            <w:r>
              <w:rPr>
                <w:rFonts w:hint="eastAsia"/>
                <w:lang w:eastAsia="zh-CN"/>
              </w:rPr>
              <w:t>380</w:t>
            </w:r>
            <w:r>
              <w:rPr>
                <w:lang w:eastAsia="zh-CN"/>
              </w:rPr>
              <w:t>V, 50±1Hz</w:t>
            </w:r>
          </w:p>
        </w:tc>
        <w:tc>
          <w:tcPr>
            <w:tcW w:w="2133" w:type="dxa"/>
            <w:shd w:val="clear" w:color="auto" w:fill="auto"/>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D9D9D9"/>
            <w:vAlign w:val="center"/>
          </w:tcPr>
          <w:p>
            <w:pPr>
              <w:pStyle w:val="32"/>
              <w:numPr>
                <w:ilvl w:val="0"/>
                <w:numId w:val="7"/>
              </w:numPr>
              <w:ind w:firstLineChars="0"/>
              <w:rPr>
                <w:rFonts w:ascii="Times New Roman" w:hAnsi="Times New Roman"/>
                <w:szCs w:val="21"/>
              </w:rPr>
            </w:pPr>
          </w:p>
        </w:tc>
        <w:tc>
          <w:tcPr>
            <w:tcW w:w="92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8"/>
              </w:numPr>
              <w:ind w:left="470" w:hanging="120" w:firstLineChars="0"/>
              <w:rPr>
                <w:rFonts w:ascii="Times New Roman" w:hAnsi="Times New Roman"/>
                <w:szCs w:val="21"/>
              </w:rPr>
            </w:pPr>
            <w:permStart w:id="18" w:edGrp="everyone"/>
          </w:p>
        </w:tc>
        <w:tc>
          <w:tcPr>
            <w:tcW w:w="7119" w:type="dxa"/>
            <w:shd w:val="clear" w:color="auto" w:fill="auto"/>
            <w:vAlign w:val="center"/>
          </w:tcPr>
          <w:p>
            <w:pPr>
              <w:spacing w:line="276" w:lineRule="auto"/>
              <w:jc w:val="both"/>
              <w:rPr>
                <w:i/>
                <w:color w:val="000000"/>
                <w:lang w:eastAsia="zh-CN"/>
              </w:rPr>
            </w:pPr>
            <w:r>
              <w:rPr>
                <w:rFonts w:hint="eastAsia" w:ascii="宋体" w:hAnsi="宋体"/>
                <w:lang w:eastAsia="zh-CN"/>
              </w:rPr>
              <w:t>设备外观应端正、整齐，不得有明显的偏歪。</w:t>
            </w:r>
            <w:r>
              <w:rPr>
                <w:rFonts w:hint="eastAsia"/>
                <w:szCs w:val="21"/>
                <w:lang w:eastAsia="zh-CN"/>
              </w:rPr>
              <w:t>内部</w:t>
            </w:r>
            <w:r>
              <w:rPr>
                <w:rFonts w:hint="eastAsia"/>
                <w:szCs w:val="21"/>
                <w:lang w:val="en-US" w:eastAsia="zh-CN"/>
              </w:rPr>
              <w:t>和外部不得有</w:t>
            </w:r>
            <w:r>
              <w:rPr>
                <w:rFonts w:hint="eastAsia" w:ascii="宋体" w:hAnsi="宋体"/>
                <w:lang w:eastAsia="zh-CN"/>
              </w:rPr>
              <w:t>毛刺和锈蚀等缺陷。</w:t>
            </w:r>
          </w:p>
        </w:tc>
        <w:tc>
          <w:tcPr>
            <w:tcW w:w="2133"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19" w:type="dxa"/>
            <w:shd w:val="clear" w:color="auto" w:fill="auto"/>
            <w:vAlign w:val="center"/>
          </w:tcPr>
          <w:p>
            <w:pPr>
              <w:spacing w:line="360" w:lineRule="auto"/>
              <w:jc w:val="both"/>
              <w:rPr>
                <w:color w:val="000000"/>
                <w:szCs w:val="21"/>
                <w:lang w:eastAsia="zh-CN"/>
              </w:rPr>
            </w:pPr>
            <w:r>
              <w:rPr>
                <w:color w:val="000000"/>
                <w:szCs w:val="21"/>
                <w:lang w:eastAsia="zh-CN"/>
              </w:rPr>
              <w:t>至少应有以下永久贴牢和清楚易认的标识：</w:t>
            </w:r>
          </w:p>
          <w:p>
            <w:pPr>
              <w:spacing w:line="360" w:lineRule="auto"/>
              <w:jc w:val="both"/>
              <w:rPr>
                <w:color w:val="000000"/>
                <w:szCs w:val="21"/>
                <w:lang w:eastAsia="zh-CN"/>
              </w:rPr>
            </w:pPr>
            <w:r>
              <w:rPr>
                <w:color w:val="000000"/>
                <w:szCs w:val="21"/>
                <w:lang w:eastAsia="zh-CN"/>
              </w:rPr>
              <w:t>（1）制造/供应单位；</w:t>
            </w:r>
          </w:p>
          <w:p>
            <w:pPr>
              <w:spacing w:line="360" w:lineRule="auto"/>
              <w:jc w:val="both"/>
              <w:rPr>
                <w:color w:val="000000"/>
                <w:szCs w:val="21"/>
                <w:lang w:eastAsia="zh-CN"/>
              </w:rPr>
            </w:pPr>
            <w:r>
              <w:rPr>
                <w:color w:val="000000"/>
                <w:szCs w:val="21"/>
                <w:lang w:eastAsia="zh-CN"/>
              </w:rPr>
              <w:t>（2）产品注册号；</w:t>
            </w:r>
          </w:p>
          <w:p>
            <w:pPr>
              <w:spacing w:line="360" w:lineRule="auto"/>
              <w:jc w:val="both"/>
              <w:rPr>
                <w:color w:val="000000"/>
                <w:szCs w:val="21"/>
                <w:lang w:eastAsia="zh-CN"/>
              </w:rPr>
            </w:pPr>
            <w:r>
              <w:rPr>
                <w:color w:val="000000"/>
                <w:szCs w:val="21"/>
                <w:lang w:eastAsia="zh-CN"/>
              </w:rPr>
              <w:t>（3）型号；</w:t>
            </w:r>
          </w:p>
          <w:p>
            <w:pPr>
              <w:spacing w:line="360" w:lineRule="auto"/>
              <w:jc w:val="both"/>
              <w:rPr>
                <w:color w:val="000000"/>
                <w:szCs w:val="21"/>
                <w:lang w:eastAsia="zh-CN"/>
              </w:rPr>
            </w:pPr>
            <w:r>
              <w:rPr>
                <w:color w:val="000000"/>
                <w:szCs w:val="21"/>
                <w:lang w:eastAsia="zh-CN"/>
              </w:rPr>
              <w:t>（4）生产日期或编号；</w:t>
            </w:r>
          </w:p>
          <w:p>
            <w:pPr>
              <w:spacing w:line="360" w:lineRule="auto"/>
              <w:jc w:val="both"/>
              <w:rPr>
                <w:color w:val="000000"/>
                <w:szCs w:val="21"/>
                <w:lang w:eastAsia="zh-CN"/>
              </w:rPr>
            </w:pPr>
            <w:r>
              <w:rPr>
                <w:color w:val="000000"/>
                <w:szCs w:val="21"/>
                <w:lang w:eastAsia="zh-CN"/>
              </w:rPr>
              <w:t>（5）对设备必要的说明；</w:t>
            </w:r>
          </w:p>
          <w:p>
            <w:pPr>
              <w:spacing w:line="276" w:lineRule="auto"/>
              <w:jc w:val="both"/>
              <w:rPr>
                <w:rFonts w:ascii="宋体" w:hAnsi="宋体"/>
                <w:lang w:eastAsia="zh-CN"/>
              </w:rPr>
            </w:pPr>
            <w:r>
              <w:rPr>
                <w:color w:val="000000"/>
                <w:szCs w:val="21"/>
              </w:rPr>
              <w:t>（</w:t>
            </w:r>
            <w:r>
              <w:rPr>
                <w:color w:val="000000"/>
                <w:szCs w:val="21"/>
                <w:lang w:eastAsia="zh-CN"/>
              </w:rPr>
              <w:t>6</w:t>
            </w:r>
            <w:r>
              <w:rPr>
                <w:color w:val="000000"/>
                <w:szCs w:val="21"/>
              </w:rPr>
              <w:t>）安全标识。</w:t>
            </w:r>
          </w:p>
        </w:tc>
        <w:tc>
          <w:tcPr>
            <w:tcW w:w="2133"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19" w:type="dxa"/>
            <w:shd w:val="clear" w:color="auto" w:fill="auto"/>
            <w:vAlign w:val="center"/>
          </w:tcPr>
          <w:p>
            <w:pPr>
              <w:spacing w:line="276" w:lineRule="auto"/>
              <w:jc w:val="both"/>
              <w:rPr>
                <w:rFonts w:ascii="宋体" w:hAnsi="宋体"/>
                <w:lang w:eastAsia="zh-CN"/>
              </w:rPr>
            </w:pPr>
            <w:r>
              <w:rPr>
                <w:rFonts w:hint="eastAsia" w:ascii="Arial" w:hAnsi="Arial" w:cs="Arial"/>
                <w:color w:val="333333"/>
                <w:szCs w:val="21"/>
                <w:shd w:val="clear" w:color="auto" w:fill="FFFFFF"/>
                <w:lang w:val="en-US" w:eastAsia="zh-CN"/>
              </w:rPr>
              <w:t>钢体材质</w:t>
            </w:r>
            <w:r>
              <w:rPr>
                <w:rFonts w:hint="eastAsia"/>
                <w:szCs w:val="21"/>
                <w:lang w:val="en-US" w:eastAsia="zh-CN"/>
              </w:rPr>
              <w:t>（要符合我国</w:t>
            </w:r>
            <w:r>
              <w:rPr>
                <w:color w:val="333333"/>
                <w:szCs w:val="21"/>
                <w:shd w:val="clear" w:color="auto" w:fill="FFFFFF"/>
                <w:lang w:eastAsia="zh-CN"/>
              </w:rPr>
              <w:t>GB/T20878-2007</w:t>
            </w:r>
            <w:r>
              <w:rPr>
                <w:rFonts w:hint="eastAsia" w:ascii="Arial" w:hAnsi="Arial" w:cs="Arial"/>
                <w:color w:val="333333"/>
                <w:szCs w:val="21"/>
                <w:shd w:val="clear" w:color="auto" w:fill="FFFFFF"/>
                <w:lang w:val="en-US" w:eastAsia="zh-CN"/>
              </w:rPr>
              <w:t>的标准）应</w:t>
            </w:r>
            <w:r>
              <w:rPr>
                <w:rFonts w:hint="eastAsia"/>
                <w:szCs w:val="21"/>
                <w:lang w:eastAsia="zh-CN"/>
              </w:rPr>
              <w:t>防腐蚀、易于清洁。</w:t>
            </w:r>
            <w:r>
              <w:rPr>
                <w:rFonts w:hAnsi="宋体"/>
                <w:szCs w:val="21"/>
                <w:lang w:eastAsia="zh-CN"/>
              </w:rPr>
              <w:t>优质硅橡胶等无毒、耐腐蚀、理化性能稳定的符合中国、</w:t>
            </w:r>
            <w:r>
              <w:rPr>
                <w:szCs w:val="21"/>
                <w:lang w:eastAsia="zh-CN"/>
              </w:rPr>
              <w:t>GMP</w:t>
            </w:r>
            <w:r>
              <w:rPr>
                <w:rFonts w:hAnsi="宋体"/>
                <w:szCs w:val="21"/>
                <w:lang w:eastAsia="zh-CN"/>
              </w:rPr>
              <w:t>标准的材质；设备所用全部材料均应具有详细的材质证明、检验文件。</w:t>
            </w:r>
          </w:p>
        </w:tc>
        <w:tc>
          <w:tcPr>
            <w:tcW w:w="2133"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19" w:type="dxa"/>
            <w:shd w:val="clear" w:color="auto" w:fill="auto"/>
            <w:vAlign w:val="center"/>
          </w:tcPr>
          <w:p>
            <w:pPr>
              <w:spacing w:line="276" w:lineRule="auto"/>
              <w:jc w:val="both"/>
              <w:rPr>
                <w:rFonts w:ascii="宋体" w:hAnsi="宋体"/>
                <w:lang w:eastAsia="zh-CN"/>
              </w:rPr>
            </w:pPr>
            <w:r>
              <w:rPr>
                <w:rFonts w:hint="eastAsia" w:ascii="宋体" w:hAnsi="宋体"/>
                <w:lang w:eastAsia="zh-CN"/>
              </w:rPr>
              <w:t>机身应有铭牌标识（包括厂家、标准、生产时间），设备标识要采用钢印铭牌并固定在可靠、易识别的地方，不要使用胶带式贴牌或喷码式贴牌。</w:t>
            </w:r>
          </w:p>
        </w:tc>
        <w:tc>
          <w:tcPr>
            <w:tcW w:w="2133"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1"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7119" w:type="dxa"/>
            <w:shd w:val="clear" w:color="auto" w:fill="auto"/>
            <w:vAlign w:val="center"/>
          </w:tcPr>
          <w:p>
            <w:pPr>
              <w:spacing w:line="276" w:lineRule="auto"/>
              <w:jc w:val="both"/>
              <w:rPr>
                <w:rFonts w:ascii="宋体" w:hAnsi="宋体"/>
                <w:lang w:eastAsia="zh-CN"/>
              </w:rPr>
            </w:pPr>
            <w:r>
              <w:rPr>
                <w:rFonts w:hint="eastAsia" w:ascii="宋体" w:hAnsi="宋体"/>
                <w:lang w:eastAsia="zh-CN"/>
              </w:rPr>
              <w:t>设</w:t>
            </w:r>
            <w:r>
              <w:rPr>
                <w:lang w:eastAsia="zh-CN"/>
              </w:rPr>
              <w:t>备在洁净区使用应满足整机能耐受4ml/m</w:t>
            </w:r>
            <w:r>
              <w:rPr>
                <w:vertAlign w:val="superscript"/>
                <w:lang w:eastAsia="zh-CN"/>
              </w:rPr>
              <w:t>3</w:t>
            </w:r>
            <w:r>
              <w:rPr>
                <w:lang w:eastAsia="zh-CN"/>
              </w:rPr>
              <w:t>甲醛熏蒸消毒</w:t>
            </w:r>
            <w:r>
              <w:rPr>
                <w:rFonts w:hint="eastAsia"/>
                <w:lang w:eastAsia="zh-CN"/>
              </w:rPr>
              <w:t>，</w:t>
            </w:r>
            <w:r>
              <w:rPr>
                <w:rFonts w:hint="eastAsia"/>
                <w:lang w:val="en-US" w:eastAsia="zh-CN"/>
              </w:rPr>
              <w:t>耐受VHP消毒（30%过氧化氢）</w:t>
            </w:r>
            <w:r>
              <w:rPr>
                <w:lang w:eastAsia="zh-CN"/>
              </w:rPr>
              <w:t>并能耐受75%</w:t>
            </w:r>
            <w:r>
              <w:rPr>
                <w:lang w:val="en-US" w:eastAsia="zh-CN"/>
              </w:rPr>
              <w:t>乙醇溶液</w:t>
            </w:r>
            <w:r>
              <w:rPr>
                <w:lang w:eastAsia="zh-CN"/>
              </w:rPr>
              <w:t>、1%84</w:t>
            </w:r>
            <w:r>
              <w:rPr>
                <w:lang w:val="en-US" w:eastAsia="zh-CN"/>
              </w:rPr>
              <w:t>消毒</w:t>
            </w:r>
            <w:r>
              <w:rPr>
                <w:rFonts w:hint="eastAsia"/>
                <w:lang w:val="en-US" w:eastAsia="zh-CN"/>
              </w:rPr>
              <w:t>剂</w:t>
            </w:r>
            <w:r>
              <w:rPr>
                <w:lang w:eastAsia="zh-CN"/>
              </w:rPr>
              <w:t>、0.1</w:t>
            </w:r>
            <w:r>
              <w:rPr>
                <w:lang w:val="en-US" w:eastAsia="zh-CN"/>
              </w:rPr>
              <w:t>%</w:t>
            </w:r>
            <w:r>
              <w:rPr>
                <w:lang w:eastAsia="zh-CN"/>
              </w:rPr>
              <w:t>新洁尔灭</w:t>
            </w:r>
            <w:r>
              <w:rPr>
                <w:rFonts w:hint="eastAsia"/>
                <w:lang w:val="en-US" w:eastAsia="zh-CN"/>
              </w:rPr>
              <w:t>溶液、杀孢子剂、酸性苯酚、碱性苯酚</w:t>
            </w:r>
            <w:r>
              <w:rPr>
                <w:lang w:eastAsia="zh-CN"/>
              </w:rPr>
              <w:t>表面擦拭消毒，易于清洁，无死角。</w:t>
            </w:r>
          </w:p>
        </w:tc>
        <w:tc>
          <w:tcPr>
            <w:tcW w:w="2133" w:type="dxa"/>
            <w:shd w:val="clear" w:color="auto" w:fill="auto"/>
            <w:vAlign w:val="center"/>
          </w:tcPr>
          <w:p>
            <w:pPr>
              <w:rPr>
                <w:szCs w:val="21"/>
                <w:lang w:eastAsia="zh-CN"/>
              </w:rPr>
            </w:pPr>
            <w:r>
              <w:rPr>
                <w:rFonts w:hint="eastAsia"/>
                <w:szCs w:val="21"/>
                <w:lang w:eastAsia="zh-CN"/>
              </w:rPr>
              <w:t>关键</w:t>
            </w:r>
          </w:p>
        </w:tc>
      </w:tr>
      <w:bookmarkEnd w:id="23"/>
      <w:bookmarkEnd w:id="24"/>
      <w:permEnd w:id="18"/>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42"/>
        <w:spacing w:before="0" w:line="360" w:lineRule="auto"/>
        <w:ind w:left="357"/>
        <w:jc w:val="left"/>
        <w:rPr>
          <w:bCs/>
          <w:i/>
          <w:color w:val="4472C4"/>
          <w:kern w:val="44"/>
          <w:szCs w:val="21"/>
          <w:lang w:eastAsia="zh-CN"/>
        </w:rPr>
      </w:pPr>
      <w:permStart w:id="19" w:edGrp="everyone"/>
    </w:p>
    <w:permEnd w:id="19"/>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6997"/>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93" w:type="dxa"/>
            <w:shd w:val="clear" w:color="auto" w:fill="D9D9D9"/>
            <w:vAlign w:val="center"/>
          </w:tcPr>
          <w:p>
            <w:pPr>
              <w:jc w:val="center"/>
              <w:rPr>
                <w:b/>
                <w:szCs w:val="21"/>
              </w:rPr>
            </w:pPr>
            <w:r>
              <w:rPr>
                <w:b/>
                <w:szCs w:val="21"/>
              </w:rPr>
              <w:t>编号</w:t>
            </w:r>
          </w:p>
        </w:tc>
        <w:tc>
          <w:tcPr>
            <w:tcW w:w="6997" w:type="dxa"/>
            <w:shd w:val="clear" w:color="auto" w:fill="D9D9D9"/>
            <w:vAlign w:val="center"/>
          </w:tcPr>
          <w:p>
            <w:pPr>
              <w:jc w:val="center"/>
              <w:rPr>
                <w:b/>
                <w:szCs w:val="21"/>
                <w:lang w:eastAsia="zh-CN"/>
              </w:rPr>
            </w:pPr>
            <w:r>
              <w:rPr>
                <w:b/>
                <w:szCs w:val="21"/>
                <w:lang w:eastAsia="zh-CN"/>
              </w:rPr>
              <w:t>需求</w:t>
            </w:r>
          </w:p>
        </w:tc>
        <w:tc>
          <w:tcPr>
            <w:tcW w:w="2273"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9D9D9"/>
            <w:vAlign w:val="center"/>
          </w:tcPr>
          <w:p>
            <w:pPr>
              <w:pStyle w:val="32"/>
              <w:numPr>
                <w:ilvl w:val="0"/>
                <w:numId w:val="9"/>
              </w:numPr>
              <w:ind w:firstLineChars="0"/>
              <w:rPr>
                <w:rFonts w:ascii="Times New Roman" w:hAnsi="Times New Roman"/>
                <w:szCs w:val="21"/>
              </w:rPr>
            </w:pPr>
          </w:p>
        </w:tc>
        <w:tc>
          <w:tcPr>
            <w:tcW w:w="9270"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8D8D8" w:themeFill="background1" w:themeFillShade="D9"/>
            <w:vAlign w:val="center"/>
          </w:tcPr>
          <w:p>
            <w:pPr>
              <w:pStyle w:val="32"/>
              <w:ind w:firstLine="0" w:firstLineChars="0"/>
              <w:rPr>
                <w:rFonts w:ascii="Times New Roman" w:hAnsi="Times New Roman"/>
                <w:color w:val="000000"/>
                <w:kern w:val="0"/>
                <w:szCs w:val="21"/>
                <w:lang w:val="en-GB"/>
              </w:rPr>
            </w:pPr>
            <w:permStart w:id="20" w:edGrp="everyone"/>
          </w:p>
        </w:tc>
        <w:tc>
          <w:tcPr>
            <w:tcW w:w="9270" w:type="dxa"/>
            <w:gridSpan w:val="2"/>
            <w:shd w:val="clear" w:color="auto" w:fill="FFFFFF" w:themeFill="background1"/>
            <w:vAlign w:val="center"/>
          </w:tcPr>
          <w:p>
            <w:pPr>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293" w:type="dxa"/>
            <w:shd w:val="clear" w:color="auto" w:fill="D9D9D9"/>
            <w:vAlign w:val="center"/>
          </w:tcPr>
          <w:p>
            <w:pPr>
              <w:pStyle w:val="32"/>
              <w:numPr>
                <w:ilvl w:val="0"/>
                <w:numId w:val="9"/>
              </w:numPr>
              <w:ind w:firstLineChars="0"/>
              <w:rPr>
                <w:rFonts w:ascii="Times New Roman" w:hAnsi="Times New Roman"/>
                <w:szCs w:val="21"/>
              </w:rPr>
            </w:pPr>
          </w:p>
        </w:tc>
        <w:tc>
          <w:tcPr>
            <w:tcW w:w="9270"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auto"/>
            <w:vAlign w:val="center"/>
          </w:tcPr>
          <w:p>
            <w:pPr>
              <w:pStyle w:val="32"/>
              <w:numPr>
                <w:ilvl w:val="0"/>
                <w:numId w:val="8"/>
              </w:numPr>
              <w:ind w:left="470" w:hanging="120" w:firstLineChars="0"/>
              <w:rPr>
                <w:rFonts w:ascii="Times New Roman" w:hAnsi="Times New Roman"/>
                <w:szCs w:val="21"/>
              </w:rPr>
            </w:pPr>
            <w:permStart w:id="21" w:edGrp="everyone"/>
          </w:p>
        </w:tc>
        <w:tc>
          <w:tcPr>
            <w:tcW w:w="6997" w:type="dxa"/>
            <w:shd w:val="clear" w:color="auto" w:fill="auto"/>
            <w:vAlign w:val="center"/>
          </w:tcPr>
          <w:p>
            <w:pPr>
              <w:spacing w:line="276" w:lineRule="auto"/>
              <w:jc w:val="both"/>
              <w:rPr>
                <w:szCs w:val="21"/>
                <w:lang w:val="en-US" w:eastAsia="zh-CN"/>
              </w:rPr>
            </w:pPr>
            <w:r>
              <w:rPr>
                <w:rFonts w:hAnsi="宋体"/>
                <w:szCs w:val="21"/>
                <w:lang w:eastAsia="zh-CN"/>
              </w:rPr>
              <w:t>设备的设计与安装应符合药品生产及工艺的要求，安全、稳定、可靠，易于清洗，便于生产操作和维修保养，并能防止差错和交叉污染。</w:t>
            </w:r>
          </w:p>
        </w:tc>
        <w:tc>
          <w:tcPr>
            <w:tcW w:w="2273" w:type="dxa"/>
            <w:shd w:val="clear" w:color="auto" w:fill="auto"/>
            <w:vAlign w:val="center"/>
          </w:tcPr>
          <w:p>
            <w:pPr>
              <w:jc w:val="both"/>
              <w:rPr>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9D9D9"/>
            <w:vAlign w:val="center"/>
          </w:tcPr>
          <w:p>
            <w:pPr>
              <w:pStyle w:val="32"/>
              <w:numPr>
                <w:ilvl w:val="0"/>
                <w:numId w:val="9"/>
              </w:numPr>
              <w:ind w:firstLineChars="0"/>
              <w:rPr>
                <w:rFonts w:ascii="Times New Roman" w:hAnsi="Times New Roman"/>
                <w:szCs w:val="21"/>
              </w:rPr>
            </w:pPr>
          </w:p>
        </w:tc>
        <w:tc>
          <w:tcPr>
            <w:tcW w:w="9270"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auto"/>
            <w:vAlign w:val="center"/>
          </w:tcPr>
          <w:p>
            <w:pPr>
              <w:pStyle w:val="32"/>
              <w:numPr>
                <w:ilvl w:val="0"/>
                <w:numId w:val="8"/>
              </w:numPr>
              <w:ind w:left="470" w:hanging="120" w:firstLineChars="0"/>
              <w:rPr>
                <w:rFonts w:ascii="Times New Roman" w:hAnsi="Times New Roman"/>
                <w:szCs w:val="21"/>
              </w:rPr>
            </w:pPr>
            <w:permStart w:id="22" w:edGrp="everyone"/>
          </w:p>
        </w:tc>
        <w:tc>
          <w:tcPr>
            <w:tcW w:w="6997" w:type="dxa"/>
            <w:shd w:val="clear" w:color="auto" w:fill="auto"/>
            <w:vAlign w:val="center"/>
          </w:tcPr>
          <w:p>
            <w:pPr>
              <w:spacing w:line="276" w:lineRule="auto"/>
              <w:jc w:val="both"/>
              <w:rPr>
                <w:szCs w:val="21"/>
                <w:lang w:val="en-US" w:eastAsia="zh-CN"/>
              </w:rPr>
            </w:pPr>
            <w:r>
              <w:rPr>
                <w:rFonts w:hint="eastAsia"/>
                <w:szCs w:val="21"/>
                <w:lang w:eastAsia="zh-CN"/>
              </w:rPr>
              <w:t>程序控温装置要求</w:t>
            </w:r>
            <w:r>
              <w:rPr>
                <w:rFonts w:hint="eastAsia"/>
                <w:szCs w:val="21"/>
                <w:lang w:val="en-US" w:eastAsia="zh-CN"/>
              </w:rPr>
              <w:t>满</w:t>
            </w:r>
            <w:r>
              <w:rPr>
                <w:rFonts w:hint="eastAsia"/>
                <w:szCs w:val="21"/>
                <w:lang w:eastAsia="zh-CN"/>
              </w:rPr>
              <w:t>载</w:t>
            </w:r>
            <w:r>
              <w:rPr>
                <w:rFonts w:hint="eastAsia"/>
                <w:sz w:val="21"/>
                <w:szCs w:val="21"/>
                <w:lang w:eastAsia="zh-CN"/>
              </w:rPr>
              <w:t>控温范围：</w:t>
            </w:r>
            <w:r>
              <w:rPr>
                <w:rFonts w:hint="eastAsia"/>
                <w:sz w:val="21"/>
                <w:szCs w:val="21"/>
                <w:lang w:val="en-US" w:eastAsia="zh-CN"/>
              </w:rPr>
              <w:t>2</w:t>
            </w:r>
            <w:r>
              <w:rPr>
                <w:rFonts w:hint="eastAsia"/>
                <w:sz w:val="21"/>
                <w:szCs w:val="21"/>
                <w:lang w:eastAsia="zh-CN"/>
              </w:rPr>
              <w:t>-</w:t>
            </w:r>
            <w:r>
              <w:rPr>
                <w:rFonts w:hint="eastAsia"/>
                <w:sz w:val="21"/>
                <w:szCs w:val="21"/>
                <w:lang w:val="en-US" w:eastAsia="zh-CN"/>
              </w:rPr>
              <w:t>8</w:t>
            </w:r>
            <w:r>
              <w:rPr>
                <w:rFonts w:hint="eastAsia"/>
                <w:sz w:val="21"/>
                <w:szCs w:val="21"/>
                <w:lang w:eastAsia="zh-CN"/>
              </w:rPr>
              <w:t>℃</w:t>
            </w:r>
          </w:p>
        </w:tc>
        <w:tc>
          <w:tcPr>
            <w:tcW w:w="2273"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6997" w:type="dxa"/>
            <w:shd w:val="clear" w:color="auto" w:fill="auto"/>
            <w:vAlign w:val="center"/>
          </w:tcPr>
          <w:p>
            <w:pPr>
              <w:spacing w:line="300" w:lineRule="auto"/>
              <w:rPr>
                <w:szCs w:val="21"/>
                <w:lang w:val="en-US" w:eastAsia="zh-CN"/>
              </w:rPr>
            </w:pPr>
            <w:r>
              <w:rPr>
                <w:rFonts w:hint="eastAsia"/>
                <w:szCs w:val="21"/>
                <w:lang w:eastAsia="zh-CN"/>
              </w:rPr>
              <w:t>控制</w:t>
            </w:r>
            <w:r>
              <w:rPr>
                <w:rFonts w:hint="eastAsia"/>
                <w:szCs w:val="21"/>
                <w:lang w:val="en-US" w:eastAsia="zh-CN"/>
              </w:rPr>
              <w:t>1套1000</w:t>
            </w:r>
            <w:r>
              <w:rPr>
                <w:rFonts w:hint="eastAsia"/>
                <w:szCs w:val="21"/>
                <w:lang w:eastAsia="zh-CN"/>
              </w:rPr>
              <w:t>L移动储液车恒温循环控制器，制冷功率不</w:t>
            </w:r>
            <w:r>
              <w:rPr>
                <w:rFonts w:hint="eastAsia"/>
                <w:szCs w:val="21"/>
                <w:lang w:val="en-US" w:eastAsia="zh-CN"/>
              </w:rPr>
              <w:t>高于10</w:t>
            </w:r>
            <w:r>
              <w:rPr>
                <w:rFonts w:hint="eastAsia"/>
                <w:szCs w:val="21"/>
                <w:lang w:eastAsia="zh-CN"/>
              </w:rPr>
              <w:t>K</w:t>
            </w:r>
            <w:r>
              <w:rPr>
                <w:rFonts w:hint="eastAsia"/>
                <w:szCs w:val="21"/>
                <w:lang w:val="en-US" w:eastAsia="zh-CN"/>
              </w:rPr>
              <w:t>W</w:t>
            </w:r>
            <w:r>
              <w:rPr>
                <w:rFonts w:hint="eastAsia"/>
                <w:szCs w:val="21"/>
                <w:lang w:eastAsia="zh-CN"/>
              </w:rPr>
              <w:t>。</w:t>
            </w:r>
          </w:p>
        </w:tc>
        <w:tc>
          <w:tcPr>
            <w:tcW w:w="2273" w:type="dxa"/>
            <w:shd w:val="clear" w:color="auto" w:fill="auto"/>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auto"/>
            <w:vAlign w:val="center"/>
          </w:tcPr>
          <w:p>
            <w:pPr>
              <w:pStyle w:val="32"/>
              <w:numPr>
                <w:ilvl w:val="0"/>
                <w:numId w:val="8"/>
              </w:numPr>
              <w:ind w:left="470" w:hanging="120" w:firstLineChars="0"/>
              <w:rPr>
                <w:rFonts w:ascii="Times New Roman" w:hAnsi="Times New Roman"/>
                <w:szCs w:val="21"/>
              </w:rPr>
            </w:pPr>
            <w:permStart w:id="23" w:edGrp="everyone"/>
          </w:p>
        </w:tc>
        <w:tc>
          <w:tcPr>
            <w:tcW w:w="6997" w:type="dxa"/>
            <w:shd w:val="clear" w:color="auto" w:fill="auto"/>
            <w:vAlign w:val="center"/>
          </w:tcPr>
          <w:p>
            <w:pPr>
              <w:pStyle w:val="8"/>
              <w:rPr>
                <w:sz w:val="21"/>
                <w:szCs w:val="21"/>
                <w:lang w:val="en-US" w:eastAsia="zh-CN"/>
              </w:rPr>
            </w:pPr>
            <w:r>
              <w:rPr>
                <w:rFonts w:hint="eastAsia"/>
                <w:sz w:val="21"/>
                <w:szCs w:val="21"/>
                <w:lang w:val="en-US" w:eastAsia="zh-CN"/>
              </w:rPr>
              <w:t>1台TCU给1辆1000L储液车内的1000L液体进行降温。</w:t>
            </w:r>
          </w:p>
        </w:tc>
        <w:tc>
          <w:tcPr>
            <w:tcW w:w="2273"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6997" w:type="dxa"/>
            <w:shd w:val="clear" w:color="auto" w:fill="auto"/>
            <w:vAlign w:val="center"/>
          </w:tcPr>
          <w:p>
            <w:pPr>
              <w:pStyle w:val="8"/>
              <w:spacing w:line="460" w:lineRule="exact"/>
              <w:rPr>
                <w:sz w:val="21"/>
                <w:szCs w:val="21"/>
                <w:lang w:eastAsia="zh-CN"/>
              </w:rPr>
            </w:pPr>
            <w:r>
              <w:rPr>
                <w:rFonts w:hint="eastAsia"/>
                <w:sz w:val="21"/>
                <w:szCs w:val="21"/>
                <w:lang w:eastAsia="zh-CN"/>
              </w:rPr>
              <w:t>手动控制启动/停止、</w:t>
            </w:r>
            <w:r>
              <w:rPr>
                <w:rFonts w:hint="eastAsia"/>
                <w:sz w:val="21"/>
                <w:szCs w:val="21"/>
                <w:lang w:val="en-US" w:eastAsia="zh-CN"/>
              </w:rPr>
              <w:t>降温</w:t>
            </w:r>
            <w:r>
              <w:rPr>
                <w:rFonts w:hint="eastAsia"/>
                <w:sz w:val="21"/>
                <w:szCs w:val="21"/>
                <w:lang w:eastAsia="zh-CN"/>
              </w:rPr>
              <w:t>速度调节。</w:t>
            </w:r>
          </w:p>
        </w:tc>
        <w:tc>
          <w:tcPr>
            <w:tcW w:w="2273"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6997" w:type="dxa"/>
            <w:shd w:val="clear" w:color="auto" w:fill="auto"/>
            <w:vAlign w:val="center"/>
          </w:tcPr>
          <w:p>
            <w:pPr>
              <w:pStyle w:val="8"/>
              <w:spacing w:line="460" w:lineRule="exact"/>
              <w:rPr>
                <w:sz w:val="21"/>
                <w:szCs w:val="21"/>
                <w:lang w:val="en-US" w:eastAsia="zh-CN"/>
              </w:rPr>
            </w:pPr>
            <w:r>
              <w:rPr>
                <w:rFonts w:hint="eastAsia"/>
                <w:sz w:val="21"/>
                <w:szCs w:val="21"/>
                <w:lang w:val="en-US" w:eastAsia="zh-CN"/>
              </w:rPr>
              <w:t>滚轮：底座带4个卫生级橡胶轮，防止损坏地面，并带有防滑刹车。</w:t>
            </w:r>
          </w:p>
        </w:tc>
        <w:tc>
          <w:tcPr>
            <w:tcW w:w="2273"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6997" w:type="dxa"/>
            <w:shd w:val="clear" w:color="auto" w:fill="auto"/>
            <w:vAlign w:val="center"/>
          </w:tcPr>
          <w:p>
            <w:pPr>
              <w:pStyle w:val="8"/>
              <w:spacing w:line="460" w:lineRule="exact"/>
              <w:rPr>
                <w:sz w:val="21"/>
                <w:szCs w:val="21"/>
                <w:lang w:val="en-US" w:eastAsia="zh-CN"/>
              </w:rPr>
            </w:pPr>
            <w:r>
              <w:rPr>
                <w:sz w:val="21"/>
                <w:szCs w:val="21"/>
                <w:lang w:eastAsia="zh-CN"/>
              </w:rPr>
              <w:t>噪音应≤</w:t>
            </w:r>
            <w:r>
              <w:rPr>
                <w:rFonts w:hint="eastAsia"/>
                <w:color w:val="auto"/>
                <w:sz w:val="21"/>
                <w:szCs w:val="21"/>
                <w:lang w:eastAsia="zh-CN"/>
              </w:rPr>
              <w:t>65d</w:t>
            </w:r>
            <w:r>
              <w:rPr>
                <w:color w:val="auto"/>
                <w:sz w:val="21"/>
                <w:szCs w:val="21"/>
                <w:lang w:eastAsia="zh-CN"/>
              </w:rPr>
              <w:t>b</w:t>
            </w:r>
          </w:p>
        </w:tc>
        <w:tc>
          <w:tcPr>
            <w:tcW w:w="2273"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6997" w:type="dxa"/>
            <w:shd w:val="clear" w:color="auto" w:fill="auto"/>
            <w:vAlign w:val="center"/>
          </w:tcPr>
          <w:p>
            <w:pPr>
              <w:pStyle w:val="8"/>
              <w:spacing w:line="460" w:lineRule="exact"/>
              <w:rPr>
                <w:rFonts w:hint="default"/>
                <w:sz w:val="21"/>
                <w:szCs w:val="21"/>
                <w:lang w:val="en-US" w:eastAsia="zh-CN"/>
              </w:rPr>
            </w:pPr>
            <w:r>
              <w:rPr>
                <w:rFonts w:hint="eastAsia"/>
                <w:sz w:val="21"/>
                <w:szCs w:val="21"/>
                <w:lang w:val="en-US" w:eastAsia="zh-CN"/>
              </w:rPr>
              <w:t>冷媒介质：</w:t>
            </w:r>
            <w:r>
              <w:rPr>
                <w:rFonts w:hint="eastAsia"/>
                <w:color w:val="auto"/>
                <w:sz w:val="21"/>
                <w:szCs w:val="21"/>
                <w:lang w:val="en-US" w:eastAsia="zh-CN"/>
              </w:rPr>
              <w:t>水乙二醇混合溶液或注射用水</w:t>
            </w:r>
          </w:p>
        </w:tc>
        <w:tc>
          <w:tcPr>
            <w:tcW w:w="2273"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6997" w:type="dxa"/>
            <w:shd w:val="clear" w:color="auto" w:fill="auto"/>
            <w:vAlign w:val="center"/>
          </w:tcPr>
          <w:p>
            <w:pPr>
              <w:pStyle w:val="8"/>
              <w:spacing w:line="460" w:lineRule="exact"/>
              <w:rPr>
                <w:sz w:val="21"/>
                <w:szCs w:val="21"/>
                <w:lang w:val="en-US" w:eastAsia="zh-CN"/>
              </w:rPr>
            </w:pPr>
            <w:r>
              <w:rPr>
                <w:rFonts w:hint="eastAsia"/>
                <w:sz w:val="21"/>
                <w:szCs w:val="21"/>
                <w:lang w:val="en-US" w:eastAsia="zh-CN"/>
              </w:rPr>
              <w:t>防水级别IP32</w:t>
            </w:r>
          </w:p>
        </w:tc>
        <w:tc>
          <w:tcPr>
            <w:tcW w:w="2273"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auto"/>
            <w:vAlign w:val="center"/>
          </w:tcPr>
          <w:p>
            <w:pPr>
              <w:pStyle w:val="32"/>
              <w:numPr>
                <w:ilvl w:val="0"/>
                <w:numId w:val="8"/>
              </w:numPr>
              <w:ind w:left="470" w:hanging="120" w:firstLineChars="0"/>
              <w:rPr>
                <w:rFonts w:ascii="Times New Roman" w:hAnsi="Times New Roman"/>
                <w:szCs w:val="21"/>
              </w:rPr>
            </w:pPr>
          </w:p>
        </w:tc>
        <w:tc>
          <w:tcPr>
            <w:tcW w:w="6997" w:type="dxa"/>
            <w:shd w:val="clear" w:color="auto" w:fill="auto"/>
            <w:vAlign w:val="center"/>
          </w:tcPr>
          <w:p>
            <w:pPr>
              <w:pStyle w:val="8"/>
              <w:spacing w:line="460" w:lineRule="exact"/>
              <w:rPr>
                <w:sz w:val="21"/>
                <w:szCs w:val="21"/>
                <w:lang w:val="en-US" w:eastAsia="zh-CN"/>
              </w:rPr>
            </w:pPr>
            <w:r>
              <w:rPr>
                <w:rFonts w:hint="eastAsia"/>
                <w:sz w:val="21"/>
                <w:szCs w:val="21"/>
                <w:lang w:val="en-US" w:eastAsia="zh-CN"/>
              </w:rPr>
              <w:t>TCU循环管径型号为</w:t>
            </w:r>
            <w:r>
              <w:rPr>
                <w:rFonts w:hint="eastAsia"/>
                <w:color w:val="auto"/>
                <w:sz w:val="21"/>
                <w:szCs w:val="21"/>
                <w:lang w:val="en-US" w:eastAsia="zh-CN"/>
              </w:rPr>
              <w:t>DN</w:t>
            </w:r>
            <w:r>
              <w:rPr>
                <w:color w:val="auto"/>
                <w:sz w:val="21"/>
                <w:szCs w:val="21"/>
                <w:lang w:val="en-US" w:eastAsia="zh-CN"/>
              </w:rPr>
              <w:t xml:space="preserve">25 </w:t>
            </w:r>
          </w:p>
        </w:tc>
        <w:tc>
          <w:tcPr>
            <w:tcW w:w="2273" w:type="dxa"/>
            <w:shd w:val="clear" w:color="auto" w:fill="auto"/>
            <w:vAlign w:val="center"/>
          </w:tcPr>
          <w:p>
            <w:pPr>
              <w:jc w:val="both"/>
              <w:rPr>
                <w:szCs w:val="21"/>
                <w:lang w:val="en-US" w:eastAsia="zh-CN"/>
              </w:rPr>
            </w:pPr>
            <w:r>
              <w:rPr>
                <w:rFonts w:hint="eastAsia"/>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9D9D9"/>
            <w:vAlign w:val="center"/>
          </w:tcPr>
          <w:p>
            <w:pPr>
              <w:pStyle w:val="32"/>
              <w:numPr>
                <w:ilvl w:val="0"/>
                <w:numId w:val="9"/>
              </w:numPr>
              <w:ind w:firstLineChars="0"/>
              <w:rPr>
                <w:rFonts w:ascii="Times New Roman" w:hAnsi="Times New Roman"/>
                <w:szCs w:val="21"/>
              </w:rPr>
            </w:pPr>
          </w:p>
        </w:tc>
        <w:tc>
          <w:tcPr>
            <w:tcW w:w="9270"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7D7D7" w:themeFill="background1" w:themeFillShade="D8"/>
            <w:vAlign w:val="center"/>
          </w:tcPr>
          <w:p>
            <w:pPr>
              <w:jc w:val="center"/>
              <w:rPr>
                <w:szCs w:val="21"/>
                <w:lang w:eastAsia="zh-CN"/>
              </w:rPr>
            </w:pPr>
            <w:permStart w:id="24" w:edGrp="everyone"/>
          </w:p>
        </w:tc>
        <w:tc>
          <w:tcPr>
            <w:tcW w:w="9270" w:type="dxa"/>
            <w:gridSpan w:val="2"/>
            <w:shd w:val="clear" w:color="auto" w:fill="FFFFFF" w:themeFill="background1"/>
            <w:vAlign w:val="center"/>
          </w:tcPr>
          <w:p>
            <w:pPr>
              <w:rPr>
                <w:szCs w:val="21"/>
                <w:lang w:eastAsia="zh-CN"/>
              </w:rPr>
            </w:pPr>
            <w:r>
              <w:rPr>
                <w:rFonts w:hint="eastAsia"/>
                <w:szCs w:val="21"/>
                <w:lang w:eastAsia="zh-CN"/>
              </w:rPr>
              <w:t>N</w:t>
            </w:r>
            <w:r>
              <w:rPr>
                <w:rFonts w:hint="eastAsia"/>
                <w:szCs w:val="21"/>
                <w:lang w:val="en-US" w:eastAsia="zh-CN"/>
              </w:rPr>
              <w:t>/</w:t>
            </w:r>
            <w:r>
              <w:rPr>
                <w:rFonts w:hint="eastAsia"/>
                <w:szCs w:val="21"/>
                <w:lang w:eastAsia="zh-CN"/>
              </w:rPr>
              <w:t>A</w:t>
            </w:r>
          </w:p>
        </w:tc>
      </w:tr>
      <w:permEnd w:id="24"/>
    </w:tbl>
    <w:p>
      <w:pPr>
        <w:pStyle w:val="32"/>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60291"/>
      <w:bookmarkStart w:id="30" w:name="_Toc482369815"/>
      <w:bookmarkStart w:id="31" w:name="_Toc482717202"/>
      <w:bookmarkStart w:id="32" w:name="_Toc482370071"/>
      <w:bookmarkStart w:id="33" w:name="_Toc482370359"/>
      <w:bookmarkStart w:id="34" w:name="_Toc482359946"/>
      <w:bookmarkStart w:id="35" w:name="_Toc483227237"/>
      <w:bookmarkStart w:id="36" w:name="_Toc482625289"/>
      <w:bookmarkStart w:id="37" w:name="_Toc482370767"/>
      <w:bookmarkStart w:id="38" w:name="_Toc482370151"/>
      <w:bookmarkStart w:id="39" w:name="_Toc483400317"/>
      <w:bookmarkStart w:id="40" w:name="_Toc481702480"/>
      <w:r>
        <w:rPr>
          <w:rFonts w:ascii="Times New Roman" w:hAnsi="Times New Roman"/>
          <w:b/>
        </w:rPr>
        <w:t>电气、自动控制要求</w:t>
      </w:r>
      <w:bookmarkEnd w:id="27"/>
    </w:p>
    <w:p>
      <w:pPr>
        <w:pStyle w:val="42"/>
        <w:spacing w:before="0" w:line="360" w:lineRule="auto"/>
        <w:ind w:left="425"/>
        <w:jc w:val="left"/>
        <w:rPr>
          <w:i/>
          <w:color w:val="4472C4"/>
          <w:szCs w:val="21"/>
          <w:lang w:eastAsia="zh-CN"/>
        </w:rPr>
      </w:pPr>
      <w:permStart w:id="25" w:edGrp="everyone"/>
    </w:p>
    <w:permEnd w:id="25"/>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7"/>
        <w:gridCol w:w="6951"/>
        <w:gridCol w:w="171"/>
        <w:gridCol w:w="1910"/>
        <w:gridCol w:w="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 w:type="dxa"/>
          <w:cantSplit/>
          <w:trHeight w:val="680" w:hRule="atLeast"/>
          <w:tblHeader/>
          <w:jc w:val="center"/>
        </w:trPr>
        <w:tc>
          <w:tcPr>
            <w:tcW w:w="1289" w:type="dxa"/>
            <w:shd w:val="clear" w:color="auto" w:fill="D9D9D9"/>
            <w:vAlign w:val="center"/>
          </w:tcPr>
          <w:p>
            <w:pPr>
              <w:jc w:val="center"/>
              <w:rPr>
                <w:b/>
                <w:szCs w:val="21"/>
              </w:rPr>
            </w:pPr>
            <w:r>
              <w:rPr>
                <w:b/>
                <w:szCs w:val="21"/>
              </w:rPr>
              <w:t>编号</w:t>
            </w:r>
          </w:p>
        </w:tc>
        <w:tc>
          <w:tcPr>
            <w:tcW w:w="6971" w:type="dxa"/>
            <w:gridSpan w:val="2"/>
            <w:shd w:val="clear" w:color="auto" w:fill="D9D9D9"/>
            <w:vAlign w:val="center"/>
          </w:tcPr>
          <w:p>
            <w:pPr>
              <w:jc w:val="center"/>
              <w:rPr>
                <w:b/>
                <w:szCs w:val="21"/>
                <w:lang w:eastAsia="zh-CN"/>
              </w:rPr>
            </w:pPr>
            <w:r>
              <w:rPr>
                <w:b/>
                <w:szCs w:val="21"/>
                <w:lang w:eastAsia="zh-CN"/>
              </w:rPr>
              <w:t>需求</w:t>
            </w:r>
          </w:p>
        </w:tc>
        <w:tc>
          <w:tcPr>
            <w:tcW w:w="2082"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 w:type="dxa"/>
          <w:cantSplit/>
          <w:trHeight w:val="680" w:hRule="atLeast"/>
          <w:jc w:val="center"/>
        </w:trPr>
        <w:tc>
          <w:tcPr>
            <w:tcW w:w="1289" w:type="dxa"/>
            <w:shd w:val="clear" w:color="auto" w:fill="D9D9D9"/>
            <w:vAlign w:val="center"/>
          </w:tcPr>
          <w:p>
            <w:pPr>
              <w:pStyle w:val="32"/>
              <w:numPr>
                <w:ilvl w:val="2"/>
                <w:numId w:val="10"/>
              </w:numPr>
              <w:ind w:firstLineChars="0"/>
              <w:rPr>
                <w:rFonts w:ascii="Times New Roman" w:hAnsi="Times New Roman"/>
                <w:szCs w:val="21"/>
              </w:rPr>
            </w:pPr>
          </w:p>
        </w:tc>
        <w:tc>
          <w:tcPr>
            <w:tcW w:w="9053" w:type="dxa"/>
            <w:gridSpan w:val="4"/>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auto"/>
            <w:vAlign w:val="center"/>
          </w:tcPr>
          <w:p>
            <w:pPr>
              <w:pStyle w:val="32"/>
              <w:numPr>
                <w:ilvl w:val="0"/>
                <w:numId w:val="8"/>
              </w:numPr>
              <w:ind w:firstLineChars="0"/>
              <w:rPr>
                <w:rFonts w:ascii="Times New Roman" w:hAnsi="Times New Roman"/>
                <w:szCs w:val="21"/>
              </w:rPr>
            </w:pPr>
            <w:permStart w:id="26" w:edGrp="everyone"/>
          </w:p>
        </w:tc>
        <w:tc>
          <w:tcPr>
            <w:tcW w:w="7125" w:type="dxa"/>
            <w:gridSpan w:val="2"/>
            <w:shd w:val="clear" w:color="auto" w:fill="auto"/>
            <w:vAlign w:val="center"/>
          </w:tcPr>
          <w:p>
            <w:pPr>
              <w:rPr>
                <w:szCs w:val="21"/>
                <w:lang w:eastAsia="zh-CN"/>
              </w:rPr>
            </w:pPr>
            <w:r>
              <w:rPr>
                <w:rFonts w:hAnsi="宋体"/>
                <w:szCs w:val="21"/>
                <w:lang w:eastAsia="zh-CN"/>
              </w:rPr>
              <w:t>操作界面</w:t>
            </w:r>
            <w:r>
              <w:rPr>
                <w:rFonts w:hint="eastAsia" w:hAnsi="宋体"/>
                <w:szCs w:val="21"/>
                <w:lang w:eastAsia="zh-CN"/>
              </w:rPr>
              <w:t>简单</w:t>
            </w:r>
            <w:r>
              <w:rPr>
                <w:rFonts w:hAnsi="宋体"/>
                <w:szCs w:val="21"/>
                <w:lang w:eastAsia="zh-CN"/>
              </w:rPr>
              <w:t>，方便员工操作。运转时连续性好，协调性高。控制系统使用简便，可靠性高；</w:t>
            </w:r>
          </w:p>
        </w:tc>
        <w:tc>
          <w:tcPr>
            <w:tcW w:w="2128" w:type="dxa"/>
            <w:gridSpan w:val="2"/>
            <w:shd w:val="clear" w:color="auto" w:fill="auto"/>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 w:type="dxa"/>
          <w:cantSplit/>
          <w:trHeight w:val="680" w:hRule="atLeast"/>
          <w:jc w:val="center"/>
        </w:trPr>
        <w:tc>
          <w:tcPr>
            <w:tcW w:w="1289" w:type="dxa"/>
            <w:shd w:val="clear" w:color="auto" w:fill="D9D9D9"/>
            <w:vAlign w:val="center"/>
          </w:tcPr>
          <w:p>
            <w:pPr>
              <w:pStyle w:val="32"/>
              <w:numPr>
                <w:ilvl w:val="2"/>
                <w:numId w:val="10"/>
              </w:numPr>
              <w:ind w:firstLineChars="0"/>
              <w:rPr>
                <w:rFonts w:ascii="Times New Roman" w:hAnsi="Times New Roman"/>
                <w:szCs w:val="21"/>
              </w:rPr>
            </w:pPr>
          </w:p>
        </w:tc>
        <w:tc>
          <w:tcPr>
            <w:tcW w:w="9053" w:type="dxa"/>
            <w:gridSpan w:val="4"/>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3" w:type="dxa"/>
            <w:shd w:val="clear" w:color="auto" w:fill="D7D7D7" w:themeFill="background1" w:themeFillShade="D8"/>
            <w:vAlign w:val="center"/>
          </w:tcPr>
          <w:p>
            <w:pPr>
              <w:jc w:val="center"/>
              <w:rPr>
                <w:szCs w:val="21"/>
                <w:lang w:eastAsia="zh-CN"/>
              </w:rPr>
            </w:pPr>
            <w:permStart w:id="27" w:edGrp="everyone"/>
          </w:p>
        </w:tc>
        <w:tc>
          <w:tcPr>
            <w:tcW w:w="9270" w:type="dxa"/>
            <w:gridSpan w:val="5"/>
            <w:shd w:val="clear" w:color="auto" w:fill="FFFFFF" w:themeFill="background1"/>
            <w:vAlign w:val="center"/>
          </w:tcPr>
          <w:p>
            <w:pPr>
              <w:rPr>
                <w:szCs w:val="21"/>
                <w:lang w:eastAsia="zh-CN"/>
              </w:rPr>
            </w:pPr>
            <w:r>
              <w:rPr>
                <w:rFonts w:hint="eastAsia"/>
                <w:szCs w:val="21"/>
                <w:lang w:eastAsia="zh-CN"/>
              </w:rPr>
              <w:t>N</w:t>
            </w:r>
            <w:r>
              <w:rPr>
                <w:rFonts w:hint="eastAsia"/>
                <w:szCs w:val="21"/>
                <w:lang w:val="en-US" w:eastAsia="zh-CN"/>
              </w:rPr>
              <w:t>/</w:t>
            </w:r>
            <w:r>
              <w:rPr>
                <w:rFonts w:hint="eastAsia"/>
                <w:szCs w:val="21"/>
                <w:lang w:eastAsia="zh-CN"/>
              </w:rPr>
              <w:t>A</w:t>
            </w:r>
          </w:p>
        </w:tc>
      </w:tr>
      <w:permEnd w:id="27"/>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42"/>
        <w:spacing w:before="0" w:line="360" w:lineRule="auto"/>
        <w:ind w:left="357"/>
        <w:jc w:val="left"/>
        <w:rPr>
          <w:i/>
          <w:color w:val="4472C4"/>
          <w:szCs w:val="21"/>
          <w:lang w:eastAsia="zh-CN"/>
        </w:rPr>
      </w:pPr>
      <w:permStart w:id="28" w:edGrp="everyone"/>
      <w:r>
        <w:rPr>
          <w:i/>
          <w:color w:val="4472C4"/>
          <w:szCs w:val="21"/>
          <w:lang w:eastAsia="zh-CN"/>
        </w:rPr>
        <w:t>。</w:t>
      </w:r>
    </w:p>
    <w:permEnd w:id="28"/>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5"/>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5"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firstLineChars="0"/>
              <w:rPr>
                <w:rFonts w:ascii="Times New Roman" w:hAnsi="Times New Roman"/>
                <w:szCs w:val="21"/>
              </w:rPr>
            </w:pPr>
            <w:permStart w:id="29" w:edGrp="everyone"/>
          </w:p>
        </w:tc>
        <w:tc>
          <w:tcPr>
            <w:tcW w:w="7125" w:type="dxa"/>
            <w:shd w:val="clear" w:color="auto" w:fill="auto"/>
            <w:vAlign w:val="center"/>
          </w:tcPr>
          <w:p>
            <w:pPr>
              <w:jc w:val="both"/>
              <w:rPr>
                <w:szCs w:val="21"/>
                <w:lang w:eastAsia="zh-CN"/>
              </w:rPr>
            </w:pPr>
            <w:r>
              <w:rPr>
                <w:rFonts w:hint="eastAsia"/>
                <w:szCs w:val="21"/>
                <w:lang w:eastAsia="zh-CN"/>
              </w:rPr>
              <w:t>设备有压力保护功能。</w:t>
            </w:r>
          </w:p>
        </w:tc>
        <w:tc>
          <w:tcPr>
            <w:tcW w:w="2128" w:type="dxa"/>
            <w:shd w:val="clear" w:color="auto" w:fill="auto"/>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7125" w:type="dxa"/>
            <w:shd w:val="clear" w:color="auto" w:fill="D9D9D9"/>
            <w:vAlign w:val="center"/>
          </w:tcPr>
          <w:p>
            <w:pPr>
              <w:jc w:val="both"/>
              <w:rPr>
                <w:szCs w:val="21"/>
                <w:lang w:eastAsia="zh-CN"/>
              </w:rPr>
            </w:pPr>
            <w:r>
              <w:rPr>
                <w:szCs w:val="21"/>
                <w:lang w:eastAsia="zh-CN"/>
              </w:rPr>
              <w:t>电气保护</w:t>
            </w:r>
          </w:p>
        </w:tc>
        <w:tc>
          <w:tcPr>
            <w:tcW w:w="2128"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firstLineChars="0"/>
              <w:rPr>
                <w:rFonts w:ascii="Times New Roman" w:hAnsi="Times New Roman"/>
                <w:szCs w:val="21"/>
              </w:rPr>
            </w:pPr>
            <w:permStart w:id="30" w:edGrp="everyone"/>
          </w:p>
        </w:tc>
        <w:tc>
          <w:tcPr>
            <w:tcW w:w="7125" w:type="dxa"/>
            <w:shd w:val="clear" w:color="auto" w:fill="auto"/>
            <w:vAlign w:val="center"/>
          </w:tcPr>
          <w:p>
            <w:pPr>
              <w:jc w:val="both"/>
              <w:rPr>
                <w:szCs w:val="21"/>
                <w:lang w:eastAsia="zh-CN"/>
              </w:rPr>
            </w:pPr>
            <w:r>
              <w:rPr>
                <w:rFonts w:hint="eastAsia"/>
                <w:szCs w:val="21"/>
                <w:lang w:eastAsia="zh-CN"/>
              </w:rPr>
              <w:t>设备有漏电保护功能，具有断电保护措施：在断电下所有的阀门处于安全状态，并保持过程的完整性。电力供应的中断或中断后的恢复不应使机器突然启动。</w:t>
            </w:r>
          </w:p>
        </w:tc>
        <w:tc>
          <w:tcPr>
            <w:tcW w:w="2128" w:type="dxa"/>
            <w:shd w:val="clear" w:color="auto" w:fill="auto"/>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8"/>
              </w:numPr>
              <w:ind w:firstLineChars="0"/>
              <w:rPr>
                <w:rFonts w:ascii="Times New Roman" w:hAnsi="Times New Roman"/>
                <w:szCs w:val="21"/>
              </w:rPr>
            </w:pPr>
            <w:permStart w:id="31" w:edGrp="everyone"/>
          </w:p>
        </w:tc>
        <w:tc>
          <w:tcPr>
            <w:tcW w:w="7125" w:type="dxa"/>
            <w:shd w:val="clear" w:color="auto" w:fill="auto"/>
            <w:vAlign w:val="center"/>
          </w:tcPr>
          <w:p>
            <w:pPr>
              <w:jc w:val="both"/>
              <w:rPr>
                <w:szCs w:val="21"/>
                <w:lang w:eastAsia="zh-CN"/>
              </w:rPr>
            </w:pPr>
            <w:r>
              <w:rPr>
                <w:rFonts w:hint="eastAsia"/>
                <w:szCs w:val="21"/>
                <w:lang w:eastAsia="zh-CN"/>
              </w:rPr>
              <w:t>电气安全应符合GB4793.1和GB4793.4的要求</w:t>
            </w:r>
            <w:r>
              <w:rPr>
                <w:rFonts w:hint="eastAsia"/>
                <w:color w:val="auto"/>
                <w:szCs w:val="21"/>
                <w:lang w:eastAsia="zh-CN"/>
              </w:rPr>
              <w:t>。插座是380</w:t>
            </w:r>
            <w:r>
              <w:rPr>
                <w:color w:val="auto"/>
                <w:szCs w:val="21"/>
                <w:lang w:eastAsia="zh-CN"/>
              </w:rPr>
              <w:t>V</w:t>
            </w:r>
            <w:r>
              <w:rPr>
                <w:rFonts w:hint="eastAsia"/>
                <w:color w:val="auto"/>
                <w:szCs w:val="21"/>
                <w:lang w:eastAsia="zh-CN"/>
              </w:rPr>
              <w:t>五孔航插</w:t>
            </w:r>
          </w:p>
        </w:tc>
        <w:tc>
          <w:tcPr>
            <w:tcW w:w="2128" w:type="dxa"/>
            <w:shd w:val="clear" w:color="auto" w:fill="auto"/>
            <w:vAlign w:val="center"/>
          </w:tcPr>
          <w:p>
            <w:pPr>
              <w:jc w:val="both"/>
              <w:rPr>
                <w:szCs w:val="21"/>
                <w:lang w:eastAsia="zh-CN"/>
              </w:rPr>
            </w:pPr>
            <w:r>
              <w:rPr>
                <w:rFonts w:hint="eastAsia"/>
                <w:szCs w:val="21"/>
                <w:lang w:eastAsia="zh-CN"/>
              </w:rPr>
              <w:t>关键</w:t>
            </w:r>
          </w:p>
        </w:tc>
      </w:tr>
      <w:permEnd w:id="31"/>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6971"/>
        <w:gridCol w:w="2082"/>
        <w:gridCol w:w="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 w:type="dxa"/>
          <w:cantSplit/>
          <w:trHeight w:val="680" w:hRule="atLeast"/>
          <w:tblHeader/>
          <w:jc w:val="center"/>
        </w:trPr>
        <w:tc>
          <w:tcPr>
            <w:tcW w:w="1289" w:type="dxa"/>
            <w:shd w:val="clear" w:color="auto" w:fill="D9D9D9"/>
            <w:vAlign w:val="center"/>
          </w:tcPr>
          <w:p>
            <w:pPr>
              <w:jc w:val="center"/>
              <w:rPr>
                <w:b/>
                <w:szCs w:val="21"/>
              </w:rPr>
            </w:pPr>
            <w:permStart w:id="32" w:edGrp="everyone"/>
            <w:permEnd w:id="32"/>
            <w:r>
              <w:rPr>
                <w:b/>
                <w:szCs w:val="21"/>
              </w:rPr>
              <w:t>编号</w:t>
            </w:r>
          </w:p>
        </w:tc>
        <w:tc>
          <w:tcPr>
            <w:tcW w:w="6971"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ermStart w:id="33" w:edGrp="everyone"/>
          </w:p>
        </w:tc>
        <w:tc>
          <w:tcPr>
            <w:tcW w:w="6971" w:type="dxa"/>
            <w:shd w:val="clear" w:color="auto" w:fill="auto"/>
            <w:vAlign w:val="center"/>
          </w:tcPr>
          <w:p>
            <w:pPr>
              <w:jc w:val="both"/>
              <w:rPr>
                <w:szCs w:val="21"/>
                <w:lang w:eastAsia="zh-CN"/>
              </w:rPr>
            </w:pPr>
            <w:r>
              <w:rPr>
                <w:color w:val="000000"/>
                <w:szCs w:val="21"/>
                <w:lang w:eastAsia="zh-CN"/>
              </w:rPr>
              <w:t>在设备开箱验收前提供</w:t>
            </w:r>
            <w:r>
              <w:rPr>
                <w:rFonts w:hint="eastAsia"/>
                <w:color w:val="000000"/>
                <w:szCs w:val="21"/>
                <w:lang w:eastAsia="zh-CN"/>
              </w:rPr>
              <w:t>投标文件、合同文件及订单。</w:t>
            </w:r>
          </w:p>
        </w:tc>
        <w:tc>
          <w:tcPr>
            <w:tcW w:w="2303" w:type="dxa"/>
            <w:gridSpan w:val="2"/>
            <w:shd w:val="clear" w:color="auto" w:fill="auto"/>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ermStart w:id="34" w:edGrp="everyone"/>
          </w:p>
        </w:tc>
        <w:tc>
          <w:tcPr>
            <w:tcW w:w="6971" w:type="dxa"/>
            <w:shd w:val="clear" w:color="auto" w:fill="auto"/>
            <w:vAlign w:val="center"/>
          </w:tcPr>
          <w:p>
            <w:pPr>
              <w:jc w:val="both"/>
              <w:rPr>
                <w:szCs w:val="21"/>
                <w:lang w:eastAsia="zh-CN"/>
              </w:rPr>
            </w:pPr>
            <w:r>
              <w:rPr>
                <w:color w:val="000000"/>
                <w:szCs w:val="21"/>
                <w:lang w:eastAsia="zh-CN"/>
              </w:rPr>
              <w:t>在设备开箱验收前提供卖方发运清单及相关检验报告。</w:t>
            </w:r>
          </w:p>
        </w:tc>
        <w:tc>
          <w:tcPr>
            <w:tcW w:w="2303"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
        </w:tc>
        <w:tc>
          <w:tcPr>
            <w:tcW w:w="6971" w:type="dxa"/>
            <w:shd w:val="clear" w:color="auto" w:fill="auto"/>
            <w:vAlign w:val="center"/>
          </w:tcPr>
          <w:p>
            <w:pPr>
              <w:jc w:val="both"/>
              <w:rPr>
                <w:color w:val="000000"/>
                <w:szCs w:val="21"/>
                <w:lang w:val="en-US" w:eastAsia="zh-CN"/>
              </w:rPr>
            </w:pPr>
            <w:r>
              <w:rPr>
                <w:color w:val="000000"/>
                <w:szCs w:val="21"/>
                <w:lang w:val="en-US" w:eastAsia="zh-CN"/>
              </w:rPr>
              <w:t>在设备开箱验收前提供系统功能</w:t>
            </w:r>
            <w:r>
              <w:rPr>
                <w:color w:val="000000"/>
                <w:szCs w:val="21"/>
                <w:lang w:eastAsia="zh-CN"/>
              </w:rPr>
              <w:t>配置清单</w:t>
            </w:r>
            <w:r>
              <w:rPr>
                <w:color w:val="000000"/>
                <w:szCs w:val="21"/>
                <w:lang w:val="en-US" w:eastAsia="zh-CN"/>
              </w:rPr>
              <w:t>及说明</w:t>
            </w:r>
            <w:r>
              <w:rPr>
                <w:color w:val="000000"/>
                <w:szCs w:val="21"/>
                <w:lang w:eastAsia="zh-CN"/>
              </w:rPr>
              <w:t>，包含各组件名称、编号、型号、规格、品牌、材质等。</w:t>
            </w:r>
          </w:p>
        </w:tc>
        <w:tc>
          <w:tcPr>
            <w:tcW w:w="2303"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
        </w:tc>
        <w:tc>
          <w:tcPr>
            <w:tcW w:w="6971" w:type="dxa"/>
            <w:shd w:val="clear" w:color="auto" w:fill="auto"/>
            <w:vAlign w:val="center"/>
          </w:tcPr>
          <w:p>
            <w:pPr>
              <w:jc w:val="both"/>
              <w:rPr>
                <w:szCs w:val="21"/>
                <w:lang w:val="en-US" w:eastAsia="zh-CN"/>
              </w:rPr>
            </w:pPr>
            <w:r>
              <w:rPr>
                <w:color w:val="000000"/>
                <w:szCs w:val="21"/>
                <w:lang w:eastAsia="zh-CN"/>
              </w:rPr>
              <w:t>在设备开箱验收前提供</w:t>
            </w:r>
            <w:r>
              <w:rPr>
                <w:color w:val="000000"/>
                <w:szCs w:val="21"/>
                <w:lang w:val="en-US" w:eastAsia="zh-CN"/>
              </w:rPr>
              <w:t>系统选型文件，包括设备标准技术文件、</w:t>
            </w:r>
            <w:r>
              <w:rPr>
                <w:color w:val="000000"/>
                <w:szCs w:val="21"/>
                <w:lang w:eastAsia="zh-CN"/>
              </w:rPr>
              <w:t>功能说明、</w:t>
            </w:r>
            <w:r>
              <w:rPr>
                <w:color w:val="000000"/>
                <w:szCs w:val="21"/>
                <w:lang w:val="en-US" w:eastAsia="zh-CN"/>
              </w:rPr>
              <w:t>软硬件配置清单与说明。</w:t>
            </w:r>
          </w:p>
        </w:tc>
        <w:tc>
          <w:tcPr>
            <w:tcW w:w="2303"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
        </w:tc>
        <w:tc>
          <w:tcPr>
            <w:tcW w:w="6971" w:type="dxa"/>
            <w:shd w:val="clear" w:color="auto" w:fill="auto"/>
            <w:vAlign w:val="center"/>
          </w:tcPr>
          <w:p>
            <w:pPr>
              <w:jc w:val="both"/>
              <w:rPr>
                <w:szCs w:val="21"/>
                <w:lang w:eastAsia="zh-CN"/>
              </w:rPr>
            </w:pPr>
            <w:r>
              <w:rPr>
                <w:szCs w:val="21"/>
                <w:lang w:eastAsia="zh-CN"/>
              </w:rPr>
              <w:t>不晚于IQ开始前提供配件清单、易损件清单、备件、消耗品、仪表清单：包括名称、编号、对应厂家名称、生产地、规格及必要说明。</w:t>
            </w:r>
          </w:p>
        </w:tc>
        <w:tc>
          <w:tcPr>
            <w:tcW w:w="2303"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
        </w:tc>
        <w:tc>
          <w:tcPr>
            <w:tcW w:w="6971" w:type="dxa"/>
            <w:shd w:val="clear" w:color="auto" w:fill="auto"/>
            <w:vAlign w:val="center"/>
          </w:tcPr>
          <w:p>
            <w:pPr>
              <w:jc w:val="both"/>
              <w:rPr>
                <w:szCs w:val="21"/>
                <w:lang w:val="en-US" w:eastAsia="zh-CN"/>
              </w:rPr>
            </w:pPr>
            <w:r>
              <w:rPr>
                <w:szCs w:val="21"/>
                <w:lang w:val="en-US" w:eastAsia="zh-CN"/>
              </w:rPr>
              <w:t>设备开箱验收时提供设备操作手册（SOP）：语言为中文，应说明校准周期，并能提供校准服务（此项服务可付费</w:t>
            </w:r>
            <w:r>
              <w:rPr>
                <w:rFonts w:hint="eastAsia"/>
                <w:szCs w:val="21"/>
                <w:lang w:val="en-US" w:eastAsia="zh-CN"/>
              </w:rPr>
              <w:t>)</w:t>
            </w:r>
            <w:r>
              <w:rPr>
                <w:szCs w:val="21"/>
                <w:lang w:val="en-US" w:eastAsia="zh-CN"/>
              </w:rPr>
              <w:t>。</w:t>
            </w:r>
          </w:p>
        </w:tc>
        <w:tc>
          <w:tcPr>
            <w:tcW w:w="2303" w:type="dxa"/>
            <w:gridSpan w:val="2"/>
            <w:shd w:val="clear" w:color="auto" w:fill="auto"/>
            <w:vAlign w:val="center"/>
          </w:tcPr>
          <w:p>
            <w:pPr>
              <w:jc w:val="both"/>
              <w:rPr>
                <w:szCs w:val="21"/>
                <w:lang w:eastAsia="zh-CN"/>
              </w:rPr>
            </w:pPr>
            <w:r>
              <w:rPr>
                <w:rFonts w:hint="eastAsia"/>
                <w:kern w:val="2"/>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
        </w:tc>
        <w:tc>
          <w:tcPr>
            <w:tcW w:w="6971" w:type="dxa"/>
            <w:shd w:val="clear" w:color="auto" w:fill="auto"/>
            <w:vAlign w:val="center"/>
          </w:tcPr>
          <w:p>
            <w:pPr>
              <w:jc w:val="both"/>
              <w:rPr>
                <w:szCs w:val="21"/>
                <w:lang w:eastAsia="zh-CN"/>
              </w:rPr>
            </w:pPr>
            <w:r>
              <w:rPr>
                <w:szCs w:val="21"/>
                <w:lang w:eastAsia="zh-CN"/>
              </w:rPr>
              <w:t>设备开箱验收前提供安全报告。</w:t>
            </w:r>
          </w:p>
        </w:tc>
        <w:tc>
          <w:tcPr>
            <w:tcW w:w="2303"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
        </w:tc>
        <w:tc>
          <w:tcPr>
            <w:tcW w:w="6971" w:type="dxa"/>
            <w:shd w:val="clear" w:color="auto" w:fill="auto"/>
            <w:vAlign w:val="center"/>
          </w:tcPr>
          <w:p>
            <w:pPr>
              <w:jc w:val="both"/>
              <w:rPr>
                <w:color w:val="000000"/>
                <w:szCs w:val="21"/>
                <w:lang w:val="en-US" w:eastAsia="zh-CN"/>
              </w:rPr>
            </w:pPr>
            <w:r>
              <w:rPr>
                <w:color w:val="000000"/>
                <w:szCs w:val="21"/>
                <w:lang w:val="en-US" w:eastAsia="zh-CN"/>
              </w:rPr>
              <w:t>设备开箱验收前提供各种必要的合格证，包括部件合格证、环路校验合格报告、材质证书等。</w:t>
            </w:r>
          </w:p>
        </w:tc>
        <w:tc>
          <w:tcPr>
            <w:tcW w:w="2303"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
        </w:tc>
        <w:tc>
          <w:tcPr>
            <w:tcW w:w="6971" w:type="dxa"/>
            <w:shd w:val="clear" w:color="auto" w:fill="auto"/>
            <w:vAlign w:val="center"/>
          </w:tcPr>
          <w:p>
            <w:pPr>
              <w:jc w:val="both"/>
              <w:rPr>
                <w:szCs w:val="21"/>
                <w:lang w:val="en-US" w:eastAsia="zh-CN"/>
              </w:rPr>
            </w:pPr>
            <w:r>
              <w:rPr>
                <w:color w:val="000000"/>
                <w:szCs w:val="21"/>
                <w:lang w:val="en-US" w:eastAsia="zh-CN"/>
              </w:rPr>
              <w:t>不晚于IQ开始前</w:t>
            </w:r>
            <w:r>
              <w:rPr>
                <w:color w:val="000000"/>
                <w:szCs w:val="21"/>
                <w:lang w:eastAsia="zh-CN"/>
              </w:rPr>
              <w:t>提供调试文件：</w:t>
            </w:r>
            <w:r>
              <w:rPr>
                <w:color w:val="000000"/>
                <w:szCs w:val="21"/>
                <w:lang w:val="en-US" w:eastAsia="zh-CN"/>
              </w:rPr>
              <w:t>调试计划、调试方案、设备测试记录、检测清单、测</w:t>
            </w:r>
            <w:r>
              <w:rPr>
                <w:color w:val="000000"/>
                <w:szCs w:val="21"/>
                <w:lang w:eastAsia="zh-CN"/>
              </w:rPr>
              <w:t>试报告、</w:t>
            </w:r>
            <w:r>
              <w:rPr>
                <w:color w:val="000000"/>
                <w:szCs w:val="21"/>
                <w:lang w:val="en-US" w:eastAsia="zh-CN"/>
              </w:rPr>
              <w:t>调试总结报告、现场</w:t>
            </w:r>
            <w:r>
              <w:rPr>
                <w:color w:val="000000"/>
                <w:szCs w:val="21"/>
                <w:lang w:eastAsia="zh-CN"/>
              </w:rPr>
              <w:t>验收</w:t>
            </w:r>
            <w:r>
              <w:rPr>
                <w:color w:val="000000"/>
                <w:szCs w:val="21"/>
                <w:lang w:val="en-US" w:eastAsia="zh-CN"/>
              </w:rPr>
              <w:t>报告等。</w:t>
            </w:r>
          </w:p>
        </w:tc>
        <w:tc>
          <w:tcPr>
            <w:tcW w:w="2303"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
        </w:tc>
        <w:tc>
          <w:tcPr>
            <w:tcW w:w="6971" w:type="dxa"/>
            <w:shd w:val="clear" w:color="auto" w:fill="auto"/>
            <w:vAlign w:val="center"/>
          </w:tcPr>
          <w:p>
            <w:pPr>
              <w:jc w:val="both"/>
              <w:rPr>
                <w:szCs w:val="21"/>
                <w:lang w:val="en-US" w:eastAsia="zh-CN"/>
              </w:rPr>
            </w:pPr>
            <w:r>
              <w:rPr>
                <w:szCs w:val="21"/>
                <w:lang w:val="en-US" w:eastAsia="zh-CN"/>
              </w:rPr>
              <w:t>验证文件：</w:t>
            </w:r>
          </w:p>
          <w:p>
            <w:pPr>
              <w:numPr>
                <w:ilvl w:val="0"/>
                <w:numId w:val="12"/>
              </w:numPr>
              <w:jc w:val="both"/>
              <w:rPr>
                <w:szCs w:val="21"/>
                <w:lang w:val="en-US" w:eastAsia="zh-CN"/>
              </w:rPr>
            </w:pPr>
            <w:r>
              <w:rPr>
                <w:szCs w:val="21"/>
                <w:lang w:val="en-US" w:eastAsia="zh-CN"/>
              </w:rPr>
              <w:t>安装确认及文件（IQ）。提交时限：OQ开始前完成审批并提交</w:t>
            </w:r>
          </w:p>
          <w:p>
            <w:pPr>
              <w:numPr>
                <w:ilvl w:val="0"/>
                <w:numId w:val="12"/>
              </w:numPr>
              <w:jc w:val="both"/>
              <w:rPr>
                <w:szCs w:val="21"/>
                <w:lang w:val="en-US" w:eastAsia="zh-CN"/>
              </w:rPr>
            </w:pPr>
            <w:r>
              <w:rPr>
                <w:szCs w:val="21"/>
                <w:lang w:val="en-US" w:eastAsia="zh-CN"/>
              </w:rPr>
              <w:t>运行确认及文件（OQ）。提交时限：IQ批准后开始执行，</w:t>
            </w:r>
            <w:r>
              <w:rPr>
                <w:rFonts w:hint="eastAsia"/>
                <w:szCs w:val="21"/>
                <w:lang w:val="en-US" w:eastAsia="zh-CN"/>
              </w:rPr>
              <w:t>PQ</w:t>
            </w:r>
            <w:r>
              <w:rPr>
                <w:szCs w:val="21"/>
                <w:lang w:val="en-US" w:eastAsia="zh-CN"/>
              </w:rPr>
              <w:t>开始前完成审批并提交</w:t>
            </w:r>
            <w:r>
              <w:rPr>
                <w:rFonts w:hint="eastAsia"/>
                <w:szCs w:val="21"/>
                <w:lang w:val="en-US" w:eastAsia="zh-CN"/>
              </w:rPr>
              <w:t>。</w:t>
            </w:r>
          </w:p>
          <w:p>
            <w:pPr>
              <w:jc w:val="both"/>
              <w:rPr>
                <w:szCs w:val="21"/>
                <w:lang w:val="en-US" w:eastAsia="zh-CN"/>
              </w:rPr>
            </w:pPr>
          </w:p>
        </w:tc>
        <w:tc>
          <w:tcPr>
            <w:tcW w:w="2303" w:type="dxa"/>
            <w:gridSpan w:val="2"/>
            <w:shd w:val="clear" w:color="auto" w:fill="auto"/>
            <w:vAlign w:val="center"/>
          </w:tcPr>
          <w:p>
            <w:pPr>
              <w:jc w:val="both"/>
              <w:rPr>
                <w:kern w:val="2"/>
                <w:szCs w:val="21"/>
                <w:lang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
        </w:tc>
        <w:tc>
          <w:tcPr>
            <w:tcW w:w="6971" w:type="dxa"/>
            <w:shd w:val="clear" w:color="auto" w:fill="auto"/>
            <w:vAlign w:val="center"/>
          </w:tcPr>
          <w:p>
            <w:pPr>
              <w:jc w:val="both"/>
              <w:rPr>
                <w:szCs w:val="21"/>
                <w:lang w:eastAsia="zh-CN"/>
              </w:rPr>
            </w:pPr>
            <w:r>
              <w:rPr>
                <w:color w:val="000000"/>
                <w:szCs w:val="21"/>
                <w:lang w:eastAsia="zh-CN"/>
              </w:rPr>
              <w:t>设备开箱验收前提供设备交付计划表。</w:t>
            </w:r>
          </w:p>
        </w:tc>
        <w:tc>
          <w:tcPr>
            <w:tcW w:w="2303" w:type="dxa"/>
            <w:gridSpan w:val="2"/>
            <w:shd w:val="clear" w:color="auto" w:fill="auto"/>
            <w:vAlign w:val="center"/>
          </w:tcPr>
          <w:p>
            <w:pPr>
              <w:jc w:val="both"/>
              <w:rPr>
                <w:kern w:val="2"/>
                <w:szCs w:val="21"/>
                <w:lang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
        </w:tc>
        <w:tc>
          <w:tcPr>
            <w:tcW w:w="6971" w:type="dxa"/>
            <w:shd w:val="clear" w:color="auto" w:fill="auto"/>
            <w:vAlign w:val="center"/>
          </w:tcPr>
          <w:p>
            <w:pPr>
              <w:jc w:val="both"/>
              <w:rPr>
                <w:szCs w:val="21"/>
                <w:lang w:eastAsia="zh-CN"/>
              </w:rPr>
            </w:pPr>
            <w:r>
              <w:rPr>
                <w:color w:val="000000"/>
                <w:szCs w:val="21"/>
                <w:lang w:eastAsia="zh-CN"/>
              </w:rPr>
              <w:t>设备开箱验收时提供使用操作说明书及维护保养说明（即运行及维护手册）3份。</w:t>
            </w:r>
          </w:p>
        </w:tc>
        <w:tc>
          <w:tcPr>
            <w:tcW w:w="2303" w:type="dxa"/>
            <w:gridSpan w:val="2"/>
            <w:shd w:val="clear" w:color="auto" w:fill="auto"/>
            <w:vAlign w:val="center"/>
          </w:tcPr>
          <w:p>
            <w:pPr>
              <w:jc w:val="both"/>
              <w:rPr>
                <w:kern w:val="2"/>
                <w:szCs w:val="21"/>
                <w:lang w:val="en-US"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
        </w:tc>
        <w:tc>
          <w:tcPr>
            <w:tcW w:w="6971" w:type="dxa"/>
            <w:shd w:val="clear" w:color="auto" w:fill="auto"/>
            <w:vAlign w:val="center"/>
          </w:tcPr>
          <w:p>
            <w:pPr>
              <w:jc w:val="both"/>
              <w:rPr>
                <w:color w:val="000000"/>
                <w:szCs w:val="21"/>
                <w:lang w:eastAsia="zh-CN"/>
              </w:rPr>
            </w:pPr>
            <w:r>
              <w:rPr>
                <w:color w:val="000000"/>
                <w:szCs w:val="21"/>
                <w:lang w:eastAsia="zh-CN"/>
              </w:rPr>
              <w:t>设备验收时提供设备及其零部件使用寿命清单。</w:t>
            </w:r>
          </w:p>
        </w:tc>
        <w:tc>
          <w:tcPr>
            <w:tcW w:w="2303" w:type="dxa"/>
            <w:gridSpan w:val="2"/>
            <w:shd w:val="clear" w:color="auto" w:fill="auto"/>
            <w:vAlign w:val="center"/>
          </w:tcPr>
          <w:p>
            <w:pPr>
              <w:jc w:val="both"/>
              <w:rPr>
                <w:kern w:val="2"/>
                <w:szCs w:val="21"/>
                <w:lang w:val="en-US"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
        </w:tc>
        <w:tc>
          <w:tcPr>
            <w:tcW w:w="6971" w:type="dxa"/>
            <w:shd w:val="clear" w:color="auto" w:fill="auto"/>
            <w:vAlign w:val="center"/>
          </w:tcPr>
          <w:p>
            <w:pPr>
              <w:jc w:val="both"/>
              <w:rPr>
                <w:color w:val="000000"/>
                <w:szCs w:val="21"/>
                <w:lang w:val="en-US" w:eastAsia="zh-CN"/>
              </w:rPr>
            </w:pPr>
            <w:r>
              <w:rPr>
                <w:rFonts w:hint="eastAsia"/>
                <w:color w:val="000000"/>
                <w:szCs w:val="21"/>
                <w:lang w:val="en-US" w:eastAsia="zh-CN"/>
              </w:rPr>
              <w:t>设备开箱验收时提供针对每一部件所作序号的简明图册，以便于维修人员查找和辨识。</w:t>
            </w:r>
          </w:p>
        </w:tc>
        <w:tc>
          <w:tcPr>
            <w:tcW w:w="2303" w:type="dxa"/>
            <w:gridSpan w:val="2"/>
            <w:shd w:val="clear" w:color="auto" w:fill="auto"/>
            <w:vAlign w:val="center"/>
          </w:tcPr>
          <w:p>
            <w:pPr>
              <w:jc w:val="both"/>
              <w:rPr>
                <w:kern w:val="2"/>
                <w:szCs w:val="21"/>
                <w:lang w:val="en-US"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
        </w:tc>
        <w:tc>
          <w:tcPr>
            <w:tcW w:w="6971" w:type="dxa"/>
            <w:shd w:val="clear" w:color="auto" w:fill="auto"/>
            <w:vAlign w:val="center"/>
          </w:tcPr>
          <w:p>
            <w:pPr>
              <w:jc w:val="both"/>
              <w:rPr>
                <w:color w:val="000000"/>
                <w:szCs w:val="21"/>
                <w:lang w:val="en-US" w:eastAsia="zh-CN"/>
              </w:rPr>
            </w:pPr>
            <w:r>
              <w:rPr>
                <w:color w:val="000000"/>
                <w:szCs w:val="21"/>
                <w:lang w:val="en-US" w:eastAsia="zh-CN"/>
              </w:rPr>
              <w:t>不晚于IQ开始前提供满足GEP要求的项目文件交付包。</w:t>
            </w:r>
          </w:p>
        </w:tc>
        <w:tc>
          <w:tcPr>
            <w:tcW w:w="2303" w:type="dxa"/>
            <w:gridSpan w:val="2"/>
            <w:shd w:val="clear" w:color="auto" w:fill="auto"/>
            <w:vAlign w:val="center"/>
          </w:tcPr>
          <w:p>
            <w:pPr>
              <w:jc w:val="both"/>
              <w:rPr>
                <w:kern w:val="2"/>
                <w:szCs w:val="21"/>
                <w:lang w:val="en-US"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
        </w:tc>
        <w:tc>
          <w:tcPr>
            <w:tcW w:w="6971" w:type="dxa"/>
            <w:shd w:val="clear" w:color="auto" w:fill="auto"/>
            <w:vAlign w:val="center"/>
          </w:tcPr>
          <w:p>
            <w:pPr>
              <w:jc w:val="both"/>
              <w:rPr>
                <w:color w:val="000000"/>
                <w:szCs w:val="21"/>
                <w:lang w:val="en-US" w:eastAsia="zh-CN"/>
              </w:rPr>
            </w:pPr>
            <w:r>
              <w:rPr>
                <w:rFonts w:hint="eastAsia"/>
                <w:color w:val="000000"/>
                <w:szCs w:val="21"/>
                <w:lang w:val="en-US" w:eastAsia="zh-CN"/>
              </w:rPr>
              <w:t>上述条款规定的文件需提供电子版，并在设备开箱验收时将最终批准的电子版及纸质版全套资料交工程技术部存档。</w:t>
            </w:r>
          </w:p>
        </w:tc>
        <w:tc>
          <w:tcPr>
            <w:tcW w:w="2303" w:type="dxa"/>
            <w:gridSpan w:val="2"/>
            <w:shd w:val="clear" w:color="auto" w:fill="auto"/>
            <w:vAlign w:val="center"/>
          </w:tcPr>
          <w:p>
            <w:pPr>
              <w:jc w:val="both"/>
              <w:rPr>
                <w:lang w:val="en-US"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9" w:type="dxa"/>
            <w:shd w:val="clear" w:color="auto" w:fill="auto"/>
            <w:vAlign w:val="center"/>
          </w:tcPr>
          <w:p>
            <w:pPr>
              <w:pStyle w:val="32"/>
              <w:numPr>
                <w:ilvl w:val="0"/>
                <w:numId w:val="8"/>
              </w:numPr>
              <w:ind w:firstLineChars="0"/>
              <w:rPr>
                <w:rFonts w:ascii="Times New Roman" w:hAnsi="Times New Roman"/>
                <w:szCs w:val="21"/>
              </w:rPr>
            </w:pPr>
          </w:p>
        </w:tc>
        <w:tc>
          <w:tcPr>
            <w:tcW w:w="6971" w:type="dxa"/>
            <w:shd w:val="clear" w:color="auto" w:fill="auto"/>
            <w:vAlign w:val="center"/>
          </w:tcPr>
          <w:p>
            <w:pPr>
              <w:jc w:val="both"/>
              <w:rPr>
                <w:color w:val="000000"/>
                <w:szCs w:val="21"/>
                <w:lang w:val="en-US" w:eastAsia="zh-CN"/>
              </w:rPr>
            </w:pPr>
            <w:r>
              <w:rPr>
                <w:rFonts w:hint="eastAsia"/>
                <w:color w:val="000000"/>
                <w:szCs w:val="21"/>
                <w:lang w:val="en-US" w:eastAsia="zh-CN"/>
              </w:rPr>
              <w:t>设备开箱验收时提供项目质量计划。</w:t>
            </w:r>
          </w:p>
        </w:tc>
        <w:tc>
          <w:tcPr>
            <w:tcW w:w="2303" w:type="dxa"/>
            <w:gridSpan w:val="2"/>
            <w:shd w:val="clear" w:color="auto" w:fill="auto"/>
            <w:vAlign w:val="center"/>
          </w:tcPr>
          <w:p>
            <w:pPr>
              <w:jc w:val="both"/>
              <w:rPr>
                <w:kern w:val="2"/>
                <w:szCs w:val="21"/>
                <w:lang w:val="en-US" w:eastAsia="zh-CN"/>
              </w:rPr>
            </w:pPr>
            <w:r>
              <w:rPr>
                <w:rFonts w:hint="eastAsia"/>
                <w:kern w:val="2"/>
                <w:szCs w:val="21"/>
                <w:lang w:val="en-US" w:eastAsia="zh-CN"/>
              </w:rPr>
              <w:t>关键</w:t>
            </w:r>
          </w:p>
        </w:tc>
      </w:tr>
      <w:permEnd w:id="34"/>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42"/>
        <w:spacing w:before="0" w:line="360" w:lineRule="auto"/>
        <w:ind w:left="357"/>
        <w:jc w:val="left"/>
        <w:rPr>
          <w:i/>
          <w:color w:val="4472C4"/>
          <w:szCs w:val="21"/>
          <w:lang w:eastAsia="zh-CN"/>
        </w:rPr>
      </w:pPr>
      <w:permStart w:id="35" w:edGrp="everyone"/>
    </w:p>
    <w:permEnd w:id="35"/>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712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2" w:type="dxa"/>
            <w:shd w:val="clear" w:color="auto" w:fill="D9D9D9"/>
            <w:vAlign w:val="center"/>
          </w:tcPr>
          <w:p>
            <w:pPr>
              <w:jc w:val="center"/>
              <w:rPr>
                <w:b/>
                <w:szCs w:val="21"/>
              </w:rPr>
            </w:pPr>
            <w:r>
              <w:rPr>
                <w:b/>
                <w:szCs w:val="21"/>
              </w:rPr>
              <w:t>编号</w:t>
            </w:r>
          </w:p>
        </w:tc>
        <w:tc>
          <w:tcPr>
            <w:tcW w:w="7124" w:type="dxa"/>
            <w:shd w:val="clear" w:color="auto" w:fill="D9D9D9"/>
            <w:vAlign w:val="center"/>
          </w:tcPr>
          <w:p>
            <w:pPr>
              <w:jc w:val="center"/>
              <w:rPr>
                <w:b/>
                <w:szCs w:val="21"/>
                <w:lang w:eastAsia="zh-CN"/>
              </w:rPr>
            </w:pPr>
            <w:r>
              <w:rPr>
                <w:b/>
                <w:szCs w:val="21"/>
                <w:lang w:eastAsia="zh-CN"/>
              </w:rPr>
              <w:t>需求</w:t>
            </w:r>
          </w:p>
        </w:tc>
        <w:tc>
          <w:tcPr>
            <w:tcW w:w="2127"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2"/>
              <w:numPr>
                <w:ilvl w:val="0"/>
                <w:numId w:val="13"/>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FFFFFF" w:themeFill="background1"/>
            <w:vAlign w:val="center"/>
          </w:tcPr>
          <w:p>
            <w:pPr>
              <w:pStyle w:val="32"/>
              <w:numPr>
                <w:ilvl w:val="0"/>
                <w:numId w:val="8"/>
              </w:numPr>
              <w:ind w:left="470" w:hanging="120" w:firstLineChars="0"/>
              <w:rPr>
                <w:rFonts w:ascii="Times New Roman" w:hAnsi="Times New Roman"/>
                <w:szCs w:val="21"/>
              </w:rPr>
            </w:pPr>
            <w:permStart w:id="36" w:edGrp="everyone"/>
          </w:p>
        </w:tc>
        <w:tc>
          <w:tcPr>
            <w:tcW w:w="7124" w:type="dxa"/>
            <w:shd w:val="clear" w:color="auto" w:fill="auto"/>
            <w:vAlign w:val="center"/>
          </w:tcPr>
          <w:p>
            <w:pPr>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127" w:type="dxa"/>
            <w:shd w:val="clear" w:color="auto" w:fill="auto"/>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FFFFFF" w:themeFill="background1"/>
            <w:vAlign w:val="center"/>
          </w:tcPr>
          <w:p>
            <w:pPr>
              <w:pStyle w:val="32"/>
              <w:numPr>
                <w:ilvl w:val="0"/>
                <w:numId w:val="8"/>
              </w:numPr>
              <w:ind w:left="470" w:hanging="120" w:firstLineChars="0"/>
              <w:rPr>
                <w:rFonts w:ascii="Times New Roman" w:hAnsi="Times New Roman"/>
                <w:szCs w:val="21"/>
              </w:rPr>
            </w:pPr>
            <w:permStart w:id="37" w:edGrp="everyone"/>
          </w:p>
        </w:tc>
        <w:tc>
          <w:tcPr>
            <w:tcW w:w="7124" w:type="dxa"/>
            <w:shd w:val="clear" w:color="auto" w:fill="auto"/>
            <w:vAlign w:val="center"/>
          </w:tcPr>
          <w:p>
            <w:pPr>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7" w:type="dxa"/>
            <w:shd w:val="clear" w:color="auto" w:fill="auto"/>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FFFFFF" w:themeFill="background1"/>
            <w:vAlign w:val="center"/>
          </w:tcPr>
          <w:p>
            <w:pPr>
              <w:pStyle w:val="32"/>
              <w:numPr>
                <w:ilvl w:val="0"/>
                <w:numId w:val="8"/>
              </w:numPr>
              <w:ind w:left="470" w:hanging="120" w:firstLineChars="0"/>
              <w:rPr>
                <w:rFonts w:ascii="Times New Roman" w:hAnsi="Times New Roman"/>
                <w:szCs w:val="21"/>
              </w:rPr>
            </w:pPr>
            <w:permStart w:id="38" w:edGrp="everyone"/>
          </w:p>
        </w:tc>
        <w:tc>
          <w:tcPr>
            <w:tcW w:w="7124" w:type="dxa"/>
            <w:shd w:val="clear" w:color="auto" w:fill="auto"/>
            <w:vAlign w:val="center"/>
          </w:tcPr>
          <w:p>
            <w:pPr>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7"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2"/>
              <w:numPr>
                <w:ilvl w:val="0"/>
                <w:numId w:val="13"/>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ermStart w:id="39" w:edGrp="everyone"/>
          </w:p>
        </w:tc>
        <w:tc>
          <w:tcPr>
            <w:tcW w:w="7124" w:type="dxa"/>
            <w:shd w:val="clear" w:color="auto" w:fill="auto"/>
            <w:vAlign w:val="center"/>
          </w:tcPr>
          <w:p>
            <w:pPr>
              <w:rPr>
                <w:szCs w:val="21"/>
                <w:lang w:eastAsia="zh-CN"/>
              </w:rPr>
            </w:pPr>
            <w:r>
              <w:rPr>
                <w:rFonts w:hint="eastAsia" w:ascii="宋体" w:hAnsi="宋体" w:cs="宋体"/>
                <w:iCs/>
                <w:szCs w:val="21"/>
                <w:lang w:val="en-US" w:eastAsia="zh-CN"/>
              </w:rPr>
              <w:t>货物包装必须符合相应标准，该包装应适应于长期运输，具有良好的防水、防潮、防锈、防野蛮装卸等保护措施，以确保货物安全运抵现场。供货商应承担由于包装、运输不妥引起的货物锈蚀、损伤和丢失的责任。</w:t>
            </w:r>
          </w:p>
        </w:tc>
        <w:tc>
          <w:tcPr>
            <w:tcW w:w="2127" w:type="dxa"/>
            <w:shd w:val="clear" w:color="auto" w:fill="auto"/>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2"/>
              <w:numPr>
                <w:ilvl w:val="0"/>
                <w:numId w:val="13"/>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ermStart w:id="40" w:edGrp="everyone"/>
          </w:p>
        </w:tc>
        <w:tc>
          <w:tcPr>
            <w:tcW w:w="7124" w:type="dxa"/>
            <w:shd w:val="clear" w:color="auto" w:fill="auto"/>
            <w:vAlign w:val="center"/>
          </w:tcPr>
          <w:p>
            <w:pPr>
              <w:spacing w:line="276" w:lineRule="auto"/>
              <w:jc w:val="both"/>
              <w:rPr>
                <w:szCs w:val="21"/>
                <w:lang w:eastAsia="zh-CN"/>
              </w:rPr>
            </w:pPr>
            <w:r>
              <w:rPr>
                <w:rFonts w:hint="eastAsia"/>
                <w:szCs w:val="21"/>
                <w:lang w:eastAsia="zh-CN"/>
              </w:rPr>
              <w:t>验证包括IQ、OQ。验证项目应包含法规要求的测试项目，以及本公司提出的测试项目。各验证工作开始前验证方案需经过本公司相关部门审核，并经质量保证部批准。</w:t>
            </w:r>
          </w:p>
        </w:tc>
        <w:tc>
          <w:tcPr>
            <w:tcW w:w="2127" w:type="dxa"/>
            <w:shd w:val="clear" w:color="auto" w:fill="auto"/>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color w:val="000000"/>
                <w:lang w:eastAsia="zh-CN"/>
              </w:rPr>
              <w:t>投标方按GMP规范完成IQ、OQ工作，并提供相应文件（文件必须无条件符合我所QA要求）。各验证工作开始前验证方案需经过本公司相关部门审核，并经质量保证部批准。</w:t>
            </w:r>
          </w:p>
        </w:tc>
        <w:tc>
          <w:tcPr>
            <w:tcW w:w="2127" w:type="dxa"/>
            <w:shd w:val="clear" w:color="auto" w:fill="auto"/>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
        </w:tc>
        <w:tc>
          <w:tcPr>
            <w:tcW w:w="7124" w:type="dxa"/>
            <w:shd w:val="clear" w:color="auto" w:fill="auto"/>
            <w:vAlign w:val="center"/>
          </w:tcPr>
          <w:p>
            <w:pPr>
              <w:spacing w:line="276" w:lineRule="auto"/>
              <w:jc w:val="both"/>
              <w:rPr>
                <w:color w:val="000000"/>
                <w:lang w:val="en-US" w:eastAsia="zh-CN"/>
              </w:rPr>
            </w:pPr>
            <w:r>
              <w:rPr>
                <w:rFonts w:hint="eastAsia"/>
                <w:color w:val="000000"/>
                <w:lang w:val="en-US" w:eastAsia="zh-CN"/>
              </w:rPr>
              <w:t>厂家需要辅助科室进行PQ验证 。</w:t>
            </w:r>
          </w:p>
        </w:tc>
        <w:tc>
          <w:tcPr>
            <w:tcW w:w="2127" w:type="dxa"/>
            <w:shd w:val="clear" w:color="auto" w:fill="auto"/>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color w:val="000000"/>
                <w:lang w:eastAsia="zh-CN"/>
              </w:rPr>
              <w:t>验证工作应按时保质完成，供应商需提供验证工作计划表</w:t>
            </w:r>
            <w:r>
              <w:rPr>
                <w:rFonts w:hint="eastAsia"/>
                <w:color w:val="000000"/>
                <w:lang w:eastAsia="zh-CN"/>
              </w:rPr>
              <w:t>。</w:t>
            </w:r>
          </w:p>
        </w:tc>
        <w:tc>
          <w:tcPr>
            <w:tcW w:w="2127" w:type="dxa"/>
            <w:shd w:val="clear" w:color="auto" w:fill="auto"/>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color w:val="000000"/>
                <w:lang w:eastAsia="zh-CN"/>
              </w:rPr>
              <w:t>验证项目应包含法规要求的测试项目，以及本公司提出的测试项目</w:t>
            </w:r>
            <w:r>
              <w:rPr>
                <w:rFonts w:hint="eastAsia"/>
                <w:color w:val="000000"/>
                <w:lang w:eastAsia="zh-CN"/>
              </w:rPr>
              <w:t>。</w:t>
            </w:r>
          </w:p>
        </w:tc>
        <w:tc>
          <w:tcPr>
            <w:tcW w:w="2127" w:type="dxa"/>
            <w:shd w:val="clear" w:color="auto" w:fill="auto"/>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color w:val="000000"/>
                <w:lang w:eastAsia="zh-CN"/>
              </w:rPr>
              <w:t>验证工作完成后，验证记录经本公司相关部门审核，并经质量保证部批准。</w:t>
            </w:r>
          </w:p>
        </w:tc>
        <w:tc>
          <w:tcPr>
            <w:tcW w:w="2127" w:type="dxa"/>
            <w:shd w:val="clear" w:color="auto" w:fill="auto"/>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color w:val="000000"/>
                <w:lang w:eastAsia="zh-CN"/>
              </w:rPr>
              <w:t>验收前，验证工作已成功完成，验证最终报告已经本公司相关部门审核，并经质量保证部批准。</w:t>
            </w:r>
          </w:p>
        </w:tc>
        <w:tc>
          <w:tcPr>
            <w:tcW w:w="2127" w:type="dxa"/>
            <w:shd w:val="clear" w:color="auto" w:fill="auto"/>
          </w:tcPr>
          <w:p>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2"/>
              <w:numPr>
                <w:ilvl w:val="0"/>
                <w:numId w:val="13"/>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ermStart w:id="41" w:edGrp="everyone"/>
          </w:p>
        </w:tc>
        <w:tc>
          <w:tcPr>
            <w:tcW w:w="7124" w:type="dxa"/>
            <w:shd w:val="clear" w:color="auto" w:fill="auto"/>
            <w:vAlign w:val="center"/>
          </w:tcPr>
          <w:p>
            <w:pPr>
              <w:spacing w:line="276" w:lineRule="auto"/>
              <w:jc w:val="both"/>
              <w:rPr>
                <w:szCs w:val="21"/>
                <w:lang w:eastAsia="zh-CN"/>
              </w:rPr>
            </w:pPr>
            <w:r>
              <w:rPr>
                <w:rFonts w:hint="eastAsia" w:ascii="宋体" w:hAnsi="宋体" w:cs="宋体"/>
                <w:iCs/>
                <w:szCs w:val="21"/>
                <w:lang w:val="en-US" w:eastAsia="zh-CN"/>
              </w:rPr>
              <w:t>供应商应指定项目管理人（经理）和项目实施团体，负责项目的管理和实施。项目在进行系统和文件开发时应依照现行的</w:t>
            </w:r>
            <w:r>
              <w:rPr>
                <w:iCs/>
                <w:szCs w:val="21"/>
                <w:lang w:val="en-US" w:eastAsia="zh-CN"/>
              </w:rPr>
              <w:t>GEP</w:t>
            </w:r>
            <w:r>
              <w:rPr>
                <w:rFonts w:hint="eastAsia" w:ascii="宋体" w:hAnsi="宋体" w:cs="宋体"/>
                <w:iCs/>
                <w:szCs w:val="21"/>
                <w:lang w:val="en-US" w:eastAsia="zh-CN"/>
              </w:rPr>
              <w:t>。</w:t>
            </w:r>
          </w:p>
        </w:tc>
        <w:tc>
          <w:tcPr>
            <w:tcW w:w="2127" w:type="dxa"/>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ermStart w:id="42" w:edGrp="everyone"/>
          </w:p>
        </w:tc>
        <w:tc>
          <w:tcPr>
            <w:tcW w:w="7124" w:type="dxa"/>
            <w:shd w:val="clear" w:color="auto" w:fill="auto"/>
            <w:vAlign w:val="center"/>
          </w:tcPr>
          <w:p>
            <w:pPr>
              <w:spacing w:line="276" w:lineRule="auto"/>
              <w:jc w:val="both"/>
              <w:rPr>
                <w:szCs w:val="21"/>
                <w:lang w:eastAsia="zh-CN"/>
              </w:rPr>
            </w:pPr>
            <w:r>
              <w:rPr>
                <w:rFonts w:hint="eastAsia" w:ascii="宋体" w:hAnsi="宋体" w:cs="宋体"/>
                <w:iCs/>
                <w:szCs w:val="21"/>
                <w:lang w:val="en-US" w:eastAsia="zh-CN"/>
              </w:rPr>
              <w:t>生产厂家或代理商必须提供设备安装，包括及时提供安装文件系统，派员进行设备找平、部件组装、电气接线/配管等工作，必须做到连接紧固可靠，杜绝跑、冒、滴、漏现象。</w:t>
            </w:r>
          </w:p>
        </w:tc>
        <w:tc>
          <w:tcPr>
            <w:tcW w:w="2127"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rFonts w:hint="eastAsia" w:ascii="宋体" w:hAnsi="宋体" w:cs="宋体"/>
                <w:iCs/>
                <w:szCs w:val="21"/>
                <w:lang w:val="en-US" w:eastAsia="zh-CN"/>
              </w:rPr>
              <w:t>在设备试运行后，供应商应每年对用户进行访问以解决设备使用中可能存在的问题，并发现潜在的问题，提供用户改进。</w:t>
            </w:r>
          </w:p>
        </w:tc>
        <w:tc>
          <w:tcPr>
            <w:tcW w:w="2127"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iCs/>
                <w:szCs w:val="21"/>
                <w:lang w:val="en-US" w:eastAsia="zh-CN"/>
              </w:rPr>
              <w:t>供应商在接到服务要求后，应2小时内先以电话或电子邮件形式进行服务应答，24小时内到</w:t>
            </w:r>
            <w:r>
              <w:rPr>
                <w:rFonts w:hint="eastAsia" w:ascii="宋体" w:hAnsi="宋体" w:cs="宋体"/>
                <w:iCs/>
                <w:szCs w:val="21"/>
                <w:lang w:val="en-US" w:eastAsia="zh-CN"/>
              </w:rPr>
              <w:t>用户现场进行服务。</w:t>
            </w:r>
          </w:p>
        </w:tc>
        <w:tc>
          <w:tcPr>
            <w:tcW w:w="2127" w:type="dxa"/>
            <w:shd w:val="clear" w:color="auto" w:fill="auto"/>
            <w:vAlign w:val="center"/>
          </w:tcPr>
          <w:p>
            <w:pPr>
              <w:jc w:val="both"/>
              <w:rPr>
                <w:b/>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rFonts w:hint="eastAsia" w:ascii="宋体" w:hAnsi="宋体" w:cs="宋体"/>
                <w:iCs/>
                <w:szCs w:val="21"/>
                <w:lang w:val="en-US" w:eastAsia="zh-CN"/>
              </w:rPr>
              <w:t>该设备/系统, 包括设备、文件一并交付给用户。该设备/系统, 包括设备的备件等一并运送到用户厂区、并负责管线及电气线路安装。</w:t>
            </w:r>
          </w:p>
        </w:tc>
        <w:tc>
          <w:tcPr>
            <w:tcW w:w="2127"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rFonts w:hint="eastAsia"/>
                <w:szCs w:val="21"/>
                <w:lang w:eastAsia="zh-CN"/>
              </w:rPr>
              <w:t>设备保质期验从设备收合格之日起计算。</w:t>
            </w:r>
            <w:r>
              <w:rPr>
                <w:iCs/>
                <w:szCs w:val="21"/>
                <w:lang w:val="en-US" w:eastAsia="zh-CN"/>
              </w:rPr>
              <w:t>设备供应商提供3年的质保期（易损件除外）。质保期内厂家应保证通常工作条件下设备的正常运行和异常状态下2小时电话支持，24小时内厂家技术人员提供现场服务。质保期内免费更换已损坏的配件。提供售后服务联系地址及联系方式。</w:t>
            </w:r>
          </w:p>
        </w:tc>
        <w:tc>
          <w:tcPr>
            <w:tcW w:w="2127" w:type="dxa"/>
            <w:shd w:val="clear" w:color="auto" w:fill="auto"/>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D9D9D9"/>
            <w:vAlign w:val="center"/>
          </w:tcPr>
          <w:p>
            <w:pPr>
              <w:pStyle w:val="32"/>
              <w:numPr>
                <w:ilvl w:val="0"/>
                <w:numId w:val="13"/>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ermStart w:id="43" w:edGrp="everyone"/>
          </w:p>
        </w:tc>
        <w:tc>
          <w:tcPr>
            <w:tcW w:w="7124"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7" w:type="dxa"/>
            <w:shd w:val="clear" w:color="auto" w:fill="auto"/>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ermStart w:id="44" w:edGrp="everyone"/>
          </w:p>
        </w:tc>
        <w:tc>
          <w:tcPr>
            <w:tcW w:w="7124" w:type="dxa"/>
            <w:shd w:val="clear" w:color="auto" w:fill="auto"/>
            <w:vAlign w:val="center"/>
          </w:tcPr>
          <w:p>
            <w:pPr>
              <w:spacing w:line="276" w:lineRule="auto"/>
              <w:jc w:val="both"/>
              <w:rPr>
                <w:szCs w:val="21"/>
                <w:lang w:eastAsia="zh-CN"/>
              </w:rPr>
            </w:pPr>
            <w:r>
              <w:rPr>
                <w:rFonts w:hint="eastAsia"/>
                <w:szCs w:val="21"/>
                <w:lang w:eastAsia="zh-CN"/>
              </w:rPr>
              <w:t>供应商进厂安装需遵守安全和安装规定。</w:t>
            </w:r>
          </w:p>
        </w:tc>
        <w:tc>
          <w:tcPr>
            <w:tcW w:w="2127"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rFonts w:hint="eastAsia"/>
                <w:szCs w:val="21"/>
                <w:lang w:eastAsia="zh-CN"/>
              </w:rPr>
              <w:t>最后验收前必须保证所有的验证工作已完成和达到要求。</w:t>
            </w:r>
          </w:p>
        </w:tc>
        <w:tc>
          <w:tcPr>
            <w:tcW w:w="2127"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rFonts w:hint="eastAsia"/>
                <w:szCs w:val="21"/>
                <w:lang w:eastAsia="zh-CN"/>
              </w:rPr>
              <w:t>确认验收合格后，买卖双方签订验收报告。</w:t>
            </w:r>
          </w:p>
        </w:tc>
        <w:tc>
          <w:tcPr>
            <w:tcW w:w="2127"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2" w:type="dxa"/>
            <w:shd w:val="clear" w:color="auto" w:fill="auto"/>
            <w:vAlign w:val="center"/>
          </w:tcPr>
          <w:p>
            <w:pPr>
              <w:pStyle w:val="32"/>
              <w:numPr>
                <w:ilvl w:val="0"/>
                <w:numId w:val="8"/>
              </w:numPr>
              <w:ind w:firstLineChars="0"/>
              <w:rPr>
                <w:rFonts w:ascii="Times New Roman" w:hAnsi="Times New Roman"/>
                <w:szCs w:val="21"/>
              </w:rPr>
            </w:pPr>
          </w:p>
        </w:tc>
        <w:tc>
          <w:tcPr>
            <w:tcW w:w="7124" w:type="dxa"/>
            <w:shd w:val="clear" w:color="auto" w:fill="auto"/>
            <w:vAlign w:val="center"/>
          </w:tcPr>
          <w:p>
            <w:pPr>
              <w:spacing w:line="276" w:lineRule="auto"/>
              <w:jc w:val="both"/>
              <w:rPr>
                <w:szCs w:val="21"/>
                <w:lang w:eastAsia="zh-CN"/>
              </w:rPr>
            </w:pPr>
            <w:r>
              <w:rPr>
                <w:rFonts w:hint="eastAsia"/>
                <w:szCs w:val="21"/>
                <w:lang w:eastAsia="zh-CN"/>
              </w:rPr>
              <w:t>确认验收合格应包含所有附件及备件。</w:t>
            </w:r>
          </w:p>
        </w:tc>
        <w:tc>
          <w:tcPr>
            <w:tcW w:w="2127" w:type="dxa"/>
            <w:shd w:val="clear" w:color="auto" w:fill="auto"/>
            <w:vAlign w:val="center"/>
          </w:tcPr>
          <w:p>
            <w:pPr>
              <w:jc w:val="both"/>
              <w:rPr>
                <w:szCs w:val="21"/>
                <w:lang w:eastAsia="zh-CN"/>
              </w:rPr>
            </w:pPr>
            <w:r>
              <w:rPr>
                <w:rFonts w:hint="eastAsia"/>
                <w:szCs w:val="21"/>
                <w:lang w:eastAsia="zh-CN"/>
              </w:rPr>
              <w:t>关键</w:t>
            </w:r>
          </w:p>
        </w:tc>
      </w:tr>
      <w:permEnd w:id="44"/>
    </w:tbl>
    <w:p/>
    <w:p>
      <w:pPr>
        <w:pStyle w:val="32"/>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rPr>
          <w:lang w:eastAsia="zh-CN"/>
        </w:rPr>
      </w:pPr>
      <w:permStart w:id="45" w:edGrp="everyone"/>
      <w:r>
        <w:rPr>
          <w:rFonts w:hint="eastAsia"/>
          <w:lang w:eastAsia="zh-CN"/>
        </w:rPr>
        <w:t>不适用</w:t>
      </w:r>
      <w:permEnd w:id="45"/>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043BD"/>
    <w:multiLevelType w:val="singleLevel"/>
    <w:tmpl w:val="C07043BD"/>
    <w:lvl w:ilvl="0" w:tentative="0">
      <w:start w:val="1"/>
      <w:numFmt w:val="decimal"/>
      <w:suff w:val="nothing"/>
      <w:lvlText w:val="%1）"/>
      <w:lvlJc w:val="left"/>
    </w:lvl>
  </w:abstractNum>
  <w:abstractNum w:abstractNumId="1">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3">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7B07DBD"/>
    <w:multiLevelType w:val="multilevel"/>
    <w:tmpl w:val="17B07DBD"/>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8">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2"/>
  </w:num>
  <w:num w:numId="3">
    <w:abstractNumId w:val="8"/>
  </w:num>
  <w:num w:numId="4">
    <w:abstractNumId w:val="11"/>
  </w:num>
  <w:num w:numId="5">
    <w:abstractNumId w:val="7"/>
  </w:num>
  <w:num w:numId="6">
    <w:abstractNumId w:val="6"/>
  </w:num>
  <w:num w:numId="7">
    <w:abstractNumId w:val="1"/>
  </w:num>
  <w:num w:numId="8">
    <w:abstractNumId w:val="5"/>
  </w:num>
  <w:num w:numId="9">
    <w:abstractNumId w:val="4"/>
  </w:num>
  <w:num w:numId="10">
    <w:abstractNumId w:val="9"/>
  </w:num>
  <w:num w:numId="11">
    <w:abstractNumId w:val="3"/>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5NzUwOTM1Yjg0YzkwYWI5ZTYyYzkzZTIxZWFhZDQifQ=="/>
  </w:docVars>
  <w:rsids>
    <w:rsidRoot w:val="00391016"/>
    <w:rsid w:val="00001AE0"/>
    <w:rsid w:val="000021A6"/>
    <w:rsid w:val="00002F06"/>
    <w:rsid w:val="000038A4"/>
    <w:rsid w:val="0000520B"/>
    <w:rsid w:val="000059AD"/>
    <w:rsid w:val="00005CB9"/>
    <w:rsid w:val="00005E76"/>
    <w:rsid w:val="00006273"/>
    <w:rsid w:val="00006FD5"/>
    <w:rsid w:val="00010C99"/>
    <w:rsid w:val="0001160E"/>
    <w:rsid w:val="000117C7"/>
    <w:rsid w:val="000121A4"/>
    <w:rsid w:val="000169DD"/>
    <w:rsid w:val="00020FEA"/>
    <w:rsid w:val="00022818"/>
    <w:rsid w:val="000233DE"/>
    <w:rsid w:val="00023B07"/>
    <w:rsid w:val="00023CAD"/>
    <w:rsid w:val="0002420F"/>
    <w:rsid w:val="0002457E"/>
    <w:rsid w:val="000275E7"/>
    <w:rsid w:val="000303D0"/>
    <w:rsid w:val="00031243"/>
    <w:rsid w:val="00031900"/>
    <w:rsid w:val="00032DF4"/>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190E"/>
    <w:rsid w:val="00082C13"/>
    <w:rsid w:val="00083D58"/>
    <w:rsid w:val="000844A8"/>
    <w:rsid w:val="00084F90"/>
    <w:rsid w:val="00086CA0"/>
    <w:rsid w:val="00087002"/>
    <w:rsid w:val="00090209"/>
    <w:rsid w:val="00091F40"/>
    <w:rsid w:val="00092C03"/>
    <w:rsid w:val="00096510"/>
    <w:rsid w:val="00097A7D"/>
    <w:rsid w:val="00097CA2"/>
    <w:rsid w:val="000A1C5C"/>
    <w:rsid w:val="000A1D9E"/>
    <w:rsid w:val="000A23D2"/>
    <w:rsid w:val="000A23F2"/>
    <w:rsid w:val="000A2664"/>
    <w:rsid w:val="000A2C3C"/>
    <w:rsid w:val="000A2CC4"/>
    <w:rsid w:val="000A41DA"/>
    <w:rsid w:val="000A4D13"/>
    <w:rsid w:val="000A5286"/>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4375"/>
    <w:rsid w:val="000C7137"/>
    <w:rsid w:val="000D112B"/>
    <w:rsid w:val="000D1A79"/>
    <w:rsid w:val="000D1C68"/>
    <w:rsid w:val="000D2DCA"/>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5BAA"/>
    <w:rsid w:val="000F606A"/>
    <w:rsid w:val="000F706D"/>
    <w:rsid w:val="00100F65"/>
    <w:rsid w:val="0010110F"/>
    <w:rsid w:val="00102DC9"/>
    <w:rsid w:val="001031DF"/>
    <w:rsid w:val="00103F05"/>
    <w:rsid w:val="00104160"/>
    <w:rsid w:val="0010503D"/>
    <w:rsid w:val="00106571"/>
    <w:rsid w:val="00106B5D"/>
    <w:rsid w:val="001107F3"/>
    <w:rsid w:val="00110CF0"/>
    <w:rsid w:val="001120B7"/>
    <w:rsid w:val="0011231F"/>
    <w:rsid w:val="00112670"/>
    <w:rsid w:val="001127E7"/>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478BB"/>
    <w:rsid w:val="00150BCC"/>
    <w:rsid w:val="00152D54"/>
    <w:rsid w:val="001541A9"/>
    <w:rsid w:val="001549D1"/>
    <w:rsid w:val="00154CD3"/>
    <w:rsid w:val="001560AD"/>
    <w:rsid w:val="0015633E"/>
    <w:rsid w:val="00156C85"/>
    <w:rsid w:val="0015752C"/>
    <w:rsid w:val="0016077F"/>
    <w:rsid w:val="00161486"/>
    <w:rsid w:val="0016194A"/>
    <w:rsid w:val="00161F7F"/>
    <w:rsid w:val="00162A78"/>
    <w:rsid w:val="00163A08"/>
    <w:rsid w:val="00164CDC"/>
    <w:rsid w:val="00164E0D"/>
    <w:rsid w:val="00166311"/>
    <w:rsid w:val="00166478"/>
    <w:rsid w:val="00167B0E"/>
    <w:rsid w:val="0017166F"/>
    <w:rsid w:val="00171A51"/>
    <w:rsid w:val="001746E7"/>
    <w:rsid w:val="001757AB"/>
    <w:rsid w:val="001769A8"/>
    <w:rsid w:val="001814FA"/>
    <w:rsid w:val="001815A9"/>
    <w:rsid w:val="00182A27"/>
    <w:rsid w:val="00184DDD"/>
    <w:rsid w:val="00184FFD"/>
    <w:rsid w:val="0018519E"/>
    <w:rsid w:val="00185449"/>
    <w:rsid w:val="00186314"/>
    <w:rsid w:val="00187B04"/>
    <w:rsid w:val="00190000"/>
    <w:rsid w:val="001929C2"/>
    <w:rsid w:val="00192B8F"/>
    <w:rsid w:val="00193D66"/>
    <w:rsid w:val="00194295"/>
    <w:rsid w:val="00194BB7"/>
    <w:rsid w:val="0019719E"/>
    <w:rsid w:val="001A1DE7"/>
    <w:rsid w:val="001A3BB0"/>
    <w:rsid w:val="001A4947"/>
    <w:rsid w:val="001A64C0"/>
    <w:rsid w:val="001A685F"/>
    <w:rsid w:val="001A7EB6"/>
    <w:rsid w:val="001A7FE4"/>
    <w:rsid w:val="001B0278"/>
    <w:rsid w:val="001B28C8"/>
    <w:rsid w:val="001B4654"/>
    <w:rsid w:val="001B7313"/>
    <w:rsid w:val="001C017B"/>
    <w:rsid w:val="001C1292"/>
    <w:rsid w:val="001C239E"/>
    <w:rsid w:val="001C2D7E"/>
    <w:rsid w:val="001D1FA0"/>
    <w:rsid w:val="001D32D4"/>
    <w:rsid w:val="001D3C96"/>
    <w:rsid w:val="001D4383"/>
    <w:rsid w:val="001D451A"/>
    <w:rsid w:val="001D4742"/>
    <w:rsid w:val="001D474B"/>
    <w:rsid w:val="001D48B0"/>
    <w:rsid w:val="001D5549"/>
    <w:rsid w:val="001E0376"/>
    <w:rsid w:val="001E13E0"/>
    <w:rsid w:val="001E2B2B"/>
    <w:rsid w:val="001E353E"/>
    <w:rsid w:val="001E3CBE"/>
    <w:rsid w:val="001E5657"/>
    <w:rsid w:val="001E5BF5"/>
    <w:rsid w:val="001E5F94"/>
    <w:rsid w:val="001E744F"/>
    <w:rsid w:val="001F065A"/>
    <w:rsid w:val="001F1FE7"/>
    <w:rsid w:val="001F25DD"/>
    <w:rsid w:val="001F3552"/>
    <w:rsid w:val="001F473D"/>
    <w:rsid w:val="001F4BFD"/>
    <w:rsid w:val="001F7405"/>
    <w:rsid w:val="001F7E95"/>
    <w:rsid w:val="00201487"/>
    <w:rsid w:val="00201BE1"/>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6F88"/>
    <w:rsid w:val="002279A2"/>
    <w:rsid w:val="00227A0D"/>
    <w:rsid w:val="002320D9"/>
    <w:rsid w:val="00234C07"/>
    <w:rsid w:val="0023525A"/>
    <w:rsid w:val="002355FF"/>
    <w:rsid w:val="002367A6"/>
    <w:rsid w:val="00236BE9"/>
    <w:rsid w:val="00236E73"/>
    <w:rsid w:val="00237E6C"/>
    <w:rsid w:val="00240A09"/>
    <w:rsid w:val="00240B1E"/>
    <w:rsid w:val="00241437"/>
    <w:rsid w:val="00241944"/>
    <w:rsid w:val="00245088"/>
    <w:rsid w:val="00253242"/>
    <w:rsid w:val="002547BF"/>
    <w:rsid w:val="002548CA"/>
    <w:rsid w:val="002548F4"/>
    <w:rsid w:val="0025531B"/>
    <w:rsid w:val="002560F9"/>
    <w:rsid w:val="002573EB"/>
    <w:rsid w:val="00257517"/>
    <w:rsid w:val="00257FA9"/>
    <w:rsid w:val="002605F7"/>
    <w:rsid w:val="00260C37"/>
    <w:rsid w:val="00261CD0"/>
    <w:rsid w:val="00261F30"/>
    <w:rsid w:val="002637FB"/>
    <w:rsid w:val="00263CB5"/>
    <w:rsid w:val="00263EEE"/>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057"/>
    <w:rsid w:val="002A547B"/>
    <w:rsid w:val="002A588E"/>
    <w:rsid w:val="002A7980"/>
    <w:rsid w:val="002B0A7C"/>
    <w:rsid w:val="002B12A9"/>
    <w:rsid w:val="002B14F3"/>
    <w:rsid w:val="002B480A"/>
    <w:rsid w:val="002B67A2"/>
    <w:rsid w:val="002B6854"/>
    <w:rsid w:val="002C0A92"/>
    <w:rsid w:val="002C1817"/>
    <w:rsid w:val="002C1DAB"/>
    <w:rsid w:val="002C4FCF"/>
    <w:rsid w:val="002C527C"/>
    <w:rsid w:val="002D0253"/>
    <w:rsid w:val="002D03CD"/>
    <w:rsid w:val="002D2477"/>
    <w:rsid w:val="002D2AAB"/>
    <w:rsid w:val="002D691F"/>
    <w:rsid w:val="002D6A50"/>
    <w:rsid w:val="002D6B95"/>
    <w:rsid w:val="002D6D1C"/>
    <w:rsid w:val="002E1D21"/>
    <w:rsid w:val="002E3B36"/>
    <w:rsid w:val="002E59BF"/>
    <w:rsid w:val="002E63F6"/>
    <w:rsid w:val="002E69A1"/>
    <w:rsid w:val="002E7D37"/>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3DE2"/>
    <w:rsid w:val="003148D1"/>
    <w:rsid w:val="00314CFF"/>
    <w:rsid w:val="00315038"/>
    <w:rsid w:val="00315C3E"/>
    <w:rsid w:val="00316EEF"/>
    <w:rsid w:val="003172B7"/>
    <w:rsid w:val="00321298"/>
    <w:rsid w:val="00321D97"/>
    <w:rsid w:val="00323423"/>
    <w:rsid w:val="00323D71"/>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0BB3"/>
    <w:rsid w:val="00391016"/>
    <w:rsid w:val="00393529"/>
    <w:rsid w:val="00393B6A"/>
    <w:rsid w:val="003946C3"/>
    <w:rsid w:val="00395CE1"/>
    <w:rsid w:val="00395D47"/>
    <w:rsid w:val="00396425"/>
    <w:rsid w:val="003970BE"/>
    <w:rsid w:val="00397C18"/>
    <w:rsid w:val="003A04A8"/>
    <w:rsid w:val="003A1311"/>
    <w:rsid w:val="003A179C"/>
    <w:rsid w:val="003A2EC5"/>
    <w:rsid w:val="003A3AAC"/>
    <w:rsid w:val="003A4CAE"/>
    <w:rsid w:val="003A5805"/>
    <w:rsid w:val="003A6DFE"/>
    <w:rsid w:val="003A6FCD"/>
    <w:rsid w:val="003B096A"/>
    <w:rsid w:val="003B0B6A"/>
    <w:rsid w:val="003B1D87"/>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47B"/>
    <w:rsid w:val="003F6E0C"/>
    <w:rsid w:val="004003A8"/>
    <w:rsid w:val="0040240E"/>
    <w:rsid w:val="00402756"/>
    <w:rsid w:val="00405B3A"/>
    <w:rsid w:val="004074DC"/>
    <w:rsid w:val="004111CC"/>
    <w:rsid w:val="004122A3"/>
    <w:rsid w:val="00416E8B"/>
    <w:rsid w:val="00417748"/>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47C2D"/>
    <w:rsid w:val="004510B1"/>
    <w:rsid w:val="00451C5D"/>
    <w:rsid w:val="00451D74"/>
    <w:rsid w:val="00452E73"/>
    <w:rsid w:val="004565EF"/>
    <w:rsid w:val="00457FF9"/>
    <w:rsid w:val="004601ED"/>
    <w:rsid w:val="004606B3"/>
    <w:rsid w:val="00460711"/>
    <w:rsid w:val="0046108B"/>
    <w:rsid w:val="0046279F"/>
    <w:rsid w:val="00467AE6"/>
    <w:rsid w:val="00467EC9"/>
    <w:rsid w:val="00477791"/>
    <w:rsid w:val="00480286"/>
    <w:rsid w:val="00480C3B"/>
    <w:rsid w:val="00480FE3"/>
    <w:rsid w:val="00481C94"/>
    <w:rsid w:val="0048372C"/>
    <w:rsid w:val="00484A8D"/>
    <w:rsid w:val="00486A4E"/>
    <w:rsid w:val="00486B09"/>
    <w:rsid w:val="0049139F"/>
    <w:rsid w:val="004949FF"/>
    <w:rsid w:val="00494F07"/>
    <w:rsid w:val="00496116"/>
    <w:rsid w:val="004965A0"/>
    <w:rsid w:val="00497335"/>
    <w:rsid w:val="00497B18"/>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6A6C"/>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267C5"/>
    <w:rsid w:val="00530B8F"/>
    <w:rsid w:val="00531434"/>
    <w:rsid w:val="00531754"/>
    <w:rsid w:val="00534840"/>
    <w:rsid w:val="00534D08"/>
    <w:rsid w:val="00536973"/>
    <w:rsid w:val="00536C6B"/>
    <w:rsid w:val="00542A23"/>
    <w:rsid w:val="00544652"/>
    <w:rsid w:val="00544C0E"/>
    <w:rsid w:val="00546017"/>
    <w:rsid w:val="0054625B"/>
    <w:rsid w:val="00551539"/>
    <w:rsid w:val="00551733"/>
    <w:rsid w:val="00552EFE"/>
    <w:rsid w:val="00554ABB"/>
    <w:rsid w:val="0055552D"/>
    <w:rsid w:val="00555668"/>
    <w:rsid w:val="0055679E"/>
    <w:rsid w:val="0056090D"/>
    <w:rsid w:val="00561E9C"/>
    <w:rsid w:val="00565C7A"/>
    <w:rsid w:val="00567522"/>
    <w:rsid w:val="00567E14"/>
    <w:rsid w:val="005705A7"/>
    <w:rsid w:val="0057277E"/>
    <w:rsid w:val="00572F0E"/>
    <w:rsid w:val="00574D60"/>
    <w:rsid w:val="00574FC2"/>
    <w:rsid w:val="00575318"/>
    <w:rsid w:val="00577142"/>
    <w:rsid w:val="005773E5"/>
    <w:rsid w:val="00577AC3"/>
    <w:rsid w:val="00581AD5"/>
    <w:rsid w:val="00581C4E"/>
    <w:rsid w:val="00582DB0"/>
    <w:rsid w:val="00584AB4"/>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21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5BF3"/>
    <w:rsid w:val="005E65FA"/>
    <w:rsid w:val="005F19CE"/>
    <w:rsid w:val="005F28F4"/>
    <w:rsid w:val="005F43BB"/>
    <w:rsid w:val="005F4C94"/>
    <w:rsid w:val="005F503E"/>
    <w:rsid w:val="005F6CB3"/>
    <w:rsid w:val="005F7612"/>
    <w:rsid w:val="005F7663"/>
    <w:rsid w:val="005F7D63"/>
    <w:rsid w:val="006012EF"/>
    <w:rsid w:val="00607170"/>
    <w:rsid w:val="00607408"/>
    <w:rsid w:val="00610AEE"/>
    <w:rsid w:val="00616BAC"/>
    <w:rsid w:val="00620598"/>
    <w:rsid w:val="00620FEC"/>
    <w:rsid w:val="006214DC"/>
    <w:rsid w:val="006215E2"/>
    <w:rsid w:val="0062168F"/>
    <w:rsid w:val="006221A2"/>
    <w:rsid w:val="00622612"/>
    <w:rsid w:val="00627113"/>
    <w:rsid w:val="00627B8B"/>
    <w:rsid w:val="0063106D"/>
    <w:rsid w:val="006312FF"/>
    <w:rsid w:val="00632136"/>
    <w:rsid w:val="00632C67"/>
    <w:rsid w:val="006331B6"/>
    <w:rsid w:val="00633310"/>
    <w:rsid w:val="00633315"/>
    <w:rsid w:val="00634457"/>
    <w:rsid w:val="006366CC"/>
    <w:rsid w:val="00637C16"/>
    <w:rsid w:val="0064048E"/>
    <w:rsid w:val="00641320"/>
    <w:rsid w:val="00641E74"/>
    <w:rsid w:val="006434E3"/>
    <w:rsid w:val="0064366A"/>
    <w:rsid w:val="00646987"/>
    <w:rsid w:val="006506CF"/>
    <w:rsid w:val="00650A76"/>
    <w:rsid w:val="00650CA2"/>
    <w:rsid w:val="00650CD0"/>
    <w:rsid w:val="00650DA4"/>
    <w:rsid w:val="00651DA5"/>
    <w:rsid w:val="00652D22"/>
    <w:rsid w:val="00656797"/>
    <w:rsid w:val="006571EC"/>
    <w:rsid w:val="006572C5"/>
    <w:rsid w:val="0066086B"/>
    <w:rsid w:val="00660A8C"/>
    <w:rsid w:val="006628C0"/>
    <w:rsid w:val="006632B2"/>
    <w:rsid w:val="00664084"/>
    <w:rsid w:val="0066445E"/>
    <w:rsid w:val="00667045"/>
    <w:rsid w:val="00667D4E"/>
    <w:rsid w:val="00670A00"/>
    <w:rsid w:val="00670C23"/>
    <w:rsid w:val="0067245D"/>
    <w:rsid w:val="00672B86"/>
    <w:rsid w:val="00673031"/>
    <w:rsid w:val="00673EB3"/>
    <w:rsid w:val="00680BE8"/>
    <w:rsid w:val="00686409"/>
    <w:rsid w:val="00686D19"/>
    <w:rsid w:val="0068777F"/>
    <w:rsid w:val="00693018"/>
    <w:rsid w:val="00697A3F"/>
    <w:rsid w:val="006A0059"/>
    <w:rsid w:val="006A49EA"/>
    <w:rsid w:val="006A7425"/>
    <w:rsid w:val="006B058A"/>
    <w:rsid w:val="006B1299"/>
    <w:rsid w:val="006B26D9"/>
    <w:rsid w:val="006B310C"/>
    <w:rsid w:val="006B664C"/>
    <w:rsid w:val="006C1125"/>
    <w:rsid w:val="006C1C83"/>
    <w:rsid w:val="006C3E78"/>
    <w:rsid w:val="006C54E6"/>
    <w:rsid w:val="006C5762"/>
    <w:rsid w:val="006C690D"/>
    <w:rsid w:val="006D149F"/>
    <w:rsid w:val="006D27EC"/>
    <w:rsid w:val="006D3396"/>
    <w:rsid w:val="006D3ED2"/>
    <w:rsid w:val="006D4F77"/>
    <w:rsid w:val="006D5AFF"/>
    <w:rsid w:val="006E050C"/>
    <w:rsid w:val="006E152B"/>
    <w:rsid w:val="006E33D3"/>
    <w:rsid w:val="006E36D1"/>
    <w:rsid w:val="006E4002"/>
    <w:rsid w:val="006E4DB6"/>
    <w:rsid w:val="006E622E"/>
    <w:rsid w:val="006E7938"/>
    <w:rsid w:val="006E79FB"/>
    <w:rsid w:val="006F229A"/>
    <w:rsid w:val="006F3BB9"/>
    <w:rsid w:val="006F4AA6"/>
    <w:rsid w:val="007007FA"/>
    <w:rsid w:val="00701596"/>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0C37"/>
    <w:rsid w:val="0073446D"/>
    <w:rsid w:val="007349FF"/>
    <w:rsid w:val="00734B45"/>
    <w:rsid w:val="00735BBC"/>
    <w:rsid w:val="00736FFB"/>
    <w:rsid w:val="00740080"/>
    <w:rsid w:val="00741A30"/>
    <w:rsid w:val="0074309F"/>
    <w:rsid w:val="007504DC"/>
    <w:rsid w:val="0075142F"/>
    <w:rsid w:val="00751965"/>
    <w:rsid w:val="007524EF"/>
    <w:rsid w:val="00752689"/>
    <w:rsid w:val="00756D1D"/>
    <w:rsid w:val="00760886"/>
    <w:rsid w:val="007615CA"/>
    <w:rsid w:val="00761ADD"/>
    <w:rsid w:val="00762B3A"/>
    <w:rsid w:val="00765D6E"/>
    <w:rsid w:val="00765D7E"/>
    <w:rsid w:val="007668EE"/>
    <w:rsid w:val="007674B6"/>
    <w:rsid w:val="00770E90"/>
    <w:rsid w:val="00771201"/>
    <w:rsid w:val="00772C42"/>
    <w:rsid w:val="0077302F"/>
    <w:rsid w:val="00773661"/>
    <w:rsid w:val="007748D9"/>
    <w:rsid w:val="00774A61"/>
    <w:rsid w:val="00774E08"/>
    <w:rsid w:val="00774E72"/>
    <w:rsid w:val="0077746F"/>
    <w:rsid w:val="007775FE"/>
    <w:rsid w:val="00780A5F"/>
    <w:rsid w:val="00784913"/>
    <w:rsid w:val="00785B90"/>
    <w:rsid w:val="0078639C"/>
    <w:rsid w:val="00787A51"/>
    <w:rsid w:val="007913D3"/>
    <w:rsid w:val="00792DC9"/>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393"/>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0D2D"/>
    <w:rsid w:val="007E3532"/>
    <w:rsid w:val="007E5F7D"/>
    <w:rsid w:val="007E5FE3"/>
    <w:rsid w:val="007E608B"/>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2058"/>
    <w:rsid w:val="0081636E"/>
    <w:rsid w:val="00817797"/>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1405"/>
    <w:rsid w:val="00851932"/>
    <w:rsid w:val="00852488"/>
    <w:rsid w:val="00853465"/>
    <w:rsid w:val="0085405E"/>
    <w:rsid w:val="008571DD"/>
    <w:rsid w:val="0085772E"/>
    <w:rsid w:val="00860344"/>
    <w:rsid w:val="00860E2C"/>
    <w:rsid w:val="00864BC6"/>
    <w:rsid w:val="00865EE6"/>
    <w:rsid w:val="00870D23"/>
    <w:rsid w:val="00872479"/>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A72D2"/>
    <w:rsid w:val="008B2125"/>
    <w:rsid w:val="008B22EB"/>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C7773"/>
    <w:rsid w:val="008D140C"/>
    <w:rsid w:val="008D2BAE"/>
    <w:rsid w:val="008D2C9E"/>
    <w:rsid w:val="008D41F5"/>
    <w:rsid w:val="008D521F"/>
    <w:rsid w:val="008D5C06"/>
    <w:rsid w:val="008D6227"/>
    <w:rsid w:val="008D7A8B"/>
    <w:rsid w:val="008E41D3"/>
    <w:rsid w:val="008E43F1"/>
    <w:rsid w:val="008E594F"/>
    <w:rsid w:val="008E7312"/>
    <w:rsid w:val="008F297F"/>
    <w:rsid w:val="008F30A3"/>
    <w:rsid w:val="008F447E"/>
    <w:rsid w:val="00904BA9"/>
    <w:rsid w:val="00904E7E"/>
    <w:rsid w:val="0091086B"/>
    <w:rsid w:val="00911129"/>
    <w:rsid w:val="00912EA3"/>
    <w:rsid w:val="00914B6E"/>
    <w:rsid w:val="00914B93"/>
    <w:rsid w:val="009156A2"/>
    <w:rsid w:val="0091579A"/>
    <w:rsid w:val="0091615D"/>
    <w:rsid w:val="00923F7E"/>
    <w:rsid w:val="00924C96"/>
    <w:rsid w:val="00925030"/>
    <w:rsid w:val="00925B32"/>
    <w:rsid w:val="00930A64"/>
    <w:rsid w:val="00930BE5"/>
    <w:rsid w:val="00931403"/>
    <w:rsid w:val="009314EF"/>
    <w:rsid w:val="00934991"/>
    <w:rsid w:val="009351A7"/>
    <w:rsid w:val="009355B2"/>
    <w:rsid w:val="009423AD"/>
    <w:rsid w:val="009426B9"/>
    <w:rsid w:val="00944E85"/>
    <w:rsid w:val="0094634C"/>
    <w:rsid w:val="009463AB"/>
    <w:rsid w:val="00950239"/>
    <w:rsid w:val="00950332"/>
    <w:rsid w:val="00955899"/>
    <w:rsid w:val="00955A03"/>
    <w:rsid w:val="0096203D"/>
    <w:rsid w:val="0096224A"/>
    <w:rsid w:val="00963289"/>
    <w:rsid w:val="009649CA"/>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5ABE"/>
    <w:rsid w:val="0098600B"/>
    <w:rsid w:val="009861C1"/>
    <w:rsid w:val="00986C90"/>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21BE"/>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4B91"/>
    <w:rsid w:val="009E6973"/>
    <w:rsid w:val="009F0466"/>
    <w:rsid w:val="009F4200"/>
    <w:rsid w:val="009F4933"/>
    <w:rsid w:val="009F5FD0"/>
    <w:rsid w:val="009F6DD5"/>
    <w:rsid w:val="009F7B12"/>
    <w:rsid w:val="00A020A2"/>
    <w:rsid w:val="00A0297B"/>
    <w:rsid w:val="00A0358E"/>
    <w:rsid w:val="00A049F9"/>
    <w:rsid w:val="00A0529B"/>
    <w:rsid w:val="00A073E9"/>
    <w:rsid w:val="00A0766F"/>
    <w:rsid w:val="00A07E82"/>
    <w:rsid w:val="00A10713"/>
    <w:rsid w:val="00A111DC"/>
    <w:rsid w:val="00A1252C"/>
    <w:rsid w:val="00A13B8B"/>
    <w:rsid w:val="00A151B7"/>
    <w:rsid w:val="00A15B1F"/>
    <w:rsid w:val="00A21225"/>
    <w:rsid w:val="00A2139C"/>
    <w:rsid w:val="00A218F9"/>
    <w:rsid w:val="00A21E37"/>
    <w:rsid w:val="00A23314"/>
    <w:rsid w:val="00A235BB"/>
    <w:rsid w:val="00A23F10"/>
    <w:rsid w:val="00A23F72"/>
    <w:rsid w:val="00A24C16"/>
    <w:rsid w:val="00A26768"/>
    <w:rsid w:val="00A26AB8"/>
    <w:rsid w:val="00A322BF"/>
    <w:rsid w:val="00A3373F"/>
    <w:rsid w:val="00A33F51"/>
    <w:rsid w:val="00A349DF"/>
    <w:rsid w:val="00A34DE9"/>
    <w:rsid w:val="00A40311"/>
    <w:rsid w:val="00A41032"/>
    <w:rsid w:val="00A4106C"/>
    <w:rsid w:val="00A42080"/>
    <w:rsid w:val="00A428E7"/>
    <w:rsid w:val="00A43E49"/>
    <w:rsid w:val="00A44018"/>
    <w:rsid w:val="00A449FF"/>
    <w:rsid w:val="00A45DE9"/>
    <w:rsid w:val="00A47471"/>
    <w:rsid w:val="00A47E22"/>
    <w:rsid w:val="00A47ED0"/>
    <w:rsid w:val="00A509EA"/>
    <w:rsid w:val="00A51476"/>
    <w:rsid w:val="00A51FC5"/>
    <w:rsid w:val="00A526D2"/>
    <w:rsid w:val="00A53450"/>
    <w:rsid w:val="00A54412"/>
    <w:rsid w:val="00A5498B"/>
    <w:rsid w:val="00A550C8"/>
    <w:rsid w:val="00A5564C"/>
    <w:rsid w:val="00A559EC"/>
    <w:rsid w:val="00A569F8"/>
    <w:rsid w:val="00A56E60"/>
    <w:rsid w:val="00A571B3"/>
    <w:rsid w:val="00A626B5"/>
    <w:rsid w:val="00A62DF0"/>
    <w:rsid w:val="00A63025"/>
    <w:rsid w:val="00A63620"/>
    <w:rsid w:val="00A63ECE"/>
    <w:rsid w:val="00A641B6"/>
    <w:rsid w:val="00A66342"/>
    <w:rsid w:val="00A665C8"/>
    <w:rsid w:val="00A6749E"/>
    <w:rsid w:val="00A70D88"/>
    <w:rsid w:val="00A71142"/>
    <w:rsid w:val="00A72895"/>
    <w:rsid w:val="00A74589"/>
    <w:rsid w:val="00A74E1B"/>
    <w:rsid w:val="00A7513A"/>
    <w:rsid w:val="00A75AC9"/>
    <w:rsid w:val="00A75B25"/>
    <w:rsid w:val="00A75BC7"/>
    <w:rsid w:val="00A76A85"/>
    <w:rsid w:val="00A76AEE"/>
    <w:rsid w:val="00A801B4"/>
    <w:rsid w:val="00A82075"/>
    <w:rsid w:val="00A82192"/>
    <w:rsid w:val="00A857AB"/>
    <w:rsid w:val="00A90009"/>
    <w:rsid w:val="00A927A4"/>
    <w:rsid w:val="00A94CC0"/>
    <w:rsid w:val="00A9534A"/>
    <w:rsid w:val="00A953AA"/>
    <w:rsid w:val="00A957FA"/>
    <w:rsid w:val="00A95BBB"/>
    <w:rsid w:val="00A968DC"/>
    <w:rsid w:val="00A977BA"/>
    <w:rsid w:val="00AA1A89"/>
    <w:rsid w:val="00AA346E"/>
    <w:rsid w:val="00AA3770"/>
    <w:rsid w:val="00AA3CFA"/>
    <w:rsid w:val="00AA41C3"/>
    <w:rsid w:val="00AA423C"/>
    <w:rsid w:val="00AA53E2"/>
    <w:rsid w:val="00AA5EB9"/>
    <w:rsid w:val="00AA73FD"/>
    <w:rsid w:val="00AB1271"/>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5BA9"/>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1962"/>
    <w:rsid w:val="00B021ED"/>
    <w:rsid w:val="00B0250D"/>
    <w:rsid w:val="00B032B1"/>
    <w:rsid w:val="00B03F46"/>
    <w:rsid w:val="00B059B8"/>
    <w:rsid w:val="00B07418"/>
    <w:rsid w:val="00B11547"/>
    <w:rsid w:val="00B11EF0"/>
    <w:rsid w:val="00B1226C"/>
    <w:rsid w:val="00B13724"/>
    <w:rsid w:val="00B14F05"/>
    <w:rsid w:val="00B15D01"/>
    <w:rsid w:val="00B20EBF"/>
    <w:rsid w:val="00B2157F"/>
    <w:rsid w:val="00B24F44"/>
    <w:rsid w:val="00B25428"/>
    <w:rsid w:val="00B255BB"/>
    <w:rsid w:val="00B25E24"/>
    <w:rsid w:val="00B2609A"/>
    <w:rsid w:val="00B301B1"/>
    <w:rsid w:val="00B344FE"/>
    <w:rsid w:val="00B353E7"/>
    <w:rsid w:val="00B35759"/>
    <w:rsid w:val="00B3619A"/>
    <w:rsid w:val="00B365B7"/>
    <w:rsid w:val="00B3691C"/>
    <w:rsid w:val="00B40BCA"/>
    <w:rsid w:val="00B4308D"/>
    <w:rsid w:val="00B440DA"/>
    <w:rsid w:val="00B4415A"/>
    <w:rsid w:val="00B503CD"/>
    <w:rsid w:val="00B548AB"/>
    <w:rsid w:val="00B54BBE"/>
    <w:rsid w:val="00B553F8"/>
    <w:rsid w:val="00B55BD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4FF5"/>
    <w:rsid w:val="00B95A1D"/>
    <w:rsid w:val="00B95CCA"/>
    <w:rsid w:val="00B9634B"/>
    <w:rsid w:val="00BA3731"/>
    <w:rsid w:val="00BA3E0D"/>
    <w:rsid w:val="00BA5072"/>
    <w:rsid w:val="00BA5125"/>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0E7"/>
    <w:rsid w:val="00BD15A2"/>
    <w:rsid w:val="00BD2153"/>
    <w:rsid w:val="00BD337A"/>
    <w:rsid w:val="00BD558D"/>
    <w:rsid w:val="00BD5CC3"/>
    <w:rsid w:val="00BE1F47"/>
    <w:rsid w:val="00BE233F"/>
    <w:rsid w:val="00BE24AD"/>
    <w:rsid w:val="00BE2787"/>
    <w:rsid w:val="00BE51BB"/>
    <w:rsid w:val="00BE7ECD"/>
    <w:rsid w:val="00BF1682"/>
    <w:rsid w:val="00BF241A"/>
    <w:rsid w:val="00BF3AFB"/>
    <w:rsid w:val="00BF3DD2"/>
    <w:rsid w:val="00BF4344"/>
    <w:rsid w:val="00BF6970"/>
    <w:rsid w:val="00BF69C6"/>
    <w:rsid w:val="00BF6E3A"/>
    <w:rsid w:val="00C005D8"/>
    <w:rsid w:val="00C01EC1"/>
    <w:rsid w:val="00C02F31"/>
    <w:rsid w:val="00C04DA5"/>
    <w:rsid w:val="00C050FC"/>
    <w:rsid w:val="00C05D40"/>
    <w:rsid w:val="00C0650A"/>
    <w:rsid w:val="00C11905"/>
    <w:rsid w:val="00C14462"/>
    <w:rsid w:val="00C16542"/>
    <w:rsid w:val="00C22382"/>
    <w:rsid w:val="00C2355B"/>
    <w:rsid w:val="00C2743B"/>
    <w:rsid w:val="00C274A6"/>
    <w:rsid w:val="00C27B6E"/>
    <w:rsid w:val="00C33456"/>
    <w:rsid w:val="00C34201"/>
    <w:rsid w:val="00C35A38"/>
    <w:rsid w:val="00C35EC9"/>
    <w:rsid w:val="00C36807"/>
    <w:rsid w:val="00C37392"/>
    <w:rsid w:val="00C41545"/>
    <w:rsid w:val="00C41940"/>
    <w:rsid w:val="00C4209D"/>
    <w:rsid w:val="00C432B3"/>
    <w:rsid w:val="00C4771E"/>
    <w:rsid w:val="00C47D15"/>
    <w:rsid w:val="00C50279"/>
    <w:rsid w:val="00C505EC"/>
    <w:rsid w:val="00C5165A"/>
    <w:rsid w:val="00C52841"/>
    <w:rsid w:val="00C54FC6"/>
    <w:rsid w:val="00C5538F"/>
    <w:rsid w:val="00C56F88"/>
    <w:rsid w:val="00C57B7E"/>
    <w:rsid w:val="00C60217"/>
    <w:rsid w:val="00C66D15"/>
    <w:rsid w:val="00C671D0"/>
    <w:rsid w:val="00C70449"/>
    <w:rsid w:val="00C705B7"/>
    <w:rsid w:val="00C7071B"/>
    <w:rsid w:val="00C73904"/>
    <w:rsid w:val="00C73BAE"/>
    <w:rsid w:val="00C73F7B"/>
    <w:rsid w:val="00C74055"/>
    <w:rsid w:val="00C7421D"/>
    <w:rsid w:val="00C75479"/>
    <w:rsid w:val="00C76481"/>
    <w:rsid w:val="00C76812"/>
    <w:rsid w:val="00C83D88"/>
    <w:rsid w:val="00C84961"/>
    <w:rsid w:val="00C84B06"/>
    <w:rsid w:val="00C87100"/>
    <w:rsid w:val="00C87CAC"/>
    <w:rsid w:val="00C913A1"/>
    <w:rsid w:val="00C950D6"/>
    <w:rsid w:val="00C97646"/>
    <w:rsid w:val="00C97672"/>
    <w:rsid w:val="00CA31D5"/>
    <w:rsid w:val="00CA43BB"/>
    <w:rsid w:val="00CA55BD"/>
    <w:rsid w:val="00CA5987"/>
    <w:rsid w:val="00CA6B14"/>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3BB"/>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631C"/>
    <w:rsid w:val="00D37394"/>
    <w:rsid w:val="00D46699"/>
    <w:rsid w:val="00D4691F"/>
    <w:rsid w:val="00D47345"/>
    <w:rsid w:val="00D5073F"/>
    <w:rsid w:val="00D51573"/>
    <w:rsid w:val="00D5399A"/>
    <w:rsid w:val="00D5444F"/>
    <w:rsid w:val="00D54E0D"/>
    <w:rsid w:val="00D54F7D"/>
    <w:rsid w:val="00D56831"/>
    <w:rsid w:val="00D56A6C"/>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236E"/>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60A"/>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3196"/>
    <w:rsid w:val="00DE4811"/>
    <w:rsid w:val="00DE5458"/>
    <w:rsid w:val="00DE5EE6"/>
    <w:rsid w:val="00DE77EA"/>
    <w:rsid w:val="00DF09A1"/>
    <w:rsid w:val="00DF0ABA"/>
    <w:rsid w:val="00DF163F"/>
    <w:rsid w:val="00DF1EEE"/>
    <w:rsid w:val="00DF6360"/>
    <w:rsid w:val="00DF6C58"/>
    <w:rsid w:val="00E001C1"/>
    <w:rsid w:val="00E039F3"/>
    <w:rsid w:val="00E03C30"/>
    <w:rsid w:val="00E04139"/>
    <w:rsid w:val="00E078BD"/>
    <w:rsid w:val="00E078F8"/>
    <w:rsid w:val="00E1142B"/>
    <w:rsid w:val="00E11F10"/>
    <w:rsid w:val="00E1448A"/>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55C13"/>
    <w:rsid w:val="00E60540"/>
    <w:rsid w:val="00E61C74"/>
    <w:rsid w:val="00E63D8F"/>
    <w:rsid w:val="00E64BE2"/>
    <w:rsid w:val="00E706B6"/>
    <w:rsid w:val="00E76FF1"/>
    <w:rsid w:val="00E774FE"/>
    <w:rsid w:val="00E809A0"/>
    <w:rsid w:val="00E80AF7"/>
    <w:rsid w:val="00E81A0A"/>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25F1"/>
    <w:rsid w:val="00EC3194"/>
    <w:rsid w:val="00EC518D"/>
    <w:rsid w:val="00EC71D3"/>
    <w:rsid w:val="00ED02FE"/>
    <w:rsid w:val="00ED1EC9"/>
    <w:rsid w:val="00ED3737"/>
    <w:rsid w:val="00ED3856"/>
    <w:rsid w:val="00ED3B65"/>
    <w:rsid w:val="00ED3E2E"/>
    <w:rsid w:val="00ED4CC8"/>
    <w:rsid w:val="00ED6A08"/>
    <w:rsid w:val="00EE05EE"/>
    <w:rsid w:val="00EE0AE2"/>
    <w:rsid w:val="00EE20F9"/>
    <w:rsid w:val="00EE35B4"/>
    <w:rsid w:val="00EE5643"/>
    <w:rsid w:val="00EE7CEC"/>
    <w:rsid w:val="00EF056E"/>
    <w:rsid w:val="00EF09B3"/>
    <w:rsid w:val="00EF0A3E"/>
    <w:rsid w:val="00EF507A"/>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06F0E"/>
    <w:rsid w:val="00F10287"/>
    <w:rsid w:val="00F10C82"/>
    <w:rsid w:val="00F11F1C"/>
    <w:rsid w:val="00F13B2E"/>
    <w:rsid w:val="00F176A0"/>
    <w:rsid w:val="00F20174"/>
    <w:rsid w:val="00F22098"/>
    <w:rsid w:val="00F223BC"/>
    <w:rsid w:val="00F23780"/>
    <w:rsid w:val="00F26185"/>
    <w:rsid w:val="00F3178C"/>
    <w:rsid w:val="00F33DE5"/>
    <w:rsid w:val="00F34B8F"/>
    <w:rsid w:val="00F36D7F"/>
    <w:rsid w:val="00F37186"/>
    <w:rsid w:val="00F4125C"/>
    <w:rsid w:val="00F4267E"/>
    <w:rsid w:val="00F42FCF"/>
    <w:rsid w:val="00F44A83"/>
    <w:rsid w:val="00F51743"/>
    <w:rsid w:val="00F529D4"/>
    <w:rsid w:val="00F5378C"/>
    <w:rsid w:val="00F54F27"/>
    <w:rsid w:val="00F55FC8"/>
    <w:rsid w:val="00F604E3"/>
    <w:rsid w:val="00F610E6"/>
    <w:rsid w:val="00F61FCC"/>
    <w:rsid w:val="00F66036"/>
    <w:rsid w:val="00F6689D"/>
    <w:rsid w:val="00F67E23"/>
    <w:rsid w:val="00F71601"/>
    <w:rsid w:val="00F72C75"/>
    <w:rsid w:val="00F74033"/>
    <w:rsid w:val="00F759EB"/>
    <w:rsid w:val="00F772F7"/>
    <w:rsid w:val="00F80495"/>
    <w:rsid w:val="00F81334"/>
    <w:rsid w:val="00F81A81"/>
    <w:rsid w:val="00F81CC5"/>
    <w:rsid w:val="00F8760D"/>
    <w:rsid w:val="00F87AAD"/>
    <w:rsid w:val="00F912CA"/>
    <w:rsid w:val="00F915B2"/>
    <w:rsid w:val="00F9174C"/>
    <w:rsid w:val="00F91D5C"/>
    <w:rsid w:val="00F92097"/>
    <w:rsid w:val="00F951DB"/>
    <w:rsid w:val="00F9574A"/>
    <w:rsid w:val="00F95D64"/>
    <w:rsid w:val="00F9793B"/>
    <w:rsid w:val="00FA0EAA"/>
    <w:rsid w:val="00FA0F53"/>
    <w:rsid w:val="00FA1DA9"/>
    <w:rsid w:val="00FA3809"/>
    <w:rsid w:val="00FA3A95"/>
    <w:rsid w:val="00FA4B16"/>
    <w:rsid w:val="00FA6D7E"/>
    <w:rsid w:val="00FB020D"/>
    <w:rsid w:val="00FB3F33"/>
    <w:rsid w:val="00FB43E4"/>
    <w:rsid w:val="00FB47EA"/>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678C"/>
    <w:rsid w:val="00FD6FEB"/>
    <w:rsid w:val="00FD7106"/>
    <w:rsid w:val="00FD752B"/>
    <w:rsid w:val="00FD7DD7"/>
    <w:rsid w:val="00FD7EB3"/>
    <w:rsid w:val="00FE033E"/>
    <w:rsid w:val="00FE0D2F"/>
    <w:rsid w:val="00FE31C6"/>
    <w:rsid w:val="00FE4A65"/>
    <w:rsid w:val="00FE4ED8"/>
    <w:rsid w:val="00FE51E8"/>
    <w:rsid w:val="00FE602F"/>
    <w:rsid w:val="00FE7611"/>
    <w:rsid w:val="00FF0769"/>
    <w:rsid w:val="00FF0DB8"/>
    <w:rsid w:val="00FF1A76"/>
    <w:rsid w:val="00FF1C1D"/>
    <w:rsid w:val="00FF3330"/>
    <w:rsid w:val="00FF4080"/>
    <w:rsid w:val="00FF40A5"/>
    <w:rsid w:val="00FF48DA"/>
    <w:rsid w:val="00FF5E19"/>
    <w:rsid w:val="00FF61AD"/>
    <w:rsid w:val="00FF76BD"/>
    <w:rsid w:val="0176491F"/>
    <w:rsid w:val="02DF4442"/>
    <w:rsid w:val="05F47E1A"/>
    <w:rsid w:val="06180285"/>
    <w:rsid w:val="0ADF594B"/>
    <w:rsid w:val="0B522BD1"/>
    <w:rsid w:val="0C0E0AA6"/>
    <w:rsid w:val="10524CD3"/>
    <w:rsid w:val="10E46E6E"/>
    <w:rsid w:val="114556CE"/>
    <w:rsid w:val="12C37605"/>
    <w:rsid w:val="15561A22"/>
    <w:rsid w:val="17C610E1"/>
    <w:rsid w:val="1B214753"/>
    <w:rsid w:val="1E493D18"/>
    <w:rsid w:val="26DE11D5"/>
    <w:rsid w:val="286F5947"/>
    <w:rsid w:val="29465B3C"/>
    <w:rsid w:val="2AB2438B"/>
    <w:rsid w:val="2BAA2192"/>
    <w:rsid w:val="2C6E71A0"/>
    <w:rsid w:val="2D0511C5"/>
    <w:rsid w:val="2D1811D5"/>
    <w:rsid w:val="2EE67D35"/>
    <w:rsid w:val="2FC55B9D"/>
    <w:rsid w:val="313B47D1"/>
    <w:rsid w:val="319B0B9C"/>
    <w:rsid w:val="325B20E1"/>
    <w:rsid w:val="351420B3"/>
    <w:rsid w:val="3556008A"/>
    <w:rsid w:val="395F2894"/>
    <w:rsid w:val="399316A4"/>
    <w:rsid w:val="3C7C003F"/>
    <w:rsid w:val="3D1D6A95"/>
    <w:rsid w:val="3E4F5388"/>
    <w:rsid w:val="41D77A90"/>
    <w:rsid w:val="427317DB"/>
    <w:rsid w:val="448373F2"/>
    <w:rsid w:val="45946BF4"/>
    <w:rsid w:val="45EA67B1"/>
    <w:rsid w:val="46A47193"/>
    <w:rsid w:val="4A9C1124"/>
    <w:rsid w:val="4B9F0EC2"/>
    <w:rsid w:val="4D7D6FA4"/>
    <w:rsid w:val="50503F6E"/>
    <w:rsid w:val="508B5BB2"/>
    <w:rsid w:val="51894BFE"/>
    <w:rsid w:val="576A31C0"/>
    <w:rsid w:val="582F13D7"/>
    <w:rsid w:val="5B664417"/>
    <w:rsid w:val="654B4E89"/>
    <w:rsid w:val="662310BD"/>
    <w:rsid w:val="693B774E"/>
    <w:rsid w:val="6A707ED8"/>
    <w:rsid w:val="6AB321FE"/>
    <w:rsid w:val="6ACD2904"/>
    <w:rsid w:val="6C197485"/>
    <w:rsid w:val="6C2D1732"/>
    <w:rsid w:val="6CB704EE"/>
    <w:rsid w:val="6EC45795"/>
    <w:rsid w:val="73DD12E2"/>
    <w:rsid w:val="74813190"/>
    <w:rsid w:val="775140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8"/>
    <w:qFormat/>
    <w:uiPriority w:val="0"/>
    <w:rPr>
      <w:rFonts w:ascii="宋体"/>
      <w:sz w:val="18"/>
      <w:szCs w:val="18"/>
    </w:rPr>
  </w:style>
  <w:style w:type="paragraph" w:styleId="7">
    <w:name w:val="annotation text"/>
    <w:basedOn w:val="1"/>
    <w:link w:val="33"/>
    <w:qFormat/>
    <w:uiPriority w:val="0"/>
  </w:style>
  <w:style w:type="paragraph" w:styleId="8">
    <w:name w:val="Body Text 3"/>
    <w:basedOn w:val="1"/>
    <w:link w:val="49"/>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5"/>
    <w:qFormat/>
    <w:uiPriority w:val="99"/>
    <w:pPr>
      <w:tabs>
        <w:tab w:val="center" w:pos="4320"/>
        <w:tab w:val="right" w:pos="8640"/>
      </w:tabs>
    </w:pPr>
  </w:style>
  <w:style w:type="paragraph" w:styleId="15">
    <w:name w:val="header"/>
    <w:basedOn w:val="1"/>
    <w:link w:val="2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9">
    <w:name w:val="annotation subject"/>
    <w:basedOn w:val="7"/>
    <w:next w:val="7"/>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字符"/>
    <w:link w:val="15"/>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val="en-GB" w:eastAsia="en-US" w:bidi="ar-SA"/>
    </w:rPr>
  </w:style>
  <w:style w:type="paragraph" w:styleId="32">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字符"/>
    <w:link w:val="7"/>
    <w:qFormat/>
    <w:uiPriority w:val="0"/>
    <w:rPr>
      <w:sz w:val="24"/>
      <w:lang w:val="en-GB" w:eastAsia="en-US"/>
    </w:rPr>
  </w:style>
  <w:style w:type="paragraph" w:customStyle="1" w:styleId="34">
    <w:name w:val="TOC 标题1"/>
    <w:basedOn w:val="2"/>
    <w:next w:val="1"/>
    <w:qFormat/>
    <w:uiPriority w:val="39"/>
    <w:pPr>
      <w:numPr>
        <w:numId w:val="0"/>
      </w:numPr>
      <w:outlineLvl w:val="9"/>
    </w:pPr>
  </w:style>
  <w:style w:type="character" w:customStyle="1" w:styleId="35">
    <w:name w:val="页脚 字符"/>
    <w:link w:val="14"/>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2"/>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0"/>
    <w:rPr>
      <w:sz w:val="24"/>
      <w:lang w:eastAsia="en-US"/>
    </w:rPr>
  </w:style>
  <w:style w:type="paragraph" w:customStyle="1" w:styleId="42">
    <w:name w:val="Text"/>
    <w:basedOn w:val="1"/>
    <w:link w:val="41"/>
    <w:qFormat/>
    <w:uiPriority w:val="0"/>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2"/>
    <w:qFormat/>
    <w:uiPriority w:val="0"/>
  </w:style>
  <w:style w:type="character" w:customStyle="1" w:styleId="45">
    <w:name w:val="标题 字符"/>
    <w:link w:val="18"/>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0"/>
    <w:pPr>
      <w:overflowPunct/>
      <w:autoSpaceDE/>
      <w:autoSpaceDN/>
      <w:adjustRightInd/>
      <w:spacing w:before="120" w:after="120"/>
      <w:jc w:val="both"/>
      <w:textAlignment w:val="auto"/>
    </w:pPr>
    <w:rPr>
      <w:lang w:val="en-US"/>
    </w:rPr>
  </w:style>
  <w:style w:type="character" w:customStyle="1" w:styleId="47">
    <w:name w:val="Footer Char"/>
    <w:basedOn w:val="22"/>
    <w:semiHidden/>
    <w:qFormat/>
    <w:locked/>
    <w:uiPriority w:val="0"/>
    <w:rPr>
      <w:rFonts w:cs="Times New Roman"/>
      <w:sz w:val="18"/>
      <w:szCs w:val="18"/>
    </w:rPr>
  </w:style>
  <w:style w:type="character" w:customStyle="1" w:styleId="48">
    <w:name w:val="文档结构图 字符"/>
    <w:basedOn w:val="22"/>
    <w:link w:val="6"/>
    <w:qFormat/>
    <w:uiPriority w:val="0"/>
    <w:rPr>
      <w:rFonts w:ascii="宋体"/>
      <w:sz w:val="18"/>
      <w:szCs w:val="18"/>
      <w:lang w:val="en-GB" w:eastAsia="en-US"/>
    </w:rPr>
  </w:style>
  <w:style w:type="character" w:customStyle="1" w:styleId="49">
    <w:name w:val="正文文本 3 字符"/>
    <w:link w:val="8"/>
    <w:qFormat/>
    <w:uiPriority w:val="0"/>
    <w:rPr>
      <w:sz w:val="16"/>
      <w:szCs w:val="16"/>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BD4DD-D15C-4F4F-8B0A-12B98575638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3846</Words>
  <Characters>4114</Characters>
  <Lines>42</Lines>
  <Paragraphs>11</Paragraphs>
  <TotalTime>9</TotalTime>
  <ScaleCrop>false</ScaleCrop>
  <LinksUpToDate>false</LinksUpToDate>
  <CharactersWithSpaces>4148</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2022-12-13T02:39:00Z</dcterms:created>
  <dc:creator>Lilly</dc:creator>
  <cp:lastModifiedBy>汪洋</cp:lastModifiedBy>
  <cp:lastPrinted>2017-06-22T01:53:00Z</cp:lastPrinted>
  <dcterms:modified xsi:type="dcterms:W3CDTF">2023-01-29T02:49:47Z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8121FF430BB144C893B479ABB124FB53</vt:lpwstr>
  </property>
</Properties>
</file>