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666358"/>
      <w:bookmarkStart w:id="2" w:name="_Toc483227223"/>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val="en-US" w:eastAsia="zh-CN"/>
        </w:rPr>
        <w:t>毓晋楼冻干人用</w:t>
      </w:r>
      <w:r>
        <w:rPr>
          <w:rFonts w:hint="eastAsia"/>
          <w:b/>
          <w:sz w:val="28"/>
          <w:szCs w:val="28"/>
          <w:lang w:eastAsia="zh-CN"/>
        </w:rPr>
        <w:t>狂犬病疫苗（</w:t>
      </w:r>
      <w:r>
        <w:rPr>
          <w:rFonts w:hint="eastAsia"/>
          <w:b/>
          <w:sz w:val="28"/>
          <w:szCs w:val="28"/>
          <w:lang w:val="en-US" w:eastAsia="zh-CN"/>
        </w:rPr>
        <w:t>Vero细胞</w:t>
      </w:r>
      <w:r>
        <w:rPr>
          <w:rFonts w:hint="eastAsia"/>
          <w:b/>
          <w:sz w:val="28"/>
          <w:szCs w:val="28"/>
          <w:lang w:eastAsia="zh-CN"/>
        </w:rPr>
        <w:t>）车间移动储液车</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70061"/>
      <w:bookmarkStart w:id="8" w:name="_Toc482369805"/>
      <w:bookmarkStart w:id="9" w:name="_Toc481702475"/>
      <w:bookmarkStart w:id="10" w:name="_Toc482370349"/>
      <w:bookmarkStart w:id="11" w:name="_Toc482359936"/>
      <w:bookmarkStart w:id="12" w:name="_Toc482370757"/>
      <w:bookmarkStart w:id="13" w:name="_Toc482360281"/>
      <w:bookmarkStart w:id="14" w:name="_Toc482625279"/>
      <w:bookmarkStart w:id="15" w:name="_Toc482370141"/>
      <w:r>
        <w:rPr>
          <w:szCs w:val="21"/>
          <w:lang w:eastAsia="zh-CN"/>
        </w:rPr>
        <w:t>本文件的目的是描述武汉生物制品研究所有限责任公司</w:t>
      </w:r>
      <w:permStart w:id="3" w:edGrp="everyone"/>
      <w:r>
        <w:rPr>
          <w:rFonts w:hint="eastAsia"/>
          <w:szCs w:val="21"/>
          <w:lang w:eastAsia="zh-CN"/>
        </w:rPr>
        <w:t>毓晋楼冻干人用狂犬病疫苗（Vero细胞）车间移动储液车</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毓晋楼冻干人用狂犬病疫苗（Vero细胞）车间移动储液车</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jc w:val="left"/>
        <w:rPr>
          <w:szCs w:val="21"/>
          <w:lang w:eastAsia="zh-CN"/>
        </w:rPr>
      </w:pPr>
      <w:permStart w:id="5" w:edGrp="everyone"/>
      <w:r>
        <w:rPr>
          <w:rFonts w:hint="eastAsia"/>
          <w:szCs w:val="21"/>
          <w:lang w:eastAsia="zh-CN"/>
        </w:rPr>
        <w:t>中国药典2020</w:t>
      </w:r>
      <w:r>
        <w:rPr>
          <w:rFonts w:hint="eastAsia"/>
          <w:szCs w:val="21"/>
          <w:lang w:val="en-US" w:eastAsia="zh-CN"/>
        </w:rPr>
        <w:t>年</w:t>
      </w:r>
      <w:r>
        <w:rPr>
          <w:rFonts w:hint="eastAsia"/>
          <w:szCs w:val="21"/>
          <w:lang w:eastAsia="zh-CN"/>
        </w:rPr>
        <w:t>版</w:t>
      </w:r>
    </w:p>
    <w:p>
      <w:pPr>
        <w:pStyle w:val="42"/>
        <w:numPr>
          <w:ilvl w:val="0"/>
          <w:numId w:val="5"/>
        </w:numPr>
        <w:spacing w:before="0" w:line="360" w:lineRule="auto"/>
        <w:jc w:val="left"/>
        <w:rPr>
          <w:szCs w:val="21"/>
          <w:lang w:eastAsia="zh-CN"/>
        </w:rPr>
      </w:pPr>
      <w:r>
        <w:rPr>
          <w:rFonts w:hint="eastAsia"/>
          <w:szCs w:val="21"/>
          <w:lang w:eastAsia="zh-CN"/>
        </w:rPr>
        <w:t>《药品生产质量管理规范》（</w:t>
      </w:r>
      <w:r>
        <w:rPr>
          <w:rFonts w:hint="eastAsia" w:ascii="宋体" w:hAnsi="宋体" w:cs="宋体"/>
          <w:szCs w:val="21"/>
          <w:lang w:eastAsia="zh-CN"/>
        </w:rPr>
        <w:t>2010</w:t>
      </w:r>
      <w:r>
        <w:rPr>
          <w:rFonts w:hint="eastAsia" w:ascii="宋体" w:hAnsi="宋体" w:cs="宋体"/>
          <w:szCs w:val="21"/>
          <w:lang w:val="en-US" w:eastAsia="zh-CN"/>
        </w:rPr>
        <w:t>年</w:t>
      </w:r>
      <w:r>
        <w:rPr>
          <w:rFonts w:hint="eastAsia"/>
          <w:szCs w:val="21"/>
          <w:lang w:eastAsia="zh-CN"/>
        </w:rPr>
        <w:t>版）</w:t>
      </w:r>
    </w:p>
    <w:p>
      <w:pPr>
        <w:pStyle w:val="42"/>
        <w:numPr>
          <w:ilvl w:val="0"/>
          <w:numId w:val="5"/>
        </w:numPr>
        <w:spacing w:before="0" w:line="360" w:lineRule="auto"/>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rFonts w:hint="eastAsia" w:ascii="宋体" w:hAnsi="宋体"/>
          <w:kern w:val="2"/>
          <w:szCs w:val="24"/>
          <w:lang w:eastAsia="zh-CN"/>
        </w:rPr>
        <w:t>（</w:t>
      </w:r>
      <w:r>
        <w:rPr>
          <w:rFonts w:ascii="宋体" w:hAnsi="宋体"/>
          <w:kern w:val="2"/>
          <w:szCs w:val="24"/>
          <w:lang w:eastAsia="zh-CN"/>
        </w:rPr>
        <w:t>2011</w:t>
      </w:r>
      <w:r>
        <w:rPr>
          <w:rFonts w:hint="eastAsia" w:ascii="宋体" w:hAnsi="宋体"/>
          <w:kern w:val="2"/>
          <w:szCs w:val="24"/>
          <w:lang w:val="en-US" w:eastAsia="zh-CN"/>
        </w:rPr>
        <w:t>年</w:t>
      </w:r>
      <w:r>
        <w:rPr>
          <w:rFonts w:hint="eastAsia" w:ascii="宋体" w:hAnsi="宋体"/>
          <w:kern w:val="2"/>
          <w:szCs w:val="24"/>
          <w:lang w:eastAsia="zh-CN"/>
        </w:rPr>
        <w:t>版）</w:t>
      </w:r>
    </w:p>
    <w:p>
      <w:pPr>
        <w:pStyle w:val="42"/>
        <w:numPr>
          <w:ilvl w:val="0"/>
          <w:numId w:val="5"/>
        </w:numPr>
        <w:spacing w:before="0" w:line="360" w:lineRule="auto"/>
        <w:jc w:val="left"/>
        <w:rPr>
          <w:szCs w:val="21"/>
          <w:lang w:eastAsia="zh-CN"/>
        </w:rPr>
      </w:pPr>
      <w:r>
        <w:rPr>
          <w:kern w:val="2"/>
          <w:szCs w:val="24"/>
          <w:lang w:eastAsia="zh-CN"/>
        </w:rPr>
        <w:t>GMP</w:t>
      </w:r>
      <w:r>
        <w:rPr>
          <w:rFonts w:hint="eastAsia" w:ascii="宋体" w:hAnsi="宋体"/>
          <w:kern w:val="2"/>
          <w:szCs w:val="24"/>
          <w:lang w:eastAsia="zh-CN"/>
        </w:rPr>
        <w:t>附件</w:t>
      </w:r>
      <w:r>
        <w:rPr>
          <w:rFonts w:ascii="宋体" w:hAnsi="宋体"/>
          <w:kern w:val="2"/>
          <w:szCs w:val="24"/>
          <w:lang w:eastAsia="zh-CN"/>
        </w:rPr>
        <w:t>2</w:t>
      </w:r>
      <w:r>
        <w:rPr>
          <w:rFonts w:hint="eastAsia" w:ascii="宋体" w:hAnsi="宋体"/>
          <w:kern w:val="2"/>
          <w:szCs w:val="24"/>
          <w:lang w:eastAsia="zh-CN"/>
        </w:rPr>
        <w:t>《确认与验证》（</w:t>
      </w:r>
      <w:r>
        <w:rPr>
          <w:rFonts w:ascii="宋体" w:hAnsi="宋体"/>
          <w:kern w:val="2"/>
          <w:szCs w:val="24"/>
          <w:lang w:eastAsia="zh-CN"/>
        </w:rPr>
        <w:t>2015</w:t>
      </w:r>
      <w:r>
        <w:rPr>
          <w:rFonts w:hint="eastAsia" w:ascii="宋体" w:hAnsi="宋体"/>
          <w:kern w:val="2"/>
          <w:szCs w:val="24"/>
          <w:lang w:val="en-US" w:eastAsia="zh-CN"/>
        </w:rPr>
        <w:t>年</w:t>
      </w:r>
      <w:r>
        <w:rPr>
          <w:rFonts w:hint="eastAsia" w:ascii="宋体" w:hAnsi="宋体"/>
          <w:kern w:val="2"/>
          <w:szCs w:val="24"/>
          <w:lang w:eastAsia="zh-CN"/>
        </w:rPr>
        <w:t>版）</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N/A</w:t>
      </w:r>
    </w:p>
    <w:permEnd w:id="6"/>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42"/>
        <w:spacing w:before="0" w:line="360" w:lineRule="auto"/>
        <w:ind w:left="357"/>
        <w:jc w:val="left"/>
        <w:rPr>
          <w:i/>
          <w:color w:val="4472C4"/>
          <w:szCs w:val="21"/>
          <w:lang w:eastAsia="zh-CN"/>
        </w:rPr>
      </w:pPr>
      <w:permStart w:id="8" w:edGrp="everyone"/>
      <w:r>
        <w:rPr>
          <w:rFonts w:hint="eastAsia" w:ascii="Arial" w:hAnsi="Arial" w:cs="Arial"/>
          <w:szCs w:val="24"/>
          <w:lang w:val="it-IT" w:eastAsia="zh-CN"/>
        </w:rPr>
        <w:t>武汉生物制品研究所有限责任公司</w:t>
      </w:r>
      <w:r>
        <w:rPr>
          <w:rFonts w:hint="eastAsia"/>
          <w:szCs w:val="21"/>
          <w:lang w:eastAsia="zh-CN"/>
        </w:rPr>
        <w:t>毓晋楼冻干人用狂犬病疫苗（Vero细胞）车间需购买4辆移动储液车，储液车的容量为1000L，带夹套，其夹套内管路管径大小需与TCU所带管路管径大小匹配，并且具备称重功能。</w:t>
      </w:r>
      <w:permEnd w:id="8"/>
    </w:p>
    <w:p>
      <w:pPr>
        <w:pStyle w:val="32"/>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119"/>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1" w:type="dxa"/>
            <w:shd w:val="clear" w:color="auto" w:fill="D9D9D9"/>
            <w:vAlign w:val="center"/>
          </w:tcPr>
          <w:p>
            <w:pPr>
              <w:jc w:val="center"/>
              <w:rPr>
                <w:b/>
                <w:szCs w:val="21"/>
              </w:rPr>
            </w:pPr>
            <w:bookmarkStart w:id="23" w:name="OLE_LINK2"/>
            <w:bookmarkStart w:id="24" w:name="OLE_LINK1"/>
            <w:r>
              <w:rPr>
                <w:b/>
                <w:szCs w:val="21"/>
              </w:rPr>
              <w:t>编号</w:t>
            </w:r>
          </w:p>
        </w:tc>
        <w:tc>
          <w:tcPr>
            <w:tcW w:w="7119" w:type="dxa"/>
            <w:shd w:val="clear" w:color="auto" w:fill="D9D9D9"/>
            <w:vAlign w:val="center"/>
          </w:tcPr>
          <w:p>
            <w:pPr>
              <w:jc w:val="center"/>
              <w:rPr>
                <w:b/>
                <w:szCs w:val="21"/>
                <w:lang w:eastAsia="zh-CN"/>
              </w:rPr>
            </w:pPr>
            <w:r>
              <w:rPr>
                <w:b/>
                <w:szCs w:val="21"/>
                <w:lang w:eastAsia="zh-CN"/>
              </w:rPr>
              <w:t>需求</w:t>
            </w:r>
          </w:p>
        </w:tc>
        <w:tc>
          <w:tcPr>
            <w:tcW w:w="213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kern w:val="0"/>
                <w:szCs w:val="21"/>
                <w:lang w:val="en-GB"/>
              </w:rPr>
            </w:pPr>
            <w:permStart w:id="10" w:edGrp="everyone"/>
          </w:p>
        </w:tc>
        <w:tc>
          <w:tcPr>
            <w:tcW w:w="7119" w:type="dxa"/>
            <w:shd w:val="clear" w:color="auto" w:fill="auto"/>
            <w:vAlign w:val="center"/>
          </w:tcPr>
          <w:p>
            <w:pPr>
              <w:spacing w:line="276" w:lineRule="auto"/>
              <w:jc w:val="both"/>
              <w:rPr>
                <w:szCs w:val="21"/>
                <w:lang w:eastAsia="zh-CN"/>
              </w:rPr>
            </w:pPr>
            <w:r>
              <w:rPr>
                <w:rFonts w:hint="eastAsia"/>
                <w:color w:val="000000" w:themeColor="text1"/>
                <w:szCs w:val="21"/>
                <w:lang w:eastAsia="zh-CN"/>
              </w:rPr>
              <w:t>此设备应方便移动使用，使用范围本车间</w:t>
            </w:r>
            <w:r>
              <w:rPr>
                <w:rFonts w:hint="eastAsia"/>
                <w:color w:val="000000" w:themeColor="text1"/>
                <w:szCs w:val="21"/>
                <w:lang w:val="en-US" w:eastAsia="zh-CN"/>
              </w:rPr>
              <w:t>C级</w:t>
            </w:r>
            <w:r>
              <w:rPr>
                <w:rFonts w:hint="eastAsia"/>
                <w:color w:val="000000" w:themeColor="text1"/>
                <w:szCs w:val="21"/>
                <w:lang w:eastAsia="zh-CN"/>
              </w:rPr>
              <w:t>洁净区</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kern w:val="0"/>
                <w:szCs w:val="21"/>
                <w:lang w:val="en-GB"/>
              </w:rPr>
            </w:pPr>
            <w:permStart w:id="11" w:edGrp="everyone"/>
          </w:p>
        </w:tc>
        <w:tc>
          <w:tcPr>
            <w:tcW w:w="7119" w:type="dxa"/>
            <w:shd w:val="clear" w:color="auto" w:fill="auto"/>
            <w:vAlign w:val="center"/>
          </w:tcPr>
          <w:p>
            <w:pPr>
              <w:spacing w:line="276" w:lineRule="auto"/>
              <w:jc w:val="both"/>
              <w:rPr>
                <w:szCs w:val="21"/>
                <w:lang w:eastAsia="zh-CN"/>
              </w:rPr>
            </w:pPr>
            <w:r>
              <w:rPr>
                <w:rFonts w:hint="eastAsia" w:ascii="宋体" w:hAnsi="宋体"/>
                <w:szCs w:val="21"/>
                <w:lang w:val="en-US" w:eastAsia="zh-CN"/>
              </w:rPr>
              <w:t>设备</w:t>
            </w:r>
            <w:r>
              <w:rPr>
                <w:rFonts w:hint="eastAsia" w:ascii="宋体" w:hAnsi="宋体"/>
                <w:szCs w:val="21"/>
                <w:lang w:eastAsia="zh-CN"/>
              </w:rPr>
              <w:t>的形式及尺寸（</w:t>
            </w:r>
            <w:r>
              <w:rPr>
                <w:rFonts w:hint="eastAsia" w:ascii="宋体" w:hAnsi="宋体"/>
                <w:szCs w:val="21"/>
                <w:lang w:val="en-US" w:eastAsia="zh-CN"/>
              </w:rPr>
              <w:t>长×宽×高</w:t>
            </w:r>
            <w:r>
              <w:rPr>
                <w:rFonts w:hint="eastAsia" w:ascii="宋体" w:hAnsi="宋体"/>
                <w:szCs w:val="21"/>
                <w:lang w:eastAsia="zh-CN"/>
              </w:rPr>
              <w:t>）应符合制造商说明书及技术文件规定的要求。</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kern w:val="0"/>
                <w:szCs w:val="21"/>
                <w:lang w:val="en-GB"/>
              </w:rPr>
            </w:pPr>
          </w:p>
        </w:tc>
        <w:tc>
          <w:tcPr>
            <w:tcW w:w="7119"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供应商必须给</w:t>
            </w:r>
            <w:r>
              <w:rPr>
                <w:rFonts w:hint="eastAsia" w:ascii="宋体" w:hAnsi="宋体"/>
                <w:szCs w:val="21"/>
                <w:lang w:val="en-US" w:eastAsia="zh-CN"/>
              </w:rPr>
              <w:t>出移动储液车相关</w:t>
            </w:r>
            <w:r>
              <w:rPr>
                <w:rFonts w:hint="eastAsia" w:ascii="宋体" w:hAnsi="宋体"/>
                <w:szCs w:val="21"/>
                <w:lang w:eastAsia="zh-CN"/>
              </w:rPr>
              <w:t>选型方案及相应附件配置方案，并交给我公司使用部门及工程类部门审核。</w:t>
            </w:r>
          </w:p>
        </w:tc>
        <w:tc>
          <w:tcPr>
            <w:tcW w:w="2133" w:type="dxa"/>
            <w:shd w:val="clear" w:color="auto" w:fill="auto"/>
            <w:vAlign w:val="center"/>
          </w:tcPr>
          <w:p>
            <w:pP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8D8D8" w:themeFill="background1" w:themeFillShade="D9"/>
            <w:vAlign w:val="center"/>
          </w:tcPr>
          <w:p>
            <w:pPr>
              <w:jc w:val="center"/>
              <w:rPr>
                <w:szCs w:val="21"/>
                <w:shd w:val="pct10" w:color="auto" w:fill="FFFFFF"/>
                <w:lang w:eastAsia="zh-CN"/>
              </w:rPr>
            </w:pPr>
            <w:permStart w:id="12" w:edGrp="everyone"/>
          </w:p>
        </w:tc>
        <w:tc>
          <w:tcPr>
            <w:tcW w:w="9252" w:type="dxa"/>
            <w:gridSpan w:val="2"/>
            <w:shd w:val="clear" w:color="auto" w:fill="FFFFFF" w:themeFill="background1"/>
            <w:vAlign w:val="center"/>
          </w:tcPr>
          <w:p>
            <w:pPr>
              <w:rPr>
                <w:szCs w:val="21"/>
                <w:shd w:val="pct10" w:color="auto" w:fill="FFFFFF"/>
                <w:lang w:eastAsia="zh-CN"/>
              </w:rPr>
            </w:pPr>
            <w:r>
              <w:rPr>
                <w:rFonts w:hint="eastAsia"/>
                <w:szCs w:val="21"/>
                <w:shd w:val="pct10" w:color="auto" w:fill="FFFFFF"/>
                <w:lang w:eastAsia="zh-CN"/>
              </w:rPr>
              <w:t>N</w:t>
            </w:r>
            <w:r>
              <w:rPr>
                <w:rFonts w:hint="eastAsia"/>
                <w:szCs w:val="21"/>
                <w:shd w:val="pct10" w:color="auto" w:fill="FFFFFF"/>
                <w:lang w:val="en-US" w:eastAsia="zh-CN"/>
              </w:rPr>
              <w:t>/</w:t>
            </w:r>
            <w:r>
              <w:rPr>
                <w:rFonts w:hint="eastAsia"/>
                <w:szCs w:val="21"/>
                <w:shd w:val="pct10" w:color="auto" w:fill="FFFFFF"/>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8D8D8" w:themeFill="background1" w:themeFillShade="D9"/>
            <w:vAlign w:val="center"/>
          </w:tcPr>
          <w:p>
            <w:pPr>
              <w:rPr>
                <w:szCs w:val="21"/>
                <w:lang w:eastAsia="zh-CN"/>
              </w:rPr>
            </w:pPr>
            <w:permStart w:id="13" w:edGrp="everyone"/>
          </w:p>
        </w:tc>
        <w:tc>
          <w:tcPr>
            <w:tcW w:w="9252" w:type="dxa"/>
            <w:gridSpan w:val="2"/>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4"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工作环境温度：能适应</w:t>
            </w:r>
            <w:r>
              <w:rPr>
                <w:rFonts w:hint="eastAsia"/>
                <w:color w:val="000000"/>
                <w:lang w:eastAsia="zh-CN"/>
              </w:rPr>
              <w:t>18℃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5"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工作环境湿度：至少包括45%～65%</w:t>
            </w:r>
            <w:r>
              <w:rPr>
                <w:rFonts w:hint="eastAsia"/>
                <w:color w:val="000000"/>
                <w:lang w:eastAsia="zh-CN"/>
              </w:rPr>
              <w:t>。</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color w:val="000000"/>
                <w:kern w:val="0"/>
                <w:szCs w:val="20"/>
                <w:lang w:val="en-GB"/>
              </w:rPr>
            </w:pPr>
            <w:permStart w:id="16"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工作环境洁净级别：</w:t>
            </w:r>
            <w:r>
              <w:rPr>
                <w:rFonts w:hint="eastAsia"/>
                <w:color w:val="000000"/>
                <w:lang w:eastAsia="zh-CN"/>
              </w:rPr>
              <w:t>C级洁净区。</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19" w:type="dxa"/>
            <w:shd w:val="clear" w:color="auto" w:fill="auto"/>
            <w:vAlign w:val="center"/>
          </w:tcPr>
          <w:p>
            <w:pPr>
              <w:spacing w:line="276" w:lineRule="auto"/>
              <w:jc w:val="both"/>
              <w:rPr>
                <w:color w:val="000000"/>
                <w:lang w:val="en-US" w:eastAsia="zh-CN"/>
              </w:rPr>
            </w:pPr>
            <w:r>
              <w:rPr>
                <w:lang w:eastAsia="zh-CN"/>
              </w:rPr>
              <w:t>适用于我公司交流电电源：</w:t>
            </w:r>
            <w:r>
              <w:rPr>
                <w:iCs/>
                <w:lang w:eastAsia="zh-CN"/>
              </w:rPr>
              <w:t xml:space="preserve">～220±10%V，50±1Hz </w:t>
            </w:r>
            <w:r>
              <w:rPr>
                <w:rFonts w:hint="eastAsia"/>
                <w:iCs/>
                <w:lang w:eastAsia="zh-CN"/>
              </w:rPr>
              <w:t>，</w:t>
            </w:r>
            <w:r>
              <w:rPr>
                <w:rFonts w:hint="eastAsia"/>
                <w:iCs/>
                <w:lang w:val="en-US" w:eastAsia="zh-CN"/>
              </w:rPr>
              <w:t>6A</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6"/>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19" w:type="dxa"/>
            <w:shd w:val="clear" w:color="auto" w:fill="auto"/>
            <w:vAlign w:val="center"/>
          </w:tcPr>
          <w:p>
            <w:pPr>
              <w:spacing w:line="276" w:lineRule="auto"/>
              <w:jc w:val="both"/>
              <w:rPr>
                <w:i/>
                <w:color w:val="000000"/>
                <w:lang w:eastAsia="zh-CN"/>
              </w:rPr>
            </w:pPr>
            <w:r>
              <w:rPr>
                <w:rFonts w:hint="eastAsia" w:ascii="宋体" w:hAnsi="宋体"/>
                <w:lang w:eastAsia="zh-CN"/>
              </w:rPr>
              <w:t>设备外观应端正、整齐，不得有明显的偏歪，</w:t>
            </w:r>
            <w:r>
              <w:rPr>
                <w:rFonts w:hint="eastAsia"/>
                <w:szCs w:val="21"/>
                <w:lang w:eastAsia="zh-CN"/>
              </w:rPr>
              <w:t>内部</w:t>
            </w:r>
            <w:r>
              <w:rPr>
                <w:rFonts w:hint="eastAsia"/>
                <w:szCs w:val="21"/>
                <w:lang w:val="en-US" w:eastAsia="zh-CN"/>
              </w:rPr>
              <w:t>和外部</w:t>
            </w:r>
            <w:r>
              <w:rPr>
                <w:rFonts w:hint="eastAsia"/>
                <w:szCs w:val="21"/>
                <w:lang w:eastAsia="zh-CN"/>
              </w:rPr>
              <w:t>表面不得有凹陷、毛刺和锈蚀等缺陷</w:t>
            </w:r>
            <w:r>
              <w:rPr>
                <w:rFonts w:hint="eastAsia" w:ascii="宋体" w:hAnsi="宋体"/>
                <w:lang w:eastAsia="zh-CN"/>
              </w:rPr>
              <w:t>。</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spacing w:line="360" w:lineRule="auto"/>
              <w:jc w:val="both"/>
              <w:rPr>
                <w:color w:val="000000"/>
                <w:szCs w:val="21"/>
                <w:lang w:eastAsia="zh-CN"/>
              </w:rPr>
            </w:pPr>
            <w:r>
              <w:rPr>
                <w:color w:val="000000"/>
                <w:szCs w:val="21"/>
                <w:lang w:eastAsia="zh-CN"/>
              </w:rPr>
              <w:t>至少应有以下永久贴牢和清楚易认的标识：</w:t>
            </w:r>
          </w:p>
          <w:p>
            <w:pPr>
              <w:spacing w:line="360" w:lineRule="auto"/>
              <w:jc w:val="both"/>
              <w:rPr>
                <w:color w:val="000000"/>
                <w:szCs w:val="21"/>
                <w:lang w:eastAsia="zh-CN"/>
              </w:rPr>
            </w:pPr>
            <w:r>
              <w:rPr>
                <w:color w:val="000000"/>
                <w:szCs w:val="21"/>
                <w:lang w:eastAsia="zh-CN"/>
              </w:rPr>
              <w:t>（1）制造/供应单位；</w:t>
            </w:r>
          </w:p>
          <w:p>
            <w:pPr>
              <w:spacing w:line="360" w:lineRule="auto"/>
              <w:jc w:val="both"/>
              <w:rPr>
                <w:color w:val="000000"/>
                <w:szCs w:val="21"/>
                <w:lang w:eastAsia="zh-CN"/>
              </w:rPr>
            </w:pPr>
            <w:r>
              <w:rPr>
                <w:color w:val="000000"/>
                <w:szCs w:val="21"/>
                <w:lang w:eastAsia="zh-CN"/>
              </w:rPr>
              <w:t>（2）产品注册号；</w:t>
            </w:r>
          </w:p>
          <w:p>
            <w:pPr>
              <w:spacing w:line="360" w:lineRule="auto"/>
              <w:jc w:val="both"/>
              <w:rPr>
                <w:color w:val="000000"/>
                <w:szCs w:val="21"/>
                <w:lang w:eastAsia="zh-CN"/>
              </w:rPr>
            </w:pPr>
            <w:r>
              <w:rPr>
                <w:color w:val="000000"/>
                <w:szCs w:val="21"/>
                <w:lang w:eastAsia="zh-CN"/>
              </w:rPr>
              <w:t>（3）型号；</w:t>
            </w:r>
          </w:p>
          <w:p>
            <w:pPr>
              <w:spacing w:line="360" w:lineRule="auto"/>
              <w:jc w:val="both"/>
              <w:rPr>
                <w:color w:val="000000"/>
                <w:szCs w:val="21"/>
                <w:lang w:eastAsia="zh-CN"/>
              </w:rPr>
            </w:pPr>
            <w:r>
              <w:rPr>
                <w:color w:val="000000"/>
                <w:szCs w:val="21"/>
                <w:lang w:eastAsia="zh-CN"/>
              </w:rPr>
              <w:t>（4）生产日期或编号；</w:t>
            </w:r>
          </w:p>
          <w:p>
            <w:pPr>
              <w:spacing w:line="360" w:lineRule="auto"/>
              <w:jc w:val="both"/>
              <w:rPr>
                <w:color w:val="000000"/>
                <w:szCs w:val="21"/>
                <w:lang w:eastAsia="zh-CN"/>
              </w:rPr>
            </w:pPr>
            <w:r>
              <w:rPr>
                <w:color w:val="000000"/>
                <w:szCs w:val="21"/>
                <w:lang w:eastAsia="zh-CN"/>
              </w:rPr>
              <w:t>（5）对设备必要的说明；</w:t>
            </w:r>
          </w:p>
          <w:p>
            <w:pPr>
              <w:spacing w:line="276" w:lineRule="auto"/>
              <w:jc w:val="both"/>
              <w:rPr>
                <w:rFonts w:ascii="宋体" w:hAnsi="宋体"/>
                <w:lang w:eastAsia="zh-CN"/>
              </w:rPr>
            </w:pPr>
            <w:r>
              <w:rPr>
                <w:color w:val="000000"/>
                <w:szCs w:val="21"/>
              </w:rPr>
              <w:t>（</w:t>
            </w:r>
            <w:r>
              <w:rPr>
                <w:color w:val="000000"/>
                <w:szCs w:val="21"/>
                <w:lang w:eastAsia="zh-CN"/>
              </w:rPr>
              <w:t>6</w:t>
            </w:r>
            <w:r>
              <w:rPr>
                <w:color w:val="000000"/>
                <w:szCs w:val="21"/>
              </w:rPr>
              <w:t>）安全标识。</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szCs w:val="21"/>
                <w:lang w:eastAsia="zh-CN"/>
              </w:rPr>
              <w:t>设备材质应</w:t>
            </w:r>
            <w:r>
              <w:rPr>
                <w:rFonts w:hint="eastAsia"/>
                <w:szCs w:val="21"/>
                <w:lang w:val="en-US" w:eastAsia="zh-CN"/>
              </w:rPr>
              <w:t>是304不锈钢（要符合我国</w:t>
            </w:r>
            <w:r>
              <w:rPr>
                <w:color w:val="333333"/>
                <w:szCs w:val="21"/>
                <w:shd w:val="clear" w:color="auto" w:fill="FFFFFF"/>
                <w:lang w:eastAsia="zh-CN"/>
              </w:rPr>
              <w:t>GB/T20878-2007</w:t>
            </w:r>
            <w:r>
              <w:rPr>
                <w:rFonts w:hint="eastAsia" w:ascii="Arial" w:hAnsi="Arial" w:cs="Arial"/>
                <w:color w:val="333333"/>
                <w:szCs w:val="21"/>
                <w:shd w:val="clear" w:color="auto" w:fill="FFFFFF"/>
                <w:lang w:val="en-US" w:eastAsia="zh-CN"/>
              </w:rPr>
              <w:t>的标准），钢体材质应</w:t>
            </w:r>
            <w:r>
              <w:rPr>
                <w:rFonts w:hint="eastAsia"/>
                <w:szCs w:val="21"/>
                <w:lang w:eastAsia="zh-CN"/>
              </w:rPr>
              <w:t>防腐蚀、易于清洁。</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tabs>
                <w:tab w:val="left" w:pos="1553"/>
              </w:tabs>
              <w:spacing w:line="276" w:lineRule="auto"/>
              <w:jc w:val="both"/>
              <w:rPr>
                <w:rFonts w:hint="default"/>
                <w:szCs w:val="21"/>
                <w:lang w:val="en-US" w:eastAsia="zh-CN"/>
              </w:rPr>
            </w:pPr>
            <w:r>
              <w:rPr>
                <w:rFonts w:hint="eastAsia"/>
                <w:szCs w:val="21"/>
                <w:lang w:val="en-US" w:eastAsia="zh-CN"/>
              </w:rPr>
              <w:t>夹套内管路管径型号为DN25</w:t>
            </w:r>
          </w:p>
        </w:tc>
        <w:tc>
          <w:tcPr>
            <w:tcW w:w="2133" w:type="dxa"/>
            <w:shd w:val="clear" w:color="auto" w:fill="auto"/>
            <w:vAlign w:val="center"/>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szCs w:val="21"/>
                <w:lang w:eastAsia="zh-CN"/>
              </w:rPr>
              <w:t>设备内部表面不得有凹陷、毛刺和锈蚀等缺陷。</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ascii="宋体" w:hAnsi="宋体"/>
                <w:lang w:eastAsia="zh-CN"/>
              </w:rPr>
              <w:t>机身应有铭牌标识（包括厂家、标准、生产时间），设备标识要采用钢印铭牌并固定在可靠、易识别的地方，不要使用胶带式贴牌或喷码式贴牌。</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ascii="宋体" w:hAnsi="宋体"/>
                <w:lang w:eastAsia="zh-CN"/>
              </w:rPr>
              <w:t>设</w:t>
            </w:r>
            <w:r>
              <w:rPr>
                <w:lang w:eastAsia="zh-CN"/>
              </w:rPr>
              <w:t>备在洁净区使用应满足整机能耐受4ml/m</w:t>
            </w:r>
            <w:r>
              <w:rPr>
                <w:vertAlign w:val="superscript"/>
                <w:lang w:eastAsia="zh-CN"/>
              </w:rPr>
              <w:t>3</w:t>
            </w:r>
            <w:r>
              <w:rPr>
                <w:lang w:eastAsia="zh-CN"/>
              </w:rPr>
              <w:t>甲醛熏蒸消毒</w:t>
            </w:r>
            <w:r>
              <w:rPr>
                <w:rFonts w:hint="eastAsia"/>
                <w:lang w:eastAsia="zh-CN"/>
              </w:rPr>
              <w:t>，</w:t>
            </w:r>
            <w:r>
              <w:rPr>
                <w:rFonts w:hint="eastAsia"/>
                <w:lang w:val="en-US" w:eastAsia="zh-CN"/>
              </w:rPr>
              <w:t>耐受VHP消毒（30%过氧化氢）</w:t>
            </w:r>
            <w:r>
              <w:rPr>
                <w:lang w:eastAsia="zh-CN"/>
              </w:rPr>
              <w:t>并能耐受75%</w:t>
            </w:r>
            <w:r>
              <w:rPr>
                <w:lang w:val="en-US" w:eastAsia="zh-CN"/>
              </w:rPr>
              <w:t>乙醇溶液</w:t>
            </w:r>
            <w:r>
              <w:rPr>
                <w:lang w:eastAsia="zh-CN"/>
              </w:rPr>
              <w:t>、1%84</w:t>
            </w:r>
            <w:r>
              <w:rPr>
                <w:lang w:val="en-US" w:eastAsia="zh-CN"/>
              </w:rPr>
              <w:t>消毒</w:t>
            </w:r>
            <w:r>
              <w:rPr>
                <w:rFonts w:hint="eastAsia"/>
                <w:lang w:val="en-US" w:eastAsia="zh-CN"/>
              </w:rPr>
              <w:t>剂</w:t>
            </w:r>
            <w:r>
              <w:rPr>
                <w:lang w:eastAsia="zh-CN"/>
              </w:rPr>
              <w:t>、0.1</w:t>
            </w:r>
            <w:r>
              <w:rPr>
                <w:lang w:val="en-US" w:eastAsia="zh-CN"/>
              </w:rPr>
              <w:t>%</w:t>
            </w:r>
            <w:r>
              <w:rPr>
                <w:lang w:eastAsia="zh-CN"/>
              </w:rPr>
              <w:t>新洁尔灭</w:t>
            </w:r>
            <w:r>
              <w:rPr>
                <w:rFonts w:hint="eastAsia"/>
                <w:lang w:val="en-US" w:eastAsia="zh-CN"/>
              </w:rPr>
              <w:t>溶液、杀孢子剂、酸性苯酚、碱性苯酚</w:t>
            </w:r>
            <w:r>
              <w:rPr>
                <w:lang w:eastAsia="zh-CN"/>
              </w:rPr>
              <w:t>表面擦拭消毒，易于清洁，无死角</w:t>
            </w:r>
          </w:p>
        </w:tc>
        <w:tc>
          <w:tcPr>
            <w:tcW w:w="2133" w:type="dxa"/>
            <w:shd w:val="clear" w:color="auto" w:fill="auto"/>
            <w:vAlign w:val="center"/>
          </w:tcPr>
          <w:p>
            <w:pPr>
              <w:rPr>
                <w:szCs w:val="21"/>
                <w:lang w:eastAsia="zh-CN"/>
              </w:rPr>
            </w:pPr>
            <w:r>
              <w:rPr>
                <w:rFonts w:hint="eastAsia"/>
                <w:szCs w:val="21"/>
                <w:lang w:eastAsia="zh-CN"/>
              </w:rPr>
              <w:t>关键</w:t>
            </w:r>
          </w:p>
        </w:tc>
      </w:tr>
      <w:bookmarkEnd w:id="23"/>
      <w:bookmarkEnd w:id="24"/>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2"/>
        <w:spacing w:before="0" w:line="360" w:lineRule="auto"/>
        <w:ind w:left="357"/>
        <w:jc w:val="left"/>
        <w:rPr>
          <w:bCs/>
          <w:i/>
          <w:color w:val="4472C4"/>
          <w:kern w:val="44"/>
          <w:szCs w:val="21"/>
          <w:lang w:eastAsia="zh-CN"/>
        </w:rPr>
      </w:pPr>
      <w:permStart w:id="19" w:edGrp="everyone"/>
    </w:p>
    <w:permEnd w:id="19"/>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997"/>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93" w:type="dxa"/>
            <w:shd w:val="clear" w:color="auto" w:fill="D9D9D9"/>
            <w:vAlign w:val="center"/>
          </w:tcPr>
          <w:p>
            <w:pPr>
              <w:jc w:val="center"/>
              <w:rPr>
                <w:b/>
                <w:szCs w:val="21"/>
              </w:rPr>
            </w:pPr>
            <w:r>
              <w:rPr>
                <w:b/>
                <w:szCs w:val="21"/>
              </w:rPr>
              <w:t>编号</w:t>
            </w:r>
          </w:p>
        </w:tc>
        <w:tc>
          <w:tcPr>
            <w:tcW w:w="6997" w:type="dxa"/>
            <w:shd w:val="clear" w:color="auto" w:fill="D9D9D9"/>
            <w:vAlign w:val="center"/>
          </w:tcPr>
          <w:p>
            <w:pPr>
              <w:jc w:val="center"/>
              <w:rPr>
                <w:b/>
                <w:szCs w:val="21"/>
                <w:lang w:eastAsia="zh-CN"/>
              </w:rPr>
            </w:pPr>
            <w:r>
              <w:rPr>
                <w:b/>
                <w:szCs w:val="21"/>
                <w:lang w:eastAsia="zh-CN"/>
              </w:rPr>
              <w:t>需求</w:t>
            </w:r>
          </w:p>
        </w:tc>
        <w:tc>
          <w:tcPr>
            <w:tcW w:w="227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8"/>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8D8D8" w:themeFill="background1" w:themeFillShade="D9"/>
            <w:vAlign w:val="center"/>
          </w:tcPr>
          <w:p>
            <w:pPr>
              <w:pStyle w:val="32"/>
              <w:ind w:firstLine="0" w:firstLineChars="0"/>
              <w:rPr>
                <w:rFonts w:ascii="Times New Roman" w:hAnsi="Times New Roman"/>
                <w:color w:val="000000"/>
                <w:kern w:val="0"/>
                <w:szCs w:val="21"/>
                <w:lang w:val="en-GB"/>
              </w:rPr>
            </w:pPr>
            <w:permStart w:id="20" w:edGrp="everyone"/>
          </w:p>
        </w:tc>
        <w:tc>
          <w:tcPr>
            <w:tcW w:w="9270" w:type="dxa"/>
            <w:gridSpan w:val="2"/>
            <w:shd w:val="clear" w:color="auto" w:fill="FFFFFF" w:themeFill="background1"/>
            <w:vAlign w:val="center"/>
          </w:tcPr>
          <w:p>
            <w:pPr>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8"/>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1" w:edGrp="everyone"/>
          </w:p>
        </w:tc>
        <w:tc>
          <w:tcPr>
            <w:tcW w:w="9270" w:type="dxa"/>
            <w:gridSpan w:val="2"/>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8"/>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6997" w:type="dxa"/>
            <w:shd w:val="clear" w:color="auto" w:fill="auto"/>
            <w:vAlign w:val="center"/>
          </w:tcPr>
          <w:p>
            <w:pPr>
              <w:pStyle w:val="8"/>
              <w:spacing w:line="460" w:lineRule="exact"/>
              <w:rPr>
                <w:sz w:val="21"/>
                <w:szCs w:val="21"/>
                <w:lang w:val="en-US" w:eastAsia="zh-CN"/>
              </w:rPr>
            </w:pPr>
            <w:r>
              <w:rPr>
                <w:rFonts w:hint="eastAsia"/>
                <w:sz w:val="21"/>
                <w:szCs w:val="21"/>
                <w:lang w:val="en-US" w:eastAsia="zh-CN"/>
              </w:rPr>
              <w:t>容量：1000L</w:t>
            </w:r>
          </w:p>
        </w:tc>
        <w:tc>
          <w:tcPr>
            <w:tcW w:w="227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97" w:type="dxa"/>
            <w:shd w:val="clear" w:color="auto" w:fill="auto"/>
            <w:vAlign w:val="center"/>
          </w:tcPr>
          <w:p>
            <w:pPr>
              <w:spacing w:line="300" w:lineRule="auto"/>
              <w:rPr>
                <w:szCs w:val="21"/>
                <w:lang w:val="en-US" w:eastAsia="zh-CN"/>
              </w:rPr>
            </w:pPr>
            <w:r>
              <w:rPr>
                <w:rFonts w:hint="eastAsia"/>
                <w:szCs w:val="21"/>
                <w:lang w:val="en-US" w:eastAsia="zh-CN"/>
              </w:rPr>
              <w:t>设备配夹套和称重模块；夹套的出入口接口</w:t>
            </w:r>
            <w:r>
              <w:rPr>
                <w:rFonts w:hint="eastAsia"/>
                <w:szCs w:val="21"/>
                <w:lang w:eastAsia="zh-CN"/>
              </w:rPr>
              <w:t>管径DN</w:t>
            </w:r>
            <w:r>
              <w:rPr>
                <w:rFonts w:hint="eastAsia"/>
                <w:szCs w:val="21"/>
                <w:lang w:val="en-US" w:eastAsia="zh-CN"/>
              </w:rPr>
              <w:t>50</w:t>
            </w:r>
          </w:p>
        </w:tc>
        <w:tc>
          <w:tcPr>
            <w:tcW w:w="2273"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6997" w:type="dxa"/>
            <w:shd w:val="clear" w:color="auto" w:fill="auto"/>
            <w:vAlign w:val="center"/>
          </w:tcPr>
          <w:p>
            <w:pPr>
              <w:pStyle w:val="8"/>
              <w:rPr>
                <w:sz w:val="21"/>
                <w:szCs w:val="21"/>
                <w:lang w:val="en-US" w:eastAsia="zh-CN"/>
              </w:rPr>
            </w:pPr>
            <w:r>
              <w:rPr>
                <w:rFonts w:hint="eastAsia"/>
                <w:sz w:val="21"/>
                <w:szCs w:val="21"/>
                <w:lang w:val="en-US" w:eastAsia="zh-CN"/>
              </w:rPr>
              <w:t xml:space="preserve">称重模块选用梅特勒或同等品牌称重模块，精度±0.03% </w:t>
            </w:r>
          </w:p>
        </w:tc>
        <w:tc>
          <w:tcPr>
            <w:tcW w:w="227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val="en-US" w:eastAsia="zh-CN"/>
              </w:rPr>
            </w:pPr>
            <w:r>
              <w:rPr>
                <w:rFonts w:hint="eastAsia"/>
                <w:sz w:val="21"/>
                <w:szCs w:val="21"/>
                <w:lang w:val="en-US" w:eastAsia="zh-CN"/>
              </w:rPr>
              <w:t>滚轮：底座带4个卫生级橡胶轮，防止损坏地面，并带有防滑刹车</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rFonts w:hint="default"/>
                <w:sz w:val="21"/>
                <w:szCs w:val="21"/>
                <w:lang w:val="en-US" w:eastAsia="zh-CN"/>
              </w:rPr>
            </w:pPr>
            <w:r>
              <w:rPr>
                <w:rFonts w:hint="eastAsia"/>
                <w:sz w:val="21"/>
                <w:szCs w:val="21"/>
                <w:lang w:val="en-US" w:eastAsia="zh-CN"/>
              </w:rPr>
              <w:t>1000L储液袋便于装入储液车内，并且使用方便。</w:t>
            </w:r>
          </w:p>
        </w:tc>
        <w:tc>
          <w:tcPr>
            <w:tcW w:w="2273" w:type="dxa"/>
            <w:shd w:val="clear" w:color="auto" w:fill="auto"/>
            <w:vAlign w:val="center"/>
          </w:tcPr>
          <w:p>
            <w:pPr>
              <w:jc w:val="both"/>
              <w:rPr>
                <w:rFonts w:hint="eastAsia"/>
                <w:szCs w:val="21"/>
                <w:lang w:val="en-US"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8"/>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4" w:edGrp="everyone"/>
          </w:p>
        </w:tc>
        <w:tc>
          <w:tcPr>
            <w:tcW w:w="9270" w:type="dxa"/>
            <w:gridSpan w:val="2"/>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59946"/>
      <w:bookmarkStart w:id="31" w:name="_Toc481702480"/>
      <w:bookmarkStart w:id="32" w:name="_Toc482370767"/>
      <w:bookmarkStart w:id="33" w:name="_Toc482369815"/>
      <w:bookmarkStart w:id="34" w:name="_Toc482370359"/>
      <w:bookmarkStart w:id="35" w:name="_Toc483400317"/>
      <w:bookmarkStart w:id="36" w:name="_Toc482625289"/>
      <w:bookmarkStart w:id="37" w:name="_Toc482360291"/>
      <w:bookmarkStart w:id="38" w:name="_Toc482370151"/>
      <w:bookmarkStart w:id="39" w:name="_Toc482717202"/>
      <w:bookmarkStart w:id="40" w:name="_Toc482370071"/>
      <w:r>
        <w:rPr>
          <w:rFonts w:ascii="Times New Roman" w:hAnsi="Times New Roman"/>
          <w:b/>
        </w:rPr>
        <w:t>电气、自动控制要求</w:t>
      </w:r>
      <w:bookmarkEnd w:id="27"/>
    </w:p>
    <w:p>
      <w:pPr>
        <w:pStyle w:val="42"/>
        <w:spacing w:before="0" w:line="360" w:lineRule="auto"/>
        <w:ind w:left="425"/>
        <w:jc w:val="left"/>
        <w:rPr>
          <w:i/>
          <w:color w:val="4472C4"/>
          <w:szCs w:val="21"/>
          <w:lang w:eastAsia="zh-CN"/>
        </w:rPr>
      </w:pPr>
      <w:permStart w:id="25" w:edGrp="everyone"/>
    </w:p>
    <w:permEnd w:id="2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968"/>
        <w:gridCol w:w="2081"/>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tblHeader/>
          <w:jc w:val="center"/>
        </w:trPr>
        <w:tc>
          <w:tcPr>
            <w:tcW w:w="1289" w:type="dxa"/>
            <w:shd w:val="clear" w:color="auto" w:fill="D9D9D9"/>
            <w:vAlign w:val="center"/>
          </w:tcPr>
          <w:p>
            <w:pPr>
              <w:jc w:val="center"/>
              <w:rPr>
                <w:b/>
                <w:szCs w:val="21"/>
              </w:rPr>
            </w:pPr>
            <w:r>
              <w:rPr>
                <w:b/>
                <w:szCs w:val="21"/>
              </w:rPr>
              <w:t>编号</w:t>
            </w:r>
          </w:p>
        </w:tc>
        <w:tc>
          <w:tcPr>
            <w:tcW w:w="6971"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jc w:val="center"/>
        </w:trPr>
        <w:tc>
          <w:tcPr>
            <w:tcW w:w="1289" w:type="dxa"/>
            <w:shd w:val="clear" w:color="auto" w:fill="D9D9D9"/>
            <w:vAlign w:val="center"/>
          </w:tcPr>
          <w:p>
            <w:pPr>
              <w:pStyle w:val="32"/>
              <w:numPr>
                <w:ilvl w:val="2"/>
                <w:numId w:val="9"/>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6" w:edGrp="everyone"/>
          </w:p>
        </w:tc>
        <w:tc>
          <w:tcPr>
            <w:tcW w:w="9270" w:type="dxa"/>
            <w:gridSpan w:val="3"/>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jc w:val="center"/>
        </w:trPr>
        <w:tc>
          <w:tcPr>
            <w:tcW w:w="1289" w:type="dxa"/>
            <w:shd w:val="clear" w:color="auto" w:fill="D9D9D9"/>
            <w:vAlign w:val="center"/>
          </w:tcPr>
          <w:p>
            <w:pPr>
              <w:pStyle w:val="32"/>
              <w:numPr>
                <w:ilvl w:val="2"/>
                <w:numId w:val="9"/>
              </w:numPr>
              <w:ind w:firstLineChars="0"/>
              <w:rPr>
                <w:rFonts w:ascii="Times New Roman" w:hAnsi="Times New Roman"/>
                <w:szCs w:val="21"/>
              </w:rPr>
            </w:pPr>
          </w:p>
        </w:tc>
        <w:tc>
          <w:tcPr>
            <w:tcW w:w="90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7" w:edGrp="everyone"/>
          </w:p>
        </w:tc>
        <w:tc>
          <w:tcPr>
            <w:tcW w:w="9270" w:type="dxa"/>
            <w:gridSpan w:val="3"/>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2"/>
        <w:spacing w:before="0" w:line="360" w:lineRule="auto"/>
        <w:ind w:left="357"/>
        <w:jc w:val="left"/>
        <w:rPr>
          <w:i/>
          <w:color w:val="4472C4"/>
          <w:szCs w:val="21"/>
          <w:lang w:eastAsia="zh-CN"/>
        </w:rPr>
      </w:pPr>
      <w:permStart w:id="28" w:edGrp="everyone"/>
      <w:r>
        <w:rPr>
          <w:i/>
          <w:color w:val="4472C4"/>
          <w:szCs w:val="21"/>
          <w:lang w:eastAsia="zh-CN"/>
        </w:rPr>
        <w:t>。</w:t>
      </w:r>
    </w:p>
    <w:permEnd w:id="2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9" w:edGrp="everyone"/>
          </w:p>
        </w:tc>
        <w:tc>
          <w:tcPr>
            <w:tcW w:w="9270" w:type="dxa"/>
            <w:gridSpan w:val="3"/>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2"/>
              <w:numPr>
                <w:ilvl w:val="0"/>
                <w:numId w:val="10"/>
              </w:numPr>
              <w:ind w:firstLineChars="0"/>
              <w:rPr>
                <w:rFonts w:ascii="Times New Roman" w:hAnsi="Times New Roman"/>
                <w:szCs w:val="21"/>
              </w:rPr>
            </w:pPr>
          </w:p>
        </w:tc>
        <w:tc>
          <w:tcPr>
            <w:tcW w:w="7125"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2"/>
              <w:numPr>
                <w:ilvl w:val="0"/>
                <w:numId w:val="7"/>
              </w:numPr>
              <w:ind w:firstLineChars="0"/>
              <w:rPr>
                <w:rFonts w:ascii="Times New Roman" w:hAnsi="Times New Roman"/>
                <w:szCs w:val="21"/>
              </w:rPr>
            </w:pPr>
            <w:permStart w:id="30" w:edGrp="everyone"/>
          </w:p>
        </w:tc>
        <w:tc>
          <w:tcPr>
            <w:tcW w:w="7125" w:type="dxa"/>
            <w:shd w:val="clear" w:color="auto" w:fill="auto"/>
            <w:vAlign w:val="center"/>
          </w:tcPr>
          <w:p>
            <w:pPr>
              <w:jc w:val="both"/>
              <w:rPr>
                <w:color w:val="FF0000"/>
                <w:szCs w:val="21"/>
                <w:lang w:eastAsia="zh-CN"/>
              </w:rPr>
            </w:pPr>
            <w:r>
              <w:rPr>
                <w:rFonts w:hint="eastAsia"/>
                <w:szCs w:val="21"/>
                <w:lang w:eastAsia="zh-CN"/>
              </w:rPr>
              <w:t>设备有漏电保护功能。</w:t>
            </w:r>
          </w:p>
        </w:tc>
        <w:tc>
          <w:tcPr>
            <w:tcW w:w="2128" w:type="dxa"/>
            <w:shd w:val="clear" w:color="auto" w:fill="auto"/>
            <w:vAlign w:val="center"/>
          </w:tcPr>
          <w:p>
            <w:pPr>
              <w:jc w:val="both"/>
              <w:rPr>
                <w:color w:val="FF0000"/>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2"/>
              <w:numPr>
                <w:ilvl w:val="0"/>
                <w:numId w:val="7"/>
              </w:numPr>
              <w:ind w:firstLineChars="0"/>
              <w:rPr>
                <w:rFonts w:ascii="Times New Roman" w:hAnsi="Times New Roman"/>
                <w:szCs w:val="21"/>
              </w:rPr>
            </w:pPr>
            <w:permStart w:id="31" w:edGrp="everyone"/>
          </w:p>
        </w:tc>
        <w:tc>
          <w:tcPr>
            <w:tcW w:w="7125" w:type="dxa"/>
            <w:shd w:val="clear" w:color="auto" w:fill="auto"/>
            <w:vAlign w:val="center"/>
          </w:tcPr>
          <w:p>
            <w:pPr>
              <w:jc w:val="both"/>
              <w:rPr>
                <w:color w:val="FF0000"/>
                <w:szCs w:val="21"/>
                <w:lang w:eastAsia="zh-CN"/>
              </w:rPr>
            </w:pPr>
            <w:r>
              <w:rPr>
                <w:rFonts w:hint="eastAsia"/>
                <w:szCs w:val="21"/>
                <w:lang w:eastAsia="zh-CN"/>
              </w:rPr>
              <w:t>电气安全应符合GB4793.1和GB4793.4的要求。</w:t>
            </w:r>
          </w:p>
        </w:tc>
        <w:tc>
          <w:tcPr>
            <w:tcW w:w="2128" w:type="dxa"/>
            <w:shd w:val="clear" w:color="auto" w:fill="auto"/>
            <w:vAlign w:val="center"/>
          </w:tcPr>
          <w:p>
            <w:pPr>
              <w:jc w:val="both"/>
              <w:rPr>
                <w:color w:val="FF0000"/>
                <w:szCs w:val="21"/>
                <w:lang w:eastAsia="zh-CN"/>
              </w:rPr>
            </w:pPr>
            <w:r>
              <w:rPr>
                <w:rFonts w:hint="eastAsia"/>
                <w:szCs w:val="21"/>
                <w:lang w:eastAsia="zh-CN"/>
              </w:rPr>
              <w:t>关键</w:t>
            </w:r>
          </w:p>
        </w:tc>
      </w:tr>
      <w:permEnd w:id="3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6971"/>
        <w:gridCol w:w="2082"/>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tblHeader/>
          <w:jc w:val="center"/>
        </w:trPr>
        <w:tc>
          <w:tcPr>
            <w:tcW w:w="1289" w:type="dxa"/>
            <w:shd w:val="clear" w:color="auto" w:fill="D9D9D9"/>
            <w:vAlign w:val="center"/>
          </w:tcPr>
          <w:p>
            <w:pPr>
              <w:jc w:val="center"/>
              <w:rPr>
                <w:b/>
                <w:szCs w:val="21"/>
              </w:rPr>
            </w:pPr>
            <w:permStart w:id="32" w:edGrp="everyone"/>
            <w:permEnd w:id="32"/>
            <w:r>
              <w:rPr>
                <w:b/>
                <w:szCs w:val="21"/>
              </w:rPr>
              <w:t>编号</w:t>
            </w:r>
          </w:p>
        </w:tc>
        <w:tc>
          <w:tcPr>
            <w:tcW w:w="6971"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ermStart w:id="33" w:edGrp="everyone"/>
          </w:p>
        </w:tc>
        <w:tc>
          <w:tcPr>
            <w:tcW w:w="6971" w:type="dxa"/>
            <w:shd w:val="clear" w:color="auto" w:fill="auto"/>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投标文件、合同文件及订单。</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ermStart w:id="34" w:edGrp="everyone"/>
          </w:p>
        </w:tc>
        <w:tc>
          <w:tcPr>
            <w:tcW w:w="6971" w:type="dxa"/>
            <w:shd w:val="clear" w:color="auto" w:fill="auto"/>
            <w:vAlign w:val="center"/>
          </w:tcPr>
          <w:p>
            <w:pPr>
              <w:jc w:val="both"/>
              <w:rPr>
                <w:szCs w:val="21"/>
                <w:lang w:eastAsia="zh-CN"/>
              </w:rPr>
            </w:pPr>
            <w:r>
              <w:rPr>
                <w:color w:val="000000"/>
                <w:szCs w:val="21"/>
                <w:lang w:eastAsia="zh-CN"/>
              </w:rPr>
              <w:t>在设备开箱验收前提供卖方发运清单及相关检验报告。</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color w:val="000000"/>
                <w:szCs w:val="21"/>
                <w:lang w:val="en-US" w:eastAsia="zh-CN"/>
              </w:rPr>
              <w:t>在设备开箱验收前提供系统功能</w:t>
            </w:r>
            <w:r>
              <w:rPr>
                <w:color w:val="000000"/>
                <w:szCs w:val="21"/>
                <w:lang w:eastAsia="zh-CN"/>
              </w:rPr>
              <w:t>配置清单</w:t>
            </w:r>
            <w:r>
              <w:rPr>
                <w:color w:val="000000"/>
                <w:szCs w:val="21"/>
                <w:lang w:val="en-US" w:eastAsia="zh-CN"/>
              </w:rPr>
              <w:t>及说明</w:t>
            </w:r>
            <w:r>
              <w:rPr>
                <w:color w:val="000000"/>
                <w:szCs w:val="21"/>
                <w:lang w:eastAsia="zh-CN"/>
              </w:rPr>
              <w:t>，包含各组件名称、编号、型号、规格、品牌、材质等。</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szCs w:val="21"/>
                <w:lang w:val="en-US" w:eastAsia="zh-CN"/>
              </w:rPr>
            </w:pPr>
            <w:r>
              <w:rPr>
                <w:color w:val="000000"/>
                <w:szCs w:val="21"/>
                <w:lang w:eastAsia="zh-CN"/>
              </w:rPr>
              <w:t>在设备开箱验收前提供</w:t>
            </w:r>
            <w:r>
              <w:rPr>
                <w:color w:val="000000"/>
                <w:szCs w:val="21"/>
                <w:lang w:val="en-US" w:eastAsia="zh-CN"/>
              </w:rPr>
              <w:t>系统选型文件，包括设备标准技术文件、</w:t>
            </w:r>
            <w:r>
              <w:rPr>
                <w:color w:val="000000"/>
                <w:szCs w:val="21"/>
                <w:lang w:eastAsia="zh-CN"/>
              </w:rPr>
              <w:t>功能说明、</w:t>
            </w:r>
            <w:r>
              <w:rPr>
                <w:color w:val="000000"/>
                <w:szCs w:val="21"/>
                <w:lang w:val="en-US" w:eastAsia="zh-CN"/>
              </w:rPr>
              <w:t>软硬件配置清单与说明。</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rFonts w:hint="eastAsia"/>
                <w:szCs w:val="21"/>
                <w:lang w:val="en-US" w:eastAsia="zh-CN"/>
              </w:rPr>
              <w:t>设备开箱时提供称重模块</w:t>
            </w:r>
            <w:r>
              <w:rPr>
                <w:szCs w:val="21"/>
                <w:lang w:eastAsia="zh-CN"/>
              </w:rPr>
              <w:t>计量证书</w:t>
            </w:r>
            <w:r>
              <w:rPr>
                <w:rFonts w:hint="eastAsia"/>
                <w:szCs w:val="21"/>
                <w:lang w:eastAsia="zh-CN"/>
              </w:rPr>
              <w:t>，</w:t>
            </w:r>
            <w:r>
              <w:rPr>
                <w:rFonts w:hint="eastAsia"/>
                <w:szCs w:val="21"/>
                <w:lang w:val="en-US" w:eastAsia="zh-CN"/>
              </w:rPr>
              <w:t>且该计量证书须</w:t>
            </w:r>
            <w:r>
              <w:rPr>
                <w:rFonts w:hint="eastAsia"/>
                <w:color w:val="000000"/>
                <w:szCs w:val="21"/>
                <w:lang w:val="en-US" w:eastAsia="zh-CN"/>
              </w:rPr>
              <w:t>含有校准过程。</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szCs w:val="21"/>
                <w:lang w:eastAsia="zh-CN"/>
              </w:rPr>
              <w:t>设备开箱验收前提供安全报告。</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color w:val="000000"/>
                <w:szCs w:val="21"/>
                <w:lang w:val="en-US" w:eastAsia="zh-CN"/>
              </w:rPr>
              <w:t>设备开箱验收前提供各种必要的合格证，包括部件合格证、环路校验合格报告、材质证书等。</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color w:val="000000"/>
                <w:szCs w:val="21"/>
                <w:lang w:eastAsia="zh-CN"/>
              </w:rPr>
              <w:t>设备开箱验收时提供使用操作说明书及维护保养说明（即运行及维护手册）3份。</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eastAsia="zh-CN"/>
              </w:rPr>
            </w:pPr>
            <w:r>
              <w:rPr>
                <w:color w:val="000000"/>
                <w:szCs w:val="21"/>
                <w:lang w:eastAsia="zh-CN"/>
              </w:rPr>
              <w:t>设备验收时提供设备及其零部件使用寿命清单。</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设备开箱验收时提供针对每一部件所作序号的简明图册，以便于维修人员查找和辨识。</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上述条款规定的文件需提供电子版，并在设备开箱验收时将最终批准的电子版及纸质版全套资料交工程技术部存档。</w:t>
            </w:r>
          </w:p>
        </w:tc>
        <w:tc>
          <w:tcPr>
            <w:tcW w:w="2303" w:type="dxa"/>
            <w:gridSpan w:val="2"/>
            <w:shd w:val="clear" w:color="auto" w:fill="auto"/>
            <w:vAlign w:val="center"/>
          </w:tcPr>
          <w:p>
            <w:pPr>
              <w:jc w:val="both"/>
              <w:rPr>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7"/>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设备开箱验收时提供项目质量计划。</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permEnd w:id="34"/>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2"/>
        <w:spacing w:before="0" w:line="360" w:lineRule="auto"/>
        <w:ind w:left="357"/>
        <w:jc w:val="left"/>
        <w:rPr>
          <w:i/>
          <w:color w:val="4472C4"/>
          <w:szCs w:val="21"/>
          <w:lang w:eastAsia="zh-CN"/>
        </w:rPr>
      </w:pPr>
      <w:permStart w:id="35" w:edGrp="everyone"/>
    </w:p>
    <w:permEnd w:id="3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1"/>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6" w:edGrp="everyone"/>
          </w:p>
        </w:tc>
        <w:tc>
          <w:tcPr>
            <w:tcW w:w="7124" w:type="dxa"/>
            <w:shd w:val="clear" w:color="auto" w:fill="auto"/>
            <w:vAlign w:val="center"/>
          </w:tcPr>
          <w:p>
            <w:pPr>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7" w:edGrp="everyone"/>
          </w:p>
        </w:tc>
        <w:tc>
          <w:tcPr>
            <w:tcW w:w="7124" w:type="dxa"/>
            <w:shd w:val="clear" w:color="auto" w:fill="auto"/>
            <w:vAlign w:val="center"/>
          </w:tcPr>
          <w:p>
            <w:pPr>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7"/>
              </w:numPr>
              <w:ind w:left="470" w:hanging="120" w:firstLineChars="0"/>
              <w:rPr>
                <w:rFonts w:ascii="Times New Roman" w:hAnsi="Times New Roman"/>
                <w:szCs w:val="21"/>
              </w:rPr>
            </w:pPr>
            <w:permStart w:id="38" w:edGrp="everyone"/>
          </w:p>
        </w:tc>
        <w:tc>
          <w:tcPr>
            <w:tcW w:w="7124" w:type="dxa"/>
            <w:shd w:val="clear" w:color="auto" w:fill="auto"/>
            <w:vAlign w:val="center"/>
          </w:tcPr>
          <w:p>
            <w:pPr>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1"/>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39" w:edGrp="everyone"/>
          </w:p>
        </w:tc>
        <w:tc>
          <w:tcPr>
            <w:tcW w:w="7124" w:type="dxa"/>
            <w:shd w:val="clear" w:color="auto" w:fill="auto"/>
            <w:vAlign w:val="center"/>
          </w:tcPr>
          <w:p>
            <w:pPr>
              <w:rPr>
                <w:szCs w:val="21"/>
                <w:lang w:eastAsia="zh-CN"/>
              </w:rPr>
            </w:pPr>
            <w:r>
              <w:rPr>
                <w:rFonts w:hint="eastAsia" w:ascii="宋体" w:hAnsi="宋体" w:cs="宋体"/>
                <w:iCs/>
                <w:szCs w:val="21"/>
                <w:lang w:val="en-US" w:eastAsia="zh-CN"/>
              </w:rPr>
              <w:t>货物包装必须符合相应标准，该包装应适应于长期运输，具有良好的防水、防潮、防锈、防野蛮装卸等保护措施，以确保货物安全运抵现场。供货商应承担由于包装、运输不妥引起的货物锈蚀、损伤和丢失的责任。</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1"/>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40" w:edGrp="everyone"/>
          </w:p>
        </w:tc>
        <w:tc>
          <w:tcPr>
            <w:tcW w:w="7124" w:type="dxa"/>
            <w:shd w:val="clear" w:color="auto" w:fill="auto"/>
            <w:vAlign w:val="center"/>
          </w:tcPr>
          <w:p>
            <w:pPr>
              <w:spacing w:line="276" w:lineRule="auto"/>
              <w:jc w:val="both"/>
              <w:rPr>
                <w:szCs w:val="21"/>
                <w:lang w:val="en-US" w:eastAsia="zh-CN"/>
              </w:rPr>
            </w:pPr>
            <w:r>
              <w:rPr>
                <w:rFonts w:hint="eastAsia"/>
                <w:szCs w:val="21"/>
                <w:lang w:val="en-US" w:eastAsia="zh-CN"/>
              </w:rPr>
              <w:t>N/A</w:t>
            </w:r>
          </w:p>
        </w:tc>
        <w:tc>
          <w:tcPr>
            <w:tcW w:w="2127" w:type="dxa"/>
            <w:shd w:val="clear" w:color="auto" w:fill="auto"/>
          </w:tcPr>
          <w:p>
            <w:pPr>
              <w:rPr>
                <w:szCs w:val="21"/>
                <w:lang w:val="en-US" w:eastAsia="zh-CN"/>
              </w:rPr>
            </w:pPr>
          </w:p>
          <w:p>
            <w:r>
              <w:rPr>
                <w:rFonts w:hint="eastAsia"/>
                <w:szCs w:val="21"/>
                <w:lang w:val="en-US" w:eastAsia="zh-CN"/>
              </w:rPr>
              <w:t>N/A</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1"/>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41" w:edGrp="everyone"/>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供应商应指定项目管理人（经理）和项目实施团体，负责项目的管理和实施。项目在进行系统和文件开发时应依照现行的</w:t>
            </w:r>
            <w:r>
              <w:rPr>
                <w:iCs/>
                <w:szCs w:val="21"/>
                <w:lang w:val="en-US" w:eastAsia="zh-CN"/>
              </w:rPr>
              <w:t>GEP</w:t>
            </w:r>
            <w:r>
              <w:rPr>
                <w:rFonts w:hint="eastAsia" w:ascii="宋体" w:hAnsi="宋体" w:cs="宋体"/>
                <w:iCs/>
                <w:szCs w:val="21"/>
                <w:lang w:val="en-US" w:eastAsia="zh-CN"/>
              </w:rPr>
              <w:t>。</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42" w:edGrp="everyone"/>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生产厂家或代理商必须提供设备安装，包括及时提供安装文件系统，派员进行设备找平、部件组装、电气接线/配管等工作，必须做到连接紧固可靠，杜绝跑、冒、滴、漏现象；</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在设备试运行后，供应商应每年对用户进行访问以解决设备使用中可能存在的问题，并发现潜在的问题，提供用户改进。</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iCs/>
                <w:szCs w:val="21"/>
                <w:lang w:val="en-US" w:eastAsia="zh-CN"/>
              </w:rPr>
              <w:t>供应商在接到服务要求后，应2小时内先以电话或电子邮件形式进行服务应答，24小时内到</w:t>
            </w:r>
            <w:r>
              <w:rPr>
                <w:rFonts w:hint="eastAsia" w:ascii="宋体" w:hAnsi="宋体" w:cs="宋体"/>
                <w:iCs/>
                <w:szCs w:val="21"/>
                <w:lang w:val="en-US" w:eastAsia="zh-CN"/>
              </w:rPr>
              <w:t>用户现场进行服务。</w:t>
            </w:r>
          </w:p>
        </w:tc>
        <w:tc>
          <w:tcPr>
            <w:tcW w:w="2127" w:type="dxa"/>
            <w:shd w:val="clear" w:color="auto" w:fill="auto"/>
            <w:vAlign w:val="center"/>
          </w:tcPr>
          <w:p>
            <w:pPr>
              <w:jc w:val="both"/>
              <w:rPr>
                <w:b/>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该设备/系统, 包括设备、文件一并交付给用户。该设备/系统, 包括设备的备件等一并运送到用户厂区、并负责管道安装。</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设备保质期验从设备收合格之日起计算。</w:t>
            </w:r>
            <w:r>
              <w:rPr>
                <w:iCs/>
                <w:szCs w:val="21"/>
                <w:lang w:val="en-US" w:eastAsia="zh-CN"/>
              </w:rPr>
              <w:t>设备供应商提供3年的质保期（易损件除外）。质保期内厂家应保证通常工作条件下设备的正常运行和异常状态下2小时电话支持，24小时内厂家技术人员提供现场服务。质保期内免费更换已损坏的配件。提供售后服务联系地址及联系方式。</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1"/>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43"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ermStart w:id="44"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7"/>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4"/>
    </w:tbl>
    <w:p/>
    <w:p>
      <w:pPr>
        <w:pStyle w:val="32"/>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rPr>
          <w:lang w:eastAsia="zh-CN"/>
        </w:rPr>
      </w:pPr>
      <w:permStart w:id="45" w:edGrp="everyone"/>
      <w:r>
        <w:rPr>
          <w:rFonts w:hint="eastAsia"/>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NDg5NzUwOTM1Yjg0YzkwYWI5ZTYyYzkzZTIxZWFhZDQifQ=="/>
  </w:docVars>
  <w:rsids>
    <w:rsidRoot w:val="00391016"/>
    <w:rsid w:val="00001AE0"/>
    <w:rsid w:val="000021A6"/>
    <w:rsid w:val="00002F06"/>
    <w:rsid w:val="000033E1"/>
    <w:rsid w:val="000038A4"/>
    <w:rsid w:val="0000520B"/>
    <w:rsid w:val="000059AD"/>
    <w:rsid w:val="00005CB9"/>
    <w:rsid w:val="00005E76"/>
    <w:rsid w:val="00006273"/>
    <w:rsid w:val="00006FD5"/>
    <w:rsid w:val="00010C99"/>
    <w:rsid w:val="0001160E"/>
    <w:rsid w:val="000117C7"/>
    <w:rsid w:val="000121A4"/>
    <w:rsid w:val="000169DD"/>
    <w:rsid w:val="00017689"/>
    <w:rsid w:val="00020FEA"/>
    <w:rsid w:val="00022818"/>
    <w:rsid w:val="000233DE"/>
    <w:rsid w:val="00023B07"/>
    <w:rsid w:val="00023CAD"/>
    <w:rsid w:val="0002420F"/>
    <w:rsid w:val="0002457E"/>
    <w:rsid w:val="000275E7"/>
    <w:rsid w:val="000303D0"/>
    <w:rsid w:val="00031243"/>
    <w:rsid w:val="00031900"/>
    <w:rsid w:val="00032DF4"/>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190E"/>
    <w:rsid w:val="00082C13"/>
    <w:rsid w:val="00083D58"/>
    <w:rsid w:val="000844A8"/>
    <w:rsid w:val="00084F90"/>
    <w:rsid w:val="00086CA0"/>
    <w:rsid w:val="00087002"/>
    <w:rsid w:val="00090209"/>
    <w:rsid w:val="00091F40"/>
    <w:rsid w:val="00092C03"/>
    <w:rsid w:val="00096510"/>
    <w:rsid w:val="00097A7D"/>
    <w:rsid w:val="00097CA2"/>
    <w:rsid w:val="000A1C5C"/>
    <w:rsid w:val="000A1D9E"/>
    <w:rsid w:val="000A23D2"/>
    <w:rsid w:val="000A23F2"/>
    <w:rsid w:val="000A2664"/>
    <w:rsid w:val="000A2C3C"/>
    <w:rsid w:val="000A2CC4"/>
    <w:rsid w:val="000A41DA"/>
    <w:rsid w:val="000A4D13"/>
    <w:rsid w:val="000A528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1C68"/>
    <w:rsid w:val="000D2DCA"/>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5BAA"/>
    <w:rsid w:val="000F606A"/>
    <w:rsid w:val="000F706D"/>
    <w:rsid w:val="00100F65"/>
    <w:rsid w:val="0010110F"/>
    <w:rsid w:val="00102DC9"/>
    <w:rsid w:val="001031DF"/>
    <w:rsid w:val="00103F05"/>
    <w:rsid w:val="00104160"/>
    <w:rsid w:val="0010503D"/>
    <w:rsid w:val="00106571"/>
    <w:rsid w:val="00106B5D"/>
    <w:rsid w:val="001107F3"/>
    <w:rsid w:val="00110CF0"/>
    <w:rsid w:val="001120B7"/>
    <w:rsid w:val="0011231F"/>
    <w:rsid w:val="00112670"/>
    <w:rsid w:val="001127E7"/>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78BB"/>
    <w:rsid w:val="00150BCC"/>
    <w:rsid w:val="00152D54"/>
    <w:rsid w:val="001541A9"/>
    <w:rsid w:val="001549D1"/>
    <w:rsid w:val="00154CD3"/>
    <w:rsid w:val="001560AD"/>
    <w:rsid w:val="0015633E"/>
    <w:rsid w:val="00156C85"/>
    <w:rsid w:val="0015752C"/>
    <w:rsid w:val="0016077F"/>
    <w:rsid w:val="00161486"/>
    <w:rsid w:val="0016194A"/>
    <w:rsid w:val="00161F7F"/>
    <w:rsid w:val="00162A78"/>
    <w:rsid w:val="00163A08"/>
    <w:rsid w:val="00164CDC"/>
    <w:rsid w:val="00164E0D"/>
    <w:rsid w:val="00166311"/>
    <w:rsid w:val="00166478"/>
    <w:rsid w:val="00167B0E"/>
    <w:rsid w:val="0017166F"/>
    <w:rsid w:val="00171A51"/>
    <w:rsid w:val="001746E7"/>
    <w:rsid w:val="001757AB"/>
    <w:rsid w:val="001769A8"/>
    <w:rsid w:val="001814FA"/>
    <w:rsid w:val="001815A9"/>
    <w:rsid w:val="00182A27"/>
    <w:rsid w:val="00184DDD"/>
    <w:rsid w:val="00184FFD"/>
    <w:rsid w:val="0018519E"/>
    <w:rsid w:val="00185449"/>
    <w:rsid w:val="00186314"/>
    <w:rsid w:val="00187B04"/>
    <w:rsid w:val="00190000"/>
    <w:rsid w:val="001929C2"/>
    <w:rsid w:val="00192B8F"/>
    <w:rsid w:val="00193D66"/>
    <w:rsid w:val="00194295"/>
    <w:rsid w:val="00194BB7"/>
    <w:rsid w:val="0019719E"/>
    <w:rsid w:val="001A1DE7"/>
    <w:rsid w:val="001A3B86"/>
    <w:rsid w:val="001A3BB0"/>
    <w:rsid w:val="001A4947"/>
    <w:rsid w:val="001A64C0"/>
    <w:rsid w:val="001A685F"/>
    <w:rsid w:val="001A7EB6"/>
    <w:rsid w:val="001A7FE4"/>
    <w:rsid w:val="001B0278"/>
    <w:rsid w:val="001B28C8"/>
    <w:rsid w:val="001B4654"/>
    <w:rsid w:val="001C017B"/>
    <w:rsid w:val="001C1292"/>
    <w:rsid w:val="001C239E"/>
    <w:rsid w:val="001C2D7E"/>
    <w:rsid w:val="001D1FA0"/>
    <w:rsid w:val="001D32D4"/>
    <w:rsid w:val="001D3C96"/>
    <w:rsid w:val="001D4383"/>
    <w:rsid w:val="001D451A"/>
    <w:rsid w:val="001D4742"/>
    <w:rsid w:val="001D474B"/>
    <w:rsid w:val="001D48B0"/>
    <w:rsid w:val="001D5549"/>
    <w:rsid w:val="001E0376"/>
    <w:rsid w:val="001E13E0"/>
    <w:rsid w:val="001E2B2B"/>
    <w:rsid w:val="001E353E"/>
    <w:rsid w:val="001E3CBE"/>
    <w:rsid w:val="001E5657"/>
    <w:rsid w:val="001E5BF5"/>
    <w:rsid w:val="001E5F94"/>
    <w:rsid w:val="001E744F"/>
    <w:rsid w:val="001F065A"/>
    <w:rsid w:val="001F1FE7"/>
    <w:rsid w:val="001F25DD"/>
    <w:rsid w:val="001F3552"/>
    <w:rsid w:val="001F473D"/>
    <w:rsid w:val="001F4BFD"/>
    <w:rsid w:val="001F7405"/>
    <w:rsid w:val="001F7E95"/>
    <w:rsid w:val="00201487"/>
    <w:rsid w:val="00201BE1"/>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6F88"/>
    <w:rsid w:val="002279A2"/>
    <w:rsid w:val="00227A0D"/>
    <w:rsid w:val="002320D9"/>
    <w:rsid w:val="00234C07"/>
    <w:rsid w:val="0023525A"/>
    <w:rsid w:val="002355FF"/>
    <w:rsid w:val="002367A6"/>
    <w:rsid w:val="00236BE9"/>
    <w:rsid w:val="00236E73"/>
    <w:rsid w:val="00237E6C"/>
    <w:rsid w:val="00240A09"/>
    <w:rsid w:val="00240B1E"/>
    <w:rsid w:val="00241437"/>
    <w:rsid w:val="00241944"/>
    <w:rsid w:val="00245088"/>
    <w:rsid w:val="00253242"/>
    <w:rsid w:val="002547BF"/>
    <w:rsid w:val="002548CA"/>
    <w:rsid w:val="002548F4"/>
    <w:rsid w:val="0025531B"/>
    <w:rsid w:val="002560F9"/>
    <w:rsid w:val="002573EB"/>
    <w:rsid w:val="00257517"/>
    <w:rsid w:val="00257FA9"/>
    <w:rsid w:val="002605F7"/>
    <w:rsid w:val="00260C37"/>
    <w:rsid w:val="00261CD0"/>
    <w:rsid w:val="00261F30"/>
    <w:rsid w:val="002637FB"/>
    <w:rsid w:val="00263CB5"/>
    <w:rsid w:val="0026571F"/>
    <w:rsid w:val="0027137F"/>
    <w:rsid w:val="002723D2"/>
    <w:rsid w:val="002732E5"/>
    <w:rsid w:val="002745D9"/>
    <w:rsid w:val="00274823"/>
    <w:rsid w:val="0027577D"/>
    <w:rsid w:val="00275F43"/>
    <w:rsid w:val="002810E3"/>
    <w:rsid w:val="0028241F"/>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057"/>
    <w:rsid w:val="002A547B"/>
    <w:rsid w:val="002A588E"/>
    <w:rsid w:val="002A7980"/>
    <w:rsid w:val="002B0A7C"/>
    <w:rsid w:val="002B12A9"/>
    <w:rsid w:val="002B14F3"/>
    <w:rsid w:val="002B480A"/>
    <w:rsid w:val="002B67A2"/>
    <w:rsid w:val="002B6854"/>
    <w:rsid w:val="002C0A92"/>
    <w:rsid w:val="002C1817"/>
    <w:rsid w:val="002C1DAB"/>
    <w:rsid w:val="002C4FCF"/>
    <w:rsid w:val="002C527C"/>
    <w:rsid w:val="002D0253"/>
    <w:rsid w:val="002D03CD"/>
    <w:rsid w:val="002D2477"/>
    <w:rsid w:val="002D2AAB"/>
    <w:rsid w:val="002D691F"/>
    <w:rsid w:val="002D6A50"/>
    <w:rsid w:val="002D6B95"/>
    <w:rsid w:val="002D6D1C"/>
    <w:rsid w:val="002E1D21"/>
    <w:rsid w:val="002E3B36"/>
    <w:rsid w:val="002E59BF"/>
    <w:rsid w:val="002E63F6"/>
    <w:rsid w:val="002E69A1"/>
    <w:rsid w:val="002E7D37"/>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3DE2"/>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0BB3"/>
    <w:rsid w:val="00391016"/>
    <w:rsid w:val="00393529"/>
    <w:rsid w:val="00393B6A"/>
    <w:rsid w:val="003946C3"/>
    <w:rsid w:val="00395CE1"/>
    <w:rsid w:val="00395D47"/>
    <w:rsid w:val="00396425"/>
    <w:rsid w:val="003970BE"/>
    <w:rsid w:val="00397C18"/>
    <w:rsid w:val="003A04A8"/>
    <w:rsid w:val="003A1311"/>
    <w:rsid w:val="003A179C"/>
    <w:rsid w:val="003A2EC5"/>
    <w:rsid w:val="003A3AAC"/>
    <w:rsid w:val="003A4CAE"/>
    <w:rsid w:val="003A5805"/>
    <w:rsid w:val="003A6DFE"/>
    <w:rsid w:val="003A6FCD"/>
    <w:rsid w:val="003B096A"/>
    <w:rsid w:val="003B0B6A"/>
    <w:rsid w:val="003B1D87"/>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47B"/>
    <w:rsid w:val="003F6E0C"/>
    <w:rsid w:val="004003A8"/>
    <w:rsid w:val="0040240E"/>
    <w:rsid w:val="00402756"/>
    <w:rsid w:val="00405B3A"/>
    <w:rsid w:val="004074DC"/>
    <w:rsid w:val="004111CC"/>
    <w:rsid w:val="004122A3"/>
    <w:rsid w:val="00416E8B"/>
    <w:rsid w:val="00417748"/>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7C2D"/>
    <w:rsid w:val="004510B1"/>
    <w:rsid w:val="00451C5D"/>
    <w:rsid w:val="00451D74"/>
    <w:rsid w:val="00452E73"/>
    <w:rsid w:val="004565EF"/>
    <w:rsid w:val="00457FF9"/>
    <w:rsid w:val="004601ED"/>
    <w:rsid w:val="00460711"/>
    <w:rsid w:val="0046108B"/>
    <w:rsid w:val="0046279F"/>
    <w:rsid w:val="00467AE6"/>
    <w:rsid w:val="00467EC9"/>
    <w:rsid w:val="00477791"/>
    <w:rsid w:val="00480286"/>
    <w:rsid w:val="00480C3B"/>
    <w:rsid w:val="00480FE3"/>
    <w:rsid w:val="00481C94"/>
    <w:rsid w:val="0048372C"/>
    <w:rsid w:val="00484A8D"/>
    <w:rsid w:val="00486A4E"/>
    <w:rsid w:val="00486B09"/>
    <w:rsid w:val="0049139F"/>
    <w:rsid w:val="004949F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A6C"/>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7C5"/>
    <w:rsid w:val="00530B8F"/>
    <w:rsid w:val="00531434"/>
    <w:rsid w:val="00531754"/>
    <w:rsid w:val="00534840"/>
    <w:rsid w:val="00534D08"/>
    <w:rsid w:val="00536973"/>
    <w:rsid w:val="00536C6B"/>
    <w:rsid w:val="00544652"/>
    <w:rsid w:val="00544C0E"/>
    <w:rsid w:val="00546017"/>
    <w:rsid w:val="0054625B"/>
    <w:rsid w:val="00551539"/>
    <w:rsid w:val="00551733"/>
    <w:rsid w:val="00552EFE"/>
    <w:rsid w:val="00554ABB"/>
    <w:rsid w:val="0055552D"/>
    <w:rsid w:val="00555668"/>
    <w:rsid w:val="0055678E"/>
    <w:rsid w:val="0055679E"/>
    <w:rsid w:val="0056090D"/>
    <w:rsid w:val="00561E9C"/>
    <w:rsid w:val="00565C7A"/>
    <w:rsid w:val="00567522"/>
    <w:rsid w:val="00567E14"/>
    <w:rsid w:val="005705A7"/>
    <w:rsid w:val="0057277E"/>
    <w:rsid w:val="00572F0E"/>
    <w:rsid w:val="00574D60"/>
    <w:rsid w:val="00574FC2"/>
    <w:rsid w:val="00575318"/>
    <w:rsid w:val="00577142"/>
    <w:rsid w:val="005773E5"/>
    <w:rsid w:val="00577AC3"/>
    <w:rsid w:val="00581AD5"/>
    <w:rsid w:val="00581C4E"/>
    <w:rsid w:val="00582DB0"/>
    <w:rsid w:val="00584AB4"/>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21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5BF3"/>
    <w:rsid w:val="005E65FA"/>
    <w:rsid w:val="005F19CE"/>
    <w:rsid w:val="005F28F4"/>
    <w:rsid w:val="005F43BB"/>
    <w:rsid w:val="005F503E"/>
    <w:rsid w:val="005F6CB3"/>
    <w:rsid w:val="005F7612"/>
    <w:rsid w:val="005F7663"/>
    <w:rsid w:val="005F7D63"/>
    <w:rsid w:val="006012EF"/>
    <w:rsid w:val="00607170"/>
    <w:rsid w:val="00607408"/>
    <w:rsid w:val="00610AEE"/>
    <w:rsid w:val="00616BAC"/>
    <w:rsid w:val="00620598"/>
    <w:rsid w:val="00620FEC"/>
    <w:rsid w:val="006214DC"/>
    <w:rsid w:val="006215E2"/>
    <w:rsid w:val="0062168F"/>
    <w:rsid w:val="006221A2"/>
    <w:rsid w:val="00622612"/>
    <w:rsid w:val="00627113"/>
    <w:rsid w:val="00627B8B"/>
    <w:rsid w:val="0063106D"/>
    <w:rsid w:val="006312FF"/>
    <w:rsid w:val="00632136"/>
    <w:rsid w:val="00632C67"/>
    <w:rsid w:val="006331B6"/>
    <w:rsid w:val="00633310"/>
    <w:rsid w:val="00633315"/>
    <w:rsid w:val="00634457"/>
    <w:rsid w:val="006366CC"/>
    <w:rsid w:val="00637C16"/>
    <w:rsid w:val="0064048E"/>
    <w:rsid w:val="00641320"/>
    <w:rsid w:val="00641E74"/>
    <w:rsid w:val="006434E3"/>
    <w:rsid w:val="0064366A"/>
    <w:rsid w:val="00646987"/>
    <w:rsid w:val="006506CF"/>
    <w:rsid w:val="00650A76"/>
    <w:rsid w:val="00650CA2"/>
    <w:rsid w:val="00650CD0"/>
    <w:rsid w:val="00650DA4"/>
    <w:rsid w:val="00651DA5"/>
    <w:rsid w:val="00652D22"/>
    <w:rsid w:val="00656797"/>
    <w:rsid w:val="006571EC"/>
    <w:rsid w:val="006572C5"/>
    <w:rsid w:val="0066086B"/>
    <w:rsid w:val="00660A8C"/>
    <w:rsid w:val="006628C0"/>
    <w:rsid w:val="006632B2"/>
    <w:rsid w:val="00664084"/>
    <w:rsid w:val="0066445E"/>
    <w:rsid w:val="00667045"/>
    <w:rsid w:val="00667D4E"/>
    <w:rsid w:val="00670A00"/>
    <w:rsid w:val="00670C23"/>
    <w:rsid w:val="0067245D"/>
    <w:rsid w:val="00672B86"/>
    <w:rsid w:val="00673031"/>
    <w:rsid w:val="00673EB3"/>
    <w:rsid w:val="00680BE8"/>
    <w:rsid w:val="00686409"/>
    <w:rsid w:val="00686D19"/>
    <w:rsid w:val="0068777F"/>
    <w:rsid w:val="00693018"/>
    <w:rsid w:val="00697A3F"/>
    <w:rsid w:val="006A0059"/>
    <w:rsid w:val="006A49EA"/>
    <w:rsid w:val="006A7425"/>
    <w:rsid w:val="006B058A"/>
    <w:rsid w:val="006B1299"/>
    <w:rsid w:val="006B26D9"/>
    <w:rsid w:val="006B310C"/>
    <w:rsid w:val="006B4F47"/>
    <w:rsid w:val="006B664C"/>
    <w:rsid w:val="006C1125"/>
    <w:rsid w:val="006C1C83"/>
    <w:rsid w:val="006C3E78"/>
    <w:rsid w:val="006C54E6"/>
    <w:rsid w:val="006C5762"/>
    <w:rsid w:val="006C690D"/>
    <w:rsid w:val="006D149F"/>
    <w:rsid w:val="006D27EC"/>
    <w:rsid w:val="006D3396"/>
    <w:rsid w:val="006D3ED2"/>
    <w:rsid w:val="006D4F77"/>
    <w:rsid w:val="006D5AFF"/>
    <w:rsid w:val="006E050C"/>
    <w:rsid w:val="006E152B"/>
    <w:rsid w:val="006E33D3"/>
    <w:rsid w:val="006E36D1"/>
    <w:rsid w:val="006E4002"/>
    <w:rsid w:val="006E4DB6"/>
    <w:rsid w:val="006E622E"/>
    <w:rsid w:val="006E7938"/>
    <w:rsid w:val="006E79FB"/>
    <w:rsid w:val="006F229A"/>
    <w:rsid w:val="006F3BB9"/>
    <w:rsid w:val="006F4AA6"/>
    <w:rsid w:val="007007FA"/>
    <w:rsid w:val="00701596"/>
    <w:rsid w:val="007036CA"/>
    <w:rsid w:val="007041CB"/>
    <w:rsid w:val="00705090"/>
    <w:rsid w:val="00705102"/>
    <w:rsid w:val="00705DDB"/>
    <w:rsid w:val="0070675E"/>
    <w:rsid w:val="00706A0E"/>
    <w:rsid w:val="00710573"/>
    <w:rsid w:val="00710808"/>
    <w:rsid w:val="007116CB"/>
    <w:rsid w:val="0071211E"/>
    <w:rsid w:val="00712B1B"/>
    <w:rsid w:val="00713722"/>
    <w:rsid w:val="0071622D"/>
    <w:rsid w:val="007168CC"/>
    <w:rsid w:val="007176BB"/>
    <w:rsid w:val="00717811"/>
    <w:rsid w:val="00720A17"/>
    <w:rsid w:val="00720D4B"/>
    <w:rsid w:val="00723A0F"/>
    <w:rsid w:val="00726CB6"/>
    <w:rsid w:val="00727255"/>
    <w:rsid w:val="0072779B"/>
    <w:rsid w:val="00727CCF"/>
    <w:rsid w:val="00730C37"/>
    <w:rsid w:val="0073446D"/>
    <w:rsid w:val="007349FF"/>
    <w:rsid w:val="00734B45"/>
    <w:rsid w:val="00734F8E"/>
    <w:rsid w:val="00735BBC"/>
    <w:rsid w:val="00736FFB"/>
    <w:rsid w:val="00740080"/>
    <w:rsid w:val="00741A30"/>
    <w:rsid w:val="0074309F"/>
    <w:rsid w:val="007504DC"/>
    <w:rsid w:val="0075142F"/>
    <w:rsid w:val="00751965"/>
    <w:rsid w:val="007524EF"/>
    <w:rsid w:val="00752689"/>
    <w:rsid w:val="0075309C"/>
    <w:rsid w:val="00756D1D"/>
    <w:rsid w:val="00760886"/>
    <w:rsid w:val="007615CA"/>
    <w:rsid w:val="00761ADD"/>
    <w:rsid w:val="00762B3A"/>
    <w:rsid w:val="00765D6E"/>
    <w:rsid w:val="00765D7E"/>
    <w:rsid w:val="007668EE"/>
    <w:rsid w:val="007674B6"/>
    <w:rsid w:val="00770E90"/>
    <w:rsid w:val="00771201"/>
    <w:rsid w:val="00772C42"/>
    <w:rsid w:val="0077302F"/>
    <w:rsid w:val="00773661"/>
    <w:rsid w:val="007748D9"/>
    <w:rsid w:val="00774A61"/>
    <w:rsid w:val="00774E08"/>
    <w:rsid w:val="00774E72"/>
    <w:rsid w:val="0077746F"/>
    <w:rsid w:val="007775FE"/>
    <w:rsid w:val="00780A5F"/>
    <w:rsid w:val="00784913"/>
    <w:rsid w:val="00785B90"/>
    <w:rsid w:val="0078639C"/>
    <w:rsid w:val="00787A51"/>
    <w:rsid w:val="007913D3"/>
    <w:rsid w:val="00792DC9"/>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393"/>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D2D"/>
    <w:rsid w:val="007E3532"/>
    <w:rsid w:val="007E5F7D"/>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2058"/>
    <w:rsid w:val="0081636E"/>
    <w:rsid w:val="00817797"/>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405"/>
    <w:rsid w:val="00851932"/>
    <w:rsid w:val="00852488"/>
    <w:rsid w:val="00853465"/>
    <w:rsid w:val="0085405E"/>
    <w:rsid w:val="008571DD"/>
    <w:rsid w:val="0085772E"/>
    <w:rsid w:val="00860344"/>
    <w:rsid w:val="00860E2C"/>
    <w:rsid w:val="00864BC6"/>
    <w:rsid w:val="00865EE6"/>
    <w:rsid w:val="00870D23"/>
    <w:rsid w:val="00872479"/>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2EB"/>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C7773"/>
    <w:rsid w:val="008D140C"/>
    <w:rsid w:val="008D2BAE"/>
    <w:rsid w:val="008D2C9E"/>
    <w:rsid w:val="008D41F5"/>
    <w:rsid w:val="008D521F"/>
    <w:rsid w:val="008D5C06"/>
    <w:rsid w:val="008D6227"/>
    <w:rsid w:val="008D7A8B"/>
    <w:rsid w:val="008E41D3"/>
    <w:rsid w:val="008E43F1"/>
    <w:rsid w:val="008E594F"/>
    <w:rsid w:val="008E7312"/>
    <w:rsid w:val="008F297F"/>
    <w:rsid w:val="008F30A3"/>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14EF"/>
    <w:rsid w:val="00934991"/>
    <w:rsid w:val="009351A7"/>
    <w:rsid w:val="009355B2"/>
    <w:rsid w:val="009426B9"/>
    <w:rsid w:val="00944E85"/>
    <w:rsid w:val="0094634C"/>
    <w:rsid w:val="009463AB"/>
    <w:rsid w:val="00950239"/>
    <w:rsid w:val="00950332"/>
    <w:rsid w:val="00955899"/>
    <w:rsid w:val="00955A03"/>
    <w:rsid w:val="0096203D"/>
    <w:rsid w:val="0096224A"/>
    <w:rsid w:val="00963289"/>
    <w:rsid w:val="009649CA"/>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5ABE"/>
    <w:rsid w:val="0098600B"/>
    <w:rsid w:val="009861C1"/>
    <w:rsid w:val="00986C90"/>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3E9"/>
    <w:rsid w:val="00A0766F"/>
    <w:rsid w:val="00A07E82"/>
    <w:rsid w:val="00A10713"/>
    <w:rsid w:val="00A111DC"/>
    <w:rsid w:val="00A1252C"/>
    <w:rsid w:val="00A13B8B"/>
    <w:rsid w:val="00A151B7"/>
    <w:rsid w:val="00A15B1F"/>
    <w:rsid w:val="00A21225"/>
    <w:rsid w:val="00A2139C"/>
    <w:rsid w:val="00A218F9"/>
    <w:rsid w:val="00A21E37"/>
    <w:rsid w:val="00A23314"/>
    <w:rsid w:val="00A235BB"/>
    <w:rsid w:val="00A23F10"/>
    <w:rsid w:val="00A23F72"/>
    <w:rsid w:val="00A25930"/>
    <w:rsid w:val="00A26768"/>
    <w:rsid w:val="00A26AB8"/>
    <w:rsid w:val="00A322BF"/>
    <w:rsid w:val="00A3373F"/>
    <w:rsid w:val="00A33F51"/>
    <w:rsid w:val="00A349DF"/>
    <w:rsid w:val="00A34DE9"/>
    <w:rsid w:val="00A40311"/>
    <w:rsid w:val="00A41032"/>
    <w:rsid w:val="00A4106C"/>
    <w:rsid w:val="00A428E7"/>
    <w:rsid w:val="00A43E49"/>
    <w:rsid w:val="00A44018"/>
    <w:rsid w:val="00A449FF"/>
    <w:rsid w:val="00A45DE9"/>
    <w:rsid w:val="00A47471"/>
    <w:rsid w:val="00A47E22"/>
    <w:rsid w:val="00A47ED0"/>
    <w:rsid w:val="00A509EA"/>
    <w:rsid w:val="00A51476"/>
    <w:rsid w:val="00A51FC5"/>
    <w:rsid w:val="00A526D2"/>
    <w:rsid w:val="00A53450"/>
    <w:rsid w:val="00A54412"/>
    <w:rsid w:val="00A5498B"/>
    <w:rsid w:val="00A550C8"/>
    <w:rsid w:val="00A5564C"/>
    <w:rsid w:val="00A559EC"/>
    <w:rsid w:val="00A569F8"/>
    <w:rsid w:val="00A56E60"/>
    <w:rsid w:val="00A571B3"/>
    <w:rsid w:val="00A626B5"/>
    <w:rsid w:val="00A62DF0"/>
    <w:rsid w:val="00A63620"/>
    <w:rsid w:val="00A63ECE"/>
    <w:rsid w:val="00A641B6"/>
    <w:rsid w:val="00A66342"/>
    <w:rsid w:val="00A665C8"/>
    <w:rsid w:val="00A6749E"/>
    <w:rsid w:val="00A70D88"/>
    <w:rsid w:val="00A71142"/>
    <w:rsid w:val="00A72895"/>
    <w:rsid w:val="00A74589"/>
    <w:rsid w:val="00A74E1B"/>
    <w:rsid w:val="00A7513A"/>
    <w:rsid w:val="00A75AC9"/>
    <w:rsid w:val="00A75B25"/>
    <w:rsid w:val="00A75BC7"/>
    <w:rsid w:val="00A76A85"/>
    <w:rsid w:val="00A76AEE"/>
    <w:rsid w:val="00A801B4"/>
    <w:rsid w:val="00A82075"/>
    <w:rsid w:val="00A82192"/>
    <w:rsid w:val="00A857AB"/>
    <w:rsid w:val="00A90009"/>
    <w:rsid w:val="00A927A4"/>
    <w:rsid w:val="00A94CC0"/>
    <w:rsid w:val="00A9534A"/>
    <w:rsid w:val="00A953AA"/>
    <w:rsid w:val="00A957FA"/>
    <w:rsid w:val="00A95BBB"/>
    <w:rsid w:val="00A968DC"/>
    <w:rsid w:val="00A977BA"/>
    <w:rsid w:val="00AA1A89"/>
    <w:rsid w:val="00AA346E"/>
    <w:rsid w:val="00AA3770"/>
    <w:rsid w:val="00AA3CFA"/>
    <w:rsid w:val="00AA41C3"/>
    <w:rsid w:val="00AA423C"/>
    <w:rsid w:val="00AA53E2"/>
    <w:rsid w:val="00AA5EB9"/>
    <w:rsid w:val="00AA73FD"/>
    <w:rsid w:val="00AB1271"/>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BA9"/>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1962"/>
    <w:rsid w:val="00B021ED"/>
    <w:rsid w:val="00B0250D"/>
    <w:rsid w:val="00B032B1"/>
    <w:rsid w:val="00B03F46"/>
    <w:rsid w:val="00B059B8"/>
    <w:rsid w:val="00B07418"/>
    <w:rsid w:val="00B11547"/>
    <w:rsid w:val="00B11EF0"/>
    <w:rsid w:val="00B1226C"/>
    <w:rsid w:val="00B13724"/>
    <w:rsid w:val="00B14F05"/>
    <w:rsid w:val="00B15D01"/>
    <w:rsid w:val="00B20EBF"/>
    <w:rsid w:val="00B2157F"/>
    <w:rsid w:val="00B24F44"/>
    <w:rsid w:val="00B25428"/>
    <w:rsid w:val="00B255BB"/>
    <w:rsid w:val="00B25E24"/>
    <w:rsid w:val="00B2609A"/>
    <w:rsid w:val="00B301B1"/>
    <w:rsid w:val="00B344FE"/>
    <w:rsid w:val="00B353E7"/>
    <w:rsid w:val="00B35759"/>
    <w:rsid w:val="00B3619A"/>
    <w:rsid w:val="00B365B7"/>
    <w:rsid w:val="00B3691C"/>
    <w:rsid w:val="00B40BCA"/>
    <w:rsid w:val="00B4308D"/>
    <w:rsid w:val="00B440DA"/>
    <w:rsid w:val="00B4415A"/>
    <w:rsid w:val="00B503CD"/>
    <w:rsid w:val="00B548AB"/>
    <w:rsid w:val="00B54BBE"/>
    <w:rsid w:val="00B553F8"/>
    <w:rsid w:val="00B55BD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4FF5"/>
    <w:rsid w:val="00B95A1D"/>
    <w:rsid w:val="00B95CCA"/>
    <w:rsid w:val="00B9634B"/>
    <w:rsid w:val="00B973BA"/>
    <w:rsid w:val="00BA3731"/>
    <w:rsid w:val="00BA3E0D"/>
    <w:rsid w:val="00BA5072"/>
    <w:rsid w:val="00BA5125"/>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0E7"/>
    <w:rsid w:val="00BD15A2"/>
    <w:rsid w:val="00BD2153"/>
    <w:rsid w:val="00BD25D5"/>
    <w:rsid w:val="00BD337A"/>
    <w:rsid w:val="00BD558D"/>
    <w:rsid w:val="00BD5CC3"/>
    <w:rsid w:val="00BE1F47"/>
    <w:rsid w:val="00BE233F"/>
    <w:rsid w:val="00BE24AD"/>
    <w:rsid w:val="00BE2787"/>
    <w:rsid w:val="00BE51BB"/>
    <w:rsid w:val="00BE7ECD"/>
    <w:rsid w:val="00BF1682"/>
    <w:rsid w:val="00BF241A"/>
    <w:rsid w:val="00BF3AFB"/>
    <w:rsid w:val="00BF3DD2"/>
    <w:rsid w:val="00BF4344"/>
    <w:rsid w:val="00BF6970"/>
    <w:rsid w:val="00BF69C6"/>
    <w:rsid w:val="00BF6E3A"/>
    <w:rsid w:val="00C005D8"/>
    <w:rsid w:val="00C01EC1"/>
    <w:rsid w:val="00C02F31"/>
    <w:rsid w:val="00C04DA5"/>
    <w:rsid w:val="00C050FC"/>
    <w:rsid w:val="00C05D40"/>
    <w:rsid w:val="00C0650A"/>
    <w:rsid w:val="00C11905"/>
    <w:rsid w:val="00C14462"/>
    <w:rsid w:val="00C16542"/>
    <w:rsid w:val="00C22382"/>
    <w:rsid w:val="00C2355B"/>
    <w:rsid w:val="00C2743B"/>
    <w:rsid w:val="00C274A6"/>
    <w:rsid w:val="00C27B6E"/>
    <w:rsid w:val="00C33456"/>
    <w:rsid w:val="00C34201"/>
    <w:rsid w:val="00C35A38"/>
    <w:rsid w:val="00C35EC9"/>
    <w:rsid w:val="00C36807"/>
    <w:rsid w:val="00C37392"/>
    <w:rsid w:val="00C41545"/>
    <w:rsid w:val="00C41940"/>
    <w:rsid w:val="00C4209D"/>
    <w:rsid w:val="00C432B3"/>
    <w:rsid w:val="00C4771E"/>
    <w:rsid w:val="00C47D15"/>
    <w:rsid w:val="00C50279"/>
    <w:rsid w:val="00C505EC"/>
    <w:rsid w:val="00C5165A"/>
    <w:rsid w:val="00C52841"/>
    <w:rsid w:val="00C54FC6"/>
    <w:rsid w:val="00C5538F"/>
    <w:rsid w:val="00C56F88"/>
    <w:rsid w:val="00C57B7E"/>
    <w:rsid w:val="00C60217"/>
    <w:rsid w:val="00C66D15"/>
    <w:rsid w:val="00C671D0"/>
    <w:rsid w:val="00C70449"/>
    <w:rsid w:val="00C705B7"/>
    <w:rsid w:val="00C7071B"/>
    <w:rsid w:val="00C73904"/>
    <w:rsid w:val="00C73BAE"/>
    <w:rsid w:val="00C73F7B"/>
    <w:rsid w:val="00C74055"/>
    <w:rsid w:val="00C7421D"/>
    <w:rsid w:val="00C75479"/>
    <w:rsid w:val="00C76481"/>
    <w:rsid w:val="00C76812"/>
    <w:rsid w:val="00C83D88"/>
    <w:rsid w:val="00C84961"/>
    <w:rsid w:val="00C84B06"/>
    <w:rsid w:val="00C87100"/>
    <w:rsid w:val="00C87CAC"/>
    <w:rsid w:val="00C913A1"/>
    <w:rsid w:val="00C950D6"/>
    <w:rsid w:val="00C97646"/>
    <w:rsid w:val="00C97672"/>
    <w:rsid w:val="00CA31D5"/>
    <w:rsid w:val="00CA43BB"/>
    <w:rsid w:val="00CA55BD"/>
    <w:rsid w:val="00CA5987"/>
    <w:rsid w:val="00CA6B14"/>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3BB"/>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631C"/>
    <w:rsid w:val="00D37394"/>
    <w:rsid w:val="00D46699"/>
    <w:rsid w:val="00D4691F"/>
    <w:rsid w:val="00D47345"/>
    <w:rsid w:val="00D5073F"/>
    <w:rsid w:val="00D51573"/>
    <w:rsid w:val="00D5399A"/>
    <w:rsid w:val="00D5444F"/>
    <w:rsid w:val="00D54E0D"/>
    <w:rsid w:val="00D54F7D"/>
    <w:rsid w:val="00D56831"/>
    <w:rsid w:val="00D56A6C"/>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60A"/>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3196"/>
    <w:rsid w:val="00DE4811"/>
    <w:rsid w:val="00DE5458"/>
    <w:rsid w:val="00DE5EE6"/>
    <w:rsid w:val="00DE77EA"/>
    <w:rsid w:val="00DF09A1"/>
    <w:rsid w:val="00DF0ABA"/>
    <w:rsid w:val="00DF163F"/>
    <w:rsid w:val="00DF1EEE"/>
    <w:rsid w:val="00DF6360"/>
    <w:rsid w:val="00DF6C58"/>
    <w:rsid w:val="00E001C1"/>
    <w:rsid w:val="00E039F3"/>
    <w:rsid w:val="00E03C30"/>
    <w:rsid w:val="00E04139"/>
    <w:rsid w:val="00E078BD"/>
    <w:rsid w:val="00E078F8"/>
    <w:rsid w:val="00E1142B"/>
    <w:rsid w:val="00E11F10"/>
    <w:rsid w:val="00E1448A"/>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05B3"/>
    <w:rsid w:val="00E61C74"/>
    <w:rsid w:val="00E63D8F"/>
    <w:rsid w:val="00E64BE2"/>
    <w:rsid w:val="00E706B6"/>
    <w:rsid w:val="00E76FF1"/>
    <w:rsid w:val="00E774FE"/>
    <w:rsid w:val="00E809A0"/>
    <w:rsid w:val="00E80AF7"/>
    <w:rsid w:val="00E81A0A"/>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0F9"/>
    <w:rsid w:val="00EE35B4"/>
    <w:rsid w:val="00EE5643"/>
    <w:rsid w:val="00EE7A99"/>
    <w:rsid w:val="00EE7CEC"/>
    <w:rsid w:val="00EF056E"/>
    <w:rsid w:val="00EF09B3"/>
    <w:rsid w:val="00EF0A3E"/>
    <w:rsid w:val="00EF507A"/>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F0E"/>
    <w:rsid w:val="00F10287"/>
    <w:rsid w:val="00F10C82"/>
    <w:rsid w:val="00F11F1C"/>
    <w:rsid w:val="00F13B2E"/>
    <w:rsid w:val="00F176A0"/>
    <w:rsid w:val="00F20174"/>
    <w:rsid w:val="00F22098"/>
    <w:rsid w:val="00F223BC"/>
    <w:rsid w:val="00F23780"/>
    <w:rsid w:val="00F26185"/>
    <w:rsid w:val="00F3178C"/>
    <w:rsid w:val="00F33DE5"/>
    <w:rsid w:val="00F34B8F"/>
    <w:rsid w:val="00F36D7F"/>
    <w:rsid w:val="00F37186"/>
    <w:rsid w:val="00F4125C"/>
    <w:rsid w:val="00F4267E"/>
    <w:rsid w:val="00F42FCF"/>
    <w:rsid w:val="00F44A83"/>
    <w:rsid w:val="00F51743"/>
    <w:rsid w:val="00F529D4"/>
    <w:rsid w:val="00F5378C"/>
    <w:rsid w:val="00F54F27"/>
    <w:rsid w:val="00F55FC8"/>
    <w:rsid w:val="00F604E3"/>
    <w:rsid w:val="00F610E6"/>
    <w:rsid w:val="00F61FCC"/>
    <w:rsid w:val="00F66036"/>
    <w:rsid w:val="00F6689D"/>
    <w:rsid w:val="00F67E23"/>
    <w:rsid w:val="00F71601"/>
    <w:rsid w:val="00F72C75"/>
    <w:rsid w:val="00F74033"/>
    <w:rsid w:val="00F759EB"/>
    <w:rsid w:val="00F772F7"/>
    <w:rsid w:val="00F80495"/>
    <w:rsid w:val="00F81334"/>
    <w:rsid w:val="00F8167C"/>
    <w:rsid w:val="00F81A81"/>
    <w:rsid w:val="00F81CC5"/>
    <w:rsid w:val="00F8760D"/>
    <w:rsid w:val="00F87AAD"/>
    <w:rsid w:val="00F912CA"/>
    <w:rsid w:val="00F915B2"/>
    <w:rsid w:val="00F9174C"/>
    <w:rsid w:val="00F91D5C"/>
    <w:rsid w:val="00F92097"/>
    <w:rsid w:val="00F951DB"/>
    <w:rsid w:val="00F9574A"/>
    <w:rsid w:val="00F95D64"/>
    <w:rsid w:val="00F97465"/>
    <w:rsid w:val="00F9793B"/>
    <w:rsid w:val="00FA0EAA"/>
    <w:rsid w:val="00FA0F53"/>
    <w:rsid w:val="00FA1DA9"/>
    <w:rsid w:val="00FA3809"/>
    <w:rsid w:val="00FA3A95"/>
    <w:rsid w:val="00FA4B16"/>
    <w:rsid w:val="00FA6D7E"/>
    <w:rsid w:val="00FB020D"/>
    <w:rsid w:val="00FB3F33"/>
    <w:rsid w:val="00FB43E4"/>
    <w:rsid w:val="00FB47EA"/>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678C"/>
    <w:rsid w:val="00FD6FEB"/>
    <w:rsid w:val="00FD752B"/>
    <w:rsid w:val="00FD7DD7"/>
    <w:rsid w:val="00FD7EB3"/>
    <w:rsid w:val="00FE033E"/>
    <w:rsid w:val="00FE0D2F"/>
    <w:rsid w:val="00FE31C6"/>
    <w:rsid w:val="00FE4A65"/>
    <w:rsid w:val="00FE4ED8"/>
    <w:rsid w:val="00FE51E8"/>
    <w:rsid w:val="00FE602F"/>
    <w:rsid w:val="00FE7611"/>
    <w:rsid w:val="00FF0769"/>
    <w:rsid w:val="00FF0DB8"/>
    <w:rsid w:val="00FF1A76"/>
    <w:rsid w:val="00FF1C1D"/>
    <w:rsid w:val="00FF3330"/>
    <w:rsid w:val="00FF4080"/>
    <w:rsid w:val="00FF40A5"/>
    <w:rsid w:val="00FF48DA"/>
    <w:rsid w:val="00FF5E19"/>
    <w:rsid w:val="00FF61AD"/>
    <w:rsid w:val="00FF76BD"/>
    <w:rsid w:val="0176491F"/>
    <w:rsid w:val="06180285"/>
    <w:rsid w:val="090D348F"/>
    <w:rsid w:val="0B5E2F42"/>
    <w:rsid w:val="0BA94F01"/>
    <w:rsid w:val="0C0E0AA6"/>
    <w:rsid w:val="10E46E6E"/>
    <w:rsid w:val="114556CE"/>
    <w:rsid w:val="11804C60"/>
    <w:rsid w:val="14FF71A3"/>
    <w:rsid w:val="15561A22"/>
    <w:rsid w:val="16532C91"/>
    <w:rsid w:val="16F15CFE"/>
    <w:rsid w:val="1B214753"/>
    <w:rsid w:val="1FDA7018"/>
    <w:rsid w:val="2E721641"/>
    <w:rsid w:val="2FA816E1"/>
    <w:rsid w:val="313B47D1"/>
    <w:rsid w:val="319B0B9C"/>
    <w:rsid w:val="325B20E1"/>
    <w:rsid w:val="351420B3"/>
    <w:rsid w:val="3556008A"/>
    <w:rsid w:val="389215B2"/>
    <w:rsid w:val="3AC76F40"/>
    <w:rsid w:val="3B3511C5"/>
    <w:rsid w:val="3C77744C"/>
    <w:rsid w:val="3C7C003F"/>
    <w:rsid w:val="427317DB"/>
    <w:rsid w:val="448373F2"/>
    <w:rsid w:val="45946BF4"/>
    <w:rsid w:val="46C81C02"/>
    <w:rsid w:val="4A236629"/>
    <w:rsid w:val="4B9F0EC2"/>
    <w:rsid w:val="4D415FB2"/>
    <w:rsid w:val="4D7D6FA4"/>
    <w:rsid w:val="50503F6E"/>
    <w:rsid w:val="51625252"/>
    <w:rsid w:val="56204E62"/>
    <w:rsid w:val="57F54DAC"/>
    <w:rsid w:val="582F13D7"/>
    <w:rsid w:val="5B4E557E"/>
    <w:rsid w:val="5EEC082D"/>
    <w:rsid w:val="668058ED"/>
    <w:rsid w:val="693B774E"/>
    <w:rsid w:val="6AE862FB"/>
    <w:rsid w:val="6C2D1732"/>
    <w:rsid w:val="6CB704EE"/>
    <w:rsid w:val="6EC45795"/>
    <w:rsid w:val="73DD12E2"/>
    <w:rsid w:val="741D7964"/>
    <w:rsid w:val="74224F43"/>
    <w:rsid w:val="77514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8"/>
    <w:qFormat/>
    <w:uiPriority w:val="0"/>
    <w:rPr>
      <w:rFonts w:ascii="宋体"/>
      <w:sz w:val="18"/>
      <w:szCs w:val="18"/>
    </w:rPr>
  </w:style>
  <w:style w:type="paragraph" w:styleId="7">
    <w:name w:val="annotation text"/>
    <w:basedOn w:val="1"/>
    <w:link w:val="33"/>
    <w:qFormat/>
    <w:uiPriority w:val="0"/>
  </w:style>
  <w:style w:type="paragraph" w:styleId="8">
    <w:name w:val="Body Text 3"/>
    <w:basedOn w:val="1"/>
    <w:link w:val="49"/>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320"/>
        <w:tab w:val="right" w:pos="8640"/>
      </w:tabs>
    </w:pPr>
  </w:style>
  <w:style w:type="paragraph" w:styleId="15">
    <w:name w:val="header"/>
    <w:basedOn w:val="1"/>
    <w:link w:val="2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7"/>
    <w:next w:val="7"/>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
    <w:link w:val="15"/>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7"/>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Char"/>
    <w:link w:val="14"/>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文档结构图 Char"/>
    <w:basedOn w:val="22"/>
    <w:link w:val="6"/>
    <w:qFormat/>
    <w:uiPriority w:val="0"/>
    <w:rPr>
      <w:rFonts w:ascii="宋体"/>
      <w:sz w:val="18"/>
      <w:szCs w:val="18"/>
      <w:lang w:val="en-GB" w:eastAsia="en-US"/>
    </w:rPr>
  </w:style>
  <w:style w:type="character" w:customStyle="1" w:styleId="49">
    <w:name w:val="正文文本 3 Char"/>
    <w:link w:val="8"/>
    <w:qFormat/>
    <w:uiPriority w:val="0"/>
    <w:rPr>
      <w:sz w:val="16"/>
      <w:szCs w:val="16"/>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99056-A9FF-4B76-B080-46D0F75D51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2927</Words>
  <Characters>3132</Characters>
  <Lines>31</Lines>
  <Paragraphs>8</Paragraphs>
  <TotalTime>23</TotalTime>
  <ScaleCrop>false</ScaleCrop>
  <LinksUpToDate>false</LinksUpToDate>
  <CharactersWithSpaces>3162</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2022-03-27T04:22:00Z</dcterms:created>
  <dc:creator>Lilly</dc:creator>
  <cp:lastModifiedBy>汪洋</cp:lastModifiedBy>
  <cp:lastPrinted>2017-06-22T01:53:00Z</cp:lastPrinted>
  <dcterms:modified xsi:type="dcterms:W3CDTF">2023-01-29T02:50:49Z</dcterms:modified>
  <dc:title>生效期：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8121FF430BB144C893B479ABB124FB53</vt:lpwstr>
  </property>
</Properties>
</file>