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灭菌袋裁剪机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</w:p>
    <w:p>
      <w:pPr>
        <w:pStyle w:val="11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rPr>
          <w:i/>
          <w:color w:val="00B0F0"/>
          <w:lang w:val="zh-CN" w:eastAsia="zh-CN"/>
        </w:rPr>
      </w:pP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10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10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10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10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10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10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10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10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10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10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10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文件要求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10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10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0" w:name="_Toc522716115"/>
      <w:bookmarkStart w:id="1" w:name="_Toc522107735"/>
      <w:r>
        <w:rPr>
          <w:rFonts w:ascii="Times New Roman" w:hAnsi="Times New Roman"/>
          <w:b/>
        </w:rPr>
        <w:t>目的</w:t>
      </w:r>
      <w:bookmarkEnd w:id="0"/>
      <w:bookmarkEnd w:id="1"/>
    </w:p>
    <w:p>
      <w:pPr>
        <w:pStyle w:val="13"/>
        <w:spacing w:before="0" w:line="360" w:lineRule="auto"/>
        <w:ind w:left="357"/>
        <w:jc w:val="left"/>
        <w:rPr>
          <w:szCs w:val="21"/>
          <w:lang w:eastAsia="zh-CN"/>
        </w:rPr>
      </w:pPr>
      <w:bookmarkStart w:id="2" w:name="_Toc482360281"/>
      <w:bookmarkStart w:id="3" w:name="_Toc482370141"/>
      <w:bookmarkStart w:id="4" w:name="_Toc482370757"/>
      <w:bookmarkStart w:id="5" w:name="_Toc482625279"/>
      <w:bookmarkStart w:id="6" w:name="_Toc482369805"/>
      <w:bookmarkStart w:id="7" w:name="_Toc482370349"/>
      <w:bookmarkStart w:id="8" w:name="_Toc481702475"/>
      <w:bookmarkStart w:id="9" w:name="_Toc482370061"/>
      <w:bookmarkStart w:id="10" w:name="_Toc482359936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轮状病毒疫苗室灭菌袋裁剪机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13"/>
        <w:spacing w:before="0"/>
        <w:ind w:left="360"/>
        <w:rPr>
          <w:szCs w:val="21"/>
          <w:lang w:eastAsia="zh-CN"/>
        </w:rPr>
      </w:pP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1" w:name="_Toc522107736"/>
      <w:bookmarkStart w:id="12" w:name="_Toc522716116"/>
      <w:r>
        <w:rPr>
          <w:rFonts w:ascii="Times New Roman" w:hAnsi="Times New Roman"/>
          <w:b/>
        </w:rPr>
        <w:t>范围</w:t>
      </w:r>
      <w:bookmarkEnd w:id="11"/>
      <w:bookmarkEnd w:id="12"/>
    </w:p>
    <w:p>
      <w:pPr>
        <w:pStyle w:val="13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轮状病毒疫苗室灭菌袋裁剪机</w:t>
      </w:r>
      <w:r>
        <w:rPr>
          <w:szCs w:val="21"/>
          <w:lang w:eastAsia="zh-CN"/>
        </w:rPr>
        <w:t>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13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3" w:name="_Toc522716117"/>
      <w:bookmarkStart w:id="14" w:name="_Toc522107737"/>
      <w:r>
        <w:rPr>
          <w:rFonts w:ascii="Times New Roman" w:hAnsi="Times New Roman"/>
          <w:b/>
        </w:rPr>
        <w:t>参考文件</w:t>
      </w:r>
      <w:bookmarkEnd w:id="13"/>
      <w:bookmarkEnd w:id="14"/>
    </w:p>
    <w:p>
      <w:pPr>
        <w:pStyle w:val="13"/>
        <w:numPr>
          <w:ilvl w:val="0"/>
          <w:numId w:val="3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13"/>
        <w:numPr>
          <w:ilvl w:val="0"/>
          <w:numId w:val="4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13"/>
        <w:numPr>
          <w:ilvl w:val="0"/>
          <w:numId w:val="4"/>
        </w:numPr>
        <w:spacing w:before="0" w:line="360" w:lineRule="auto"/>
        <w:ind w:left="777"/>
        <w:jc w:val="left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中国药典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2020年版</w:t>
      </w:r>
    </w:p>
    <w:p>
      <w:pPr>
        <w:pStyle w:val="13"/>
        <w:numPr>
          <w:ilvl w:val="0"/>
          <w:numId w:val="3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13"/>
        <w:numPr>
          <w:ilvl w:val="0"/>
          <w:numId w:val="4"/>
        </w:numPr>
        <w:spacing w:before="0" w:line="360" w:lineRule="auto"/>
        <w:ind w:left="777"/>
        <w:jc w:val="left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N</w:t>
      </w:r>
      <w:r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/A</w:t>
      </w:r>
    </w:p>
    <w:p>
      <w:pPr>
        <w:pStyle w:val="13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5" w:name="_Toc522107739"/>
      <w:bookmarkStart w:id="16" w:name="_Toc522716119"/>
      <w:r>
        <w:rPr>
          <w:rFonts w:ascii="Times New Roman" w:hAnsi="Times New Roman"/>
          <w:b/>
        </w:rPr>
        <w:t>系统描述</w:t>
      </w:r>
      <w:bookmarkEnd w:id="15"/>
      <w:bookmarkEnd w:id="16"/>
    </w:p>
    <w:p>
      <w:pPr>
        <w:pStyle w:val="13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r>
        <w:rPr>
          <w:rFonts w:hint="eastAsia" w:ascii="Arial" w:hAnsi="Arial" w:cs="Arial"/>
          <w:color w:val="434343"/>
          <w:szCs w:val="21"/>
          <w:shd w:val="clear" w:color="auto" w:fill="FCFCFE"/>
          <w:lang w:eastAsia="zh-CN"/>
        </w:rPr>
        <w:t>在</w:t>
      </w:r>
      <w:r>
        <w:rPr>
          <w:rFonts w:hint="eastAsia"/>
          <w:lang w:eastAsia="zh-CN"/>
        </w:rPr>
        <w:t>口服六价重配轮状病毒活疫苗（Vero细胞）</w:t>
      </w:r>
      <w:r>
        <w:rPr>
          <w:rFonts w:hint="eastAsia" w:ascii="Arial" w:hAnsi="Arial" w:cs="Arial"/>
          <w:color w:val="434343"/>
          <w:szCs w:val="21"/>
          <w:shd w:val="clear" w:color="auto" w:fill="FCFCFE"/>
          <w:lang w:eastAsia="zh-CN"/>
        </w:rPr>
        <w:t>的生产过程中需要大量使用灭菌袋，灭菌袋需要裁剪成固定尺寸，用于将所需灭菌的物品装袋进行灭菌，用灭菌袋裁剪机进行裁剪，可</w:t>
      </w:r>
      <w:r>
        <w:rPr>
          <w:rFonts w:ascii="Arial" w:hAnsi="Arial" w:cs="Arial"/>
          <w:color w:val="434343"/>
          <w:szCs w:val="21"/>
          <w:shd w:val="clear" w:color="auto" w:fill="FCFCFE"/>
          <w:lang w:eastAsia="zh-CN"/>
        </w:rPr>
        <w:t>平整且尺寸固定的</w:t>
      </w:r>
      <w:r>
        <w:rPr>
          <w:rFonts w:hint="eastAsia" w:ascii="Arial" w:hAnsi="Arial" w:cs="Arial"/>
          <w:color w:val="434343"/>
          <w:szCs w:val="21"/>
          <w:shd w:val="clear" w:color="auto" w:fill="FCFCFE"/>
          <w:lang w:eastAsia="zh-CN"/>
        </w:rPr>
        <w:t>裁剪</w:t>
      </w:r>
      <w:r>
        <w:rPr>
          <w:rFonts w:hint="eastAsia"/>
          <w:szCs w:val="21"/>
          <w:lang w:val="en-GB" w:eastAsia="zh-CN"/>
        </w:rPr>
        <w:t>灭菌</w:t>
      </w:r>
      <w:r>
        <w:rPr>
          <w:rFonts w:hint="eastAsia" w:ascii="Arial" w:hAnsi="Arial" w:cs="Arial"/>
          <w:color w:val="434343"/>
          <w:szCs w:val="21"/>
          <w:shd w:val="clear" w:color="auto" w:fill="FCFCFE"/>
          <w:lang w:eastAsia="zh-CN"/>
        </w:rPr>
        <w:t>袋，现需购买2台</w:t>
      </w:r>
      <w:r>
        <w:rPr>
          <w:i/>
          <w:color w:val="4472C4"/>
          <w:szCs w:val="21"/>
          <w:lang w:eastAsia="zh-CN"/>
        </w:rPr>
        <w:t>。</w:t>
      </w: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17" w:name="_Toc522716120"/>
      <w:r>
        <w:rPr>
          <w:rFonts w:ascii="Times New Roman" w:hAnsi="Times New Roman"/>
          <w:b/>
          <w:szCs w:val="21"/>
        </w:rPr>
        <w:t>安装要求</w:t>
      </w:r>
      <w:bookmarkEnd w:id="17"/>
      <w:bookmarkStart w:id="42" w:name="_GoBack"/>
      <w:bookmarkEnd w:id="42"/>
    </w:p>
    <w:tbl>
      <w:tblPr>
        <w:tblStyle w:val="7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18" w:name="OLE_LINK2"/>
            <w:bookmarkStart w:id="19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轮状疫苗楼原液车间仪器室1（2</w:t>
            </w:r>
            <w:r>
              <w:rPr>
                <w:szCs w:val="21"/>
                <w:lang w:eastAsia="zh-CN"/>
              </w:rPr>
              <w:t>062156</w:t>
            </w:r>
            <w:r>
              <w:rPr>
                <w:rFonts w:hint="eastAsia"/>
                <w:szCs w:val="21"/>
                <w:lang w:eastAsia="zh-CN"/>
              </w:rPr>
              <w:t>）和仪器室2（2062158）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尺寸不大于1</w:t>
            </w:r>
            <w:r>
              <w:rPr>
                <w:szCs w:val="21"/>
                <w:lang w:eastAsia="zh-CN"/>
              </w:rPr>
              <w:t>500</w:t>
            </w:r>
            <w:r>
              <w:rPr>
                <w:rFonts w:hint="eastAsia"/>
                <w:szCs w:val="21"/>
                <w:lang w:eastAsia="zh-CN"/>
              </w:rPr>
              <w:t>×</w:t>
            </w:r>
            <w:r>
              <w:rPr>
                <w:szCs w:val="21"/>
                <w:lang w:eastAsia="zh-CN"/>
              </w:rPr>
              <w:t>1000</w:t>
            </w:r>
            <w:r>
              <w:rPr>
                <w:rFonts w:hint="eastAsia"/>
                <w:szCs w:val="21"/>
                <w:lang w:eastAsia="zh-CN"/>
              </w:rPr>
              <w:t>×</w:t>
            </w:r>
            <w:r>
              <w:rPr>
                <w:szCs w:val="21"/>
                <w:lang w:eastAsia="zh-CN"/>
              </w:rPr>
              <w:t>500 mm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工作环境温度：能适应18</w:t>
            </w:r>
            <w:r>
              <w:rPr>
                <w:rFonts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～26</w:t>
            </w:r>
            <w:r>
              <w:rPr>
                <w:rFonts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 xml:space="preserve">环境 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工作环境湿度：至少包括45%～65%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工作环境洁净级别：D</w:t>
            </w:r>
            <w:r>
              <w:rPr>
                <w:rFonts w:hint="eastAsia"/>
                <w:color w:val="000000"/>
                <w:lang w:eastAsia="zh-CN"/>
              </w:rPr>
              <w:t>级</w:t>
            </w:r>
            <w:r>
              <w:rPr>
                <w:rFonts w:hint="eastAsia"/>
                <w:i/>
                <w:color w:val="0070C0"/>
                <w:lang w:eastAsia="zh-CN"/>
              </w:rPr>
              <w:t xml:space="preserve"> 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304不锈钢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（4）生产日期或编号；</w:t>
            </w:r>
          </w:p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（5）对设备必要的说明；</w:t>
            </w:r>
          </w:p>
          <w:p>
            <w:pPr>
              <w:pStyle w:val="3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0"/>
                <w:lang w:eastAsia="zh-CN"/>
              </w:rPr>
              <w:t>（6）安全标识。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bookmarkEnd w:id="18"/>
      <w:bookmarkEnd w:id="19"/>
    </w:tbl>
    <w:p>
      <w:pPr>
        <w:pStyle w:val="14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40"/>
      <w:bookmarkStart w:id="21" w:name="_Toc522716121"/>
      <w:r>
        <w:rPr>
          <w:rFonts w:ascii="Times New Roman" w:hAnsi="Times New Roman"/>
          <w:b/>
        </w:rPr>
        <w:t>运行要求</w:t>
      </w:r>
      <w:bookmarkEnd w:id="20"/>
      <w:bookmarkEnd w:id="21"/>
    </w:p>
    <w:p>
      <w:pPr>
        <w:spacing w:after="158" w:afterLines="5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实现不同规格</w:t>
      </w:r>
      <w:r>
        <w:rPr>
          <w:rFonts w:hint="eastAsia" w:ascii="Arial" w:hAnsi="Arial" w:cs="Arial"/>
          <w:color w:val="434343"/>
          <w:szCs w:val="21"/>
          <w:shd w:val="clear" w:color="auto" w:fill="FCFCFE"/>
          <w:lang w:eastAsia="zh-CN"/>
        </w:rPr>
        <w:t>灭菌袋平整且尺寸固定的裁剪</w:t>
      </w:r>
    </w:p>
    <w:tbl>
      <w:tblPr>
        <w:tblStyle w:val="7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适配宽度为50mm-500mm的</w:t>
            </w:r>
            <w:r>
              <w:rPr>
                <w:szCs w:val="21"/>
                <w:lang w:eastAsia="zh-CN"/>
              </w:rPr>
              <w:t>热封型平面袋（卷）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适配宽度为50mm-500mm热封型立体袋（卷）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操作便捷简单，切割平整、无毛边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rFonts w:ascii="宋体" w:hAnsi="宋体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不同规格</w:t>
            </w:r>
            <w:r>
              <w:rPr>
                <w:rFonts w:hint="eastAsia"/>
                <w:szCs w:val="21"/>
                <w:lang w:eastAsia="zh-CN"/>
              </w:rPr>
              <w:t>灭菌袋（卷）</w:t>
            </w:r>
            <w:r>
              <w:rPr>
                <w:szCs w:val="21"/>
                <w:lang w:eastAsia="zh-CN"/>
              </w:rPr>
              <w:t>滚动时不会产生互相干涉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rFonts w:ascii="宋体" w:hAnsi="宋体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能裁剪出长度范围为</w:t>
            </w:r>
            <w:r>
              <w:rPr>
                <w:rFonts w:hint="eastAsia"/>
                <w:szCs w:val="21"/>
                <w:lang w:eastAsia="zh-CN"/>
              </w:rPr>
              <w:t>0-150cm固定尺寸的灭菌袋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716122"/>
      <w:bookmarkStart w:id="23" w:name="_Toc522107742"/>
      <w:bookmarkStart w:id="24" w:name="_Toc482360291"/>
      <w:bookmarkStart w:id="25" w:name="_Toc483400317"/>
      <w:bookmarkStart w:id="26" w:name="_Toc483227237"/>
      <w:bookmarkStart w:id="27" w:name="_Toc482359946"/>
      <w:bookmarkStart w:id="28" w:name="_Toc482625289"/>
      <w:bookmarkStart w:id="29" w:name="_Toc482369815"/>
      <w:bookmarkStart w:id="30" w:name="_Toc482370359"/>
      <w:bookmarkStart w:id="31" w:name="_Toc482717202"/>
      <w:bookmarkStart w:id="32" w:name="_Toc481702480"/>
      <w:bookmarkStart w:id="33" w:name="_Toc482370767"/>
      <w:bookmarkStart w:id="34" w:name="_Toc482370151"/>
      <w:bookmarkStart w:id="35" w:name="_Toc482370071"/>
      <w:r>
        <w:rPr>
          <w:rFonts w:ascii="Times New Roman" w:hAnsi="Times New Roman"/>
          <w:b/>
        </w:rPr>
        <w:t>电气、自动控制要求</w:t>
      </w:r>
      <w:bookmarkEnd w:id="22"/>
    </w:p>
    <w:p>
      <w:pPr>
        <w:pStyle w:val="13"/>
        <w:spacing w:before="0" w:line="360" w:lineRule="auto"/>
        <w:jc w:val="left"/>
        <w:rPr>
          <w:i/>
          <w:color w:val="4472C4"/>
          <w:szCs w:val="21"/>
          <w:lang w:eastAsia="zh-CN"/>
        </w:rPr>
      </w:pPr>
    </w:p>
    <w:tbl>
      <w:tblPr>
        <w:tblStyle w:val="7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2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tabs>
                <w:tab w:val="left" w:pos="1365"/>
              </w:tabs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2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</w:tbl>
    <w:p>
      <w:pPr>
        <w:spacing w:after="158" w:afterLines="50"/>
        <w:rPr>
          <w:b/>
          <w:lang w:eastAsia="zh-CN"/>
        </w:rPr>
      </w:pP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6" w:name="_Toc522716123"/>
      <w:r>
        <w:rPr>
          <w:rFonts w:ascii="Times New Roman" w:hAnsi="Times New Roman"/>
          <w:b/>
        </w:rPr>
        <w:t>安全要求</w:t>
      </w:r>
      <w:bookmarkEnd w:id="23"/>
      <w:bookmarkEnd w:id="36"/>
    </w:p>
    <w:p>
      <w:pPr>
        <w:pStyle w:val="13"/>
        <w:spacing w:before="0" w:line="360" w:lineRule="auto"/>
        <w:jc w:val="left"/>
        <w:rPr>
          <w:i/>
          <w:color w:val="4472C4"/>
          <w:szCs w:val="21"/>
          <w:lang w:eastAsia="zh-CN"/>
        </w:rPr>
      </w:pPr>
    </w:p>
    <w:tbl>
      <w:tblPr>
        <w:tblStyle w:val="7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7" w:name="_Toc522107743"/>
      <w:bookmarkStart w:id="38" w:name="_Toc522716124"/>
      <w:r>
        <w:rPr>
          <w:rFonts w:ascii="Times New Roman" w:hAnsi="Times New Roman"/>
          <w:b/>
        </w:rPr>
        <w:t>文件要求</w:t>
      </w:r>
      <w:bookmarkEnd w:id="37"/>
      <w:bookmarkEnd w:id="38"/>
    </w:p>
    <w:p>
      <w:pPr>
        <w:pStyle w:val="13"/>
        <w:spacing w:before="0" w:line="360" w:lineRule="auto"/>
        <w:jc w:val="left"/>
        <w:rPr>
          <w:i/>
          <w:szCs w:val="21"/>
          <w:lang w:eastAsia="zh-CN"/>
        </w:rPr>
      </w:pPr>
    </w:p>
    <w:tbl>
      <w:tblPr>
        <w:tblStyle w:val="7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Arial" w:hAnsi="Arial" w:cs="Arial"/>
                <w:szCs w:val="21"/>
              </w:rPr>
              <w:t>须提供文件清单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Arial" w:hAnsi="Arial" w:cs="Arial"/>
                <w:szCs w:val="21"/>
                <w:lang w:eastAsia="zh-CN"/>
              </w:rPr>
              <w:t>技术数据：设备技术说明，设备详细尺寸，设备的描述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Cs w:val="21"/>
                <w:lang w:eastAsia="zh-CN"/>
              </w:rPr>
            </w:pPr>
            <w:r>
              <w:rPr>
                <w:rFonts w:ascii="Arial" w:hAnsi="Arial" w:cs="Arial"/>
                <w:szCs w:val="21"/>
                <w:lang w:eastAsia="zh-CN"/>
              </w:rPr>
              <w:t>设备安装和空间要求：基础和空间要求，安装时的运输，安全</w:t>
            </w:r>
            <w:r>
              <w:rPr>
                <w:rFonts w:ascii="Arial" w:hAnsi="Arial" w:cs="Arial"/>
                <w:spacing w:val="6"/>
                <w:sz w:val="24"/>
                <w:lang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设备使用说明书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9" w:name="_Toc522716125"/>
      <w:r>
        <w:rPr>
          <w:rFonts w:ascii="Times New Roman" w:hAnsi="Times New Roman"/>
          <w:b/>
          <w:szCs w:val="21"/>
        </w:rPr>
        <w:t>服务要求</w:t>
      </w:r>
      <w:bookmarkEnd w:id="39"/>
    </w:p>
    <w:p>
      <w:pPr>
        <w:pStyle w:val="13"/>
        <w:spacing w:before="0" w:line="360" w:lineRule="auto"/>
        <w:jc w:val="left"/>
        <w:rPr>
          <w:i/>
          <w:color w:val="4472C4"/>
          <w:szCs w:val="21"/>
          <w:lang w:eastAsia="zh-CN"/>
        </w:rPr>
      </w:pPr>
    </w:p>
    <w:tbl>
      <w:tblPr>
        <w:tblStyle w:val="7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426" w:leftChars="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11.1</w:t>
            </w: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426" w:leftChars="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11.2</w:t>
            </w: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</w:t>
            </w:r>
            <w:r>
              <w:rPr>
                <w:color w:val="0070C0"/>
                <w:lang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426" w:leftChars="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11.3</w:t>
            </w: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426" w:leftChars="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11.4</w:t>
            </w: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szCs w:val="21"/>
                <w:lang w:eastAsia="zh-CN"/>
              </w:rPr>
              <w:t>4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小时内明确答复，当电话沟通无法解决时，须</w:t>
            </w:r>
            <w:r>
              <w:rPr>
                <w:szCs w:val="21"/>
                <w:lang w:eastAsia="zh-CN"/>
              </w:rPr>
              <w:t>24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小时内派人至现场解决。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Arial" w:hAnsi="Arial" w:cs="Arial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年内免费保修，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年后应提供良好的售后服务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lang w:eastAsia="zh-CN"/>
              </w:rPr>
              <w:t>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426" w:leftChars="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11.5</w:t>
            </w: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供应商向买方提供详细的验收标准、验收手册。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设备安装后，仪器所有技术参数经检验应符合国际和国家标准及厂方标准。供应商有权委托中国有资格的单位对上述仪器进行精度校核。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设备验收合格后，出具验收报告，买卖双方在验收文件上签字生效。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/>
    <w:p>
      <w:pPr>
        <w:pStyle w:val="14"/>
        <w:numPr>
          <w:ilvl w:val="0"/>
          <w:numId w:val="2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0" w:name="_Toc522716126"/>
      <w:bookmarkStart w:id="41" w:name="_Toc522107746"/>
      <w:r>
        <w:rPr>
          <w:rFonts w:ascii="Times New Roman" w:hAnsi="Times New Roman"/>
          <w:b/>
        </w:rPr>
        <w:t>附件</w:t>
      </w:r>
      <w:bookmarkEnd w:id="40"/>
      <w:bookmarkEnd w:id="41"/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>
      <w:pPr>
        <w:pStyle w:val="13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不适用</w:t>
      </w:r>
    </w:p>
    <w:p/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B3C57"/>
    <w:rsid w:val="2D394A90"/>
    <w:rsid w:val="572C2A0F"/>
    <w:rsid w:val="5EA93E10"/>
    <w:rsid w:val="64580EBD"/>
    <w:rsid w:val="72B628D4"/>
    <w:rsid w:val="73FC7629"/>
    <w:rsid w:val="7AC9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footer"/>
    <w:basedOn w:val="1"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paragraph" w:customStyle="1" w:styleId="12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13">
    <w:name w:val="Text"/>
    <w:basedOn w:val="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paragraph" w:styleId="14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2022-02-22T03:49:00Z</dcterms:created>
  <dc:creator>Admin</dc:creator>
  <cp:lastModifiedBy>汪洋</cp:lastModifiedBy>
  <cp:lastPrinted>2022-02-23T03:25:00Z</cp:lastPrinted>
  <dcterms:modified xsi:type="dcterms:W3CDTF">2023-02-03T06:53:58Z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A9B96125507D431DAD8DFDCA141E50C9</vt:lpwstr>
  </property>
</Properties>
</file>