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1"/>
          <w:szCs w:val="21"/>
        </w:rPr>
      </w:pPr>
      <w:bookmarkStart w:id="0" w:name="_Toc483400307"/>
      <w:bookmarkStart w:id="1" w:name="_Toc482717189"/>
      <w:bookmarkStart w:id="2" w:name="_Toc483666358"/>
      <w:bookmarkStart w:id="3" w:name="_Toc483227223"/>
      <w:bookmarkStart w:id="4" w:name="_Toc484532399"/>
    </w:p>
    <w:p>
      <w:pPr>
        <w:spacing w:after="158" w:afterLines="50"/>
        <w:jc w:val="center"/>
        <w:rPr>
          <w:rFonts w:hint="eastAsia" w:ascii="宋体" w:hAnsi="宋体" w:eastAsia="宋体" w:cs="宋体"/>
          <w:b/>
          <w:sz w:val="21"/>
          <w:szCs w:val="21"/>
          <w:lang w:eastAsia="zh-CN"/>
        </w:rPr>
      </w:pPr>
      <w:permStart w:id="0" w:edGrp="everyone"/>
      <w:r>
        <w:rPr>
          <w:rFonts w:hint="eastAsia" w:ascii="宋体" w:hAnsi="宋体" w:eastAsia="宋体" w:cs="宋体"/>
          <w:b/>
          <w:color w:val="000000" w:themeColor="text1"/>
          <w:sz w:val="21"/>
          <w:szCs w:val="21"/>
          <w:lang w:eastAsia="zh-CN"/>
          <w14:textFill>
            <w14:solidFill>
              <w14:schemeClr w14:val="tx1"/>
            </w14:solidFill>
          </w14:textFill>
        </w:rPr>
        <w:t>膜完整性</w:t>
      </w:r>
      <w:r>
        <w:rPr>
          <w:rFonts w:hint="eastAsia" w:ascii="宋体" w:hAnsi="宋体" w:eastAsia="宋体" w:cs="宋体"/>
          <w:b/>
          <w:color w:val="000000" w:themeColor="text1"/>
          <w:sz w:val="21"/>
          <w:szCs w:val="21"/>
          <w:lang w:val="en-US" w:eastAsia="zh-CN"/>
          <w14:textFill>
            <w14:solidFill>
              <w14:schemeClr w14:val="tx1"/>
            </w14:solidFill>
          </w14:textFill>
        </w:rPr>
        <w:t>检测</w:t>
      </w:r>
      <w:r>
        <w:rPr>
          <w:rFonts w:hint="eastAsia" w:ascii="宋体" w:hAnsi="宋体" w:eastAsia="宋体" w:cs="宋体"/>
          <w:b/>
          <w:color w:val="000000" w:themeColor="text1"/>
          <w:sz w:val="21"/>
          <w:szCs w:val="21"/>
          <w:lang w:eastAsia="zh-CN"/>
          <w14:textFill>
            <w14:solidFill>
              <w14:schemeClr w14:val="tx1"/>
            </w14:solidFill>
          </w14:textFill>
        </w:rPr>
        <w:t>仪</w:t>
      </w:r>
      <w:permEnd w:id="0"/>
      <w:r>
        <w:rPr>
          <w:rFonts w:hint="eastAsia" w:ascii="宋体" w:hAnsi="宋体" w:eastAsia="宋体" w:cs="宋体"/>
          <w:b/>
          <w:sz w:val="21"/>
          <w:szCs w:val="21"/>
          <w:lang w:eastAsia="zh-CN"/>
        </w:rPr>
        <w:t>用户需求说明（URS</w:t>
      </w:r>
      <w:r>
        <w:rPr>
          <w:rFonts w:hint="eastAsia" w:ascii="宋体" w:hAnsi="宋体" w:eastAsia="宋体" w:cs="宋体"/>
          <w:b/>
          <w:sz w:val="21"/>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目录 </w:t>
      </w:r>
    </w:p>
    <w:p>
      <w:pPr>
        <w:pStyle w:val="15"/>
        <w:rPr>
          <w:rFonts w:hint="eastAsia" w:ascii="宋体" w:hAnsi="宋体" w:eastAsia="宋体" w:cs="宋体"/>
          <w:sz w:val="21"/>
          <w:szCs w:val="21"/>
        </w:rPr>
      </w:pPr>
      <w:permStart w:id="1" w:edGrp="everyone"/>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"1-2" \h \z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"_Toc13338" </w:instrText>
      </w:r>
      <w:r>
        <w:rPr>
          <w:rFonts w:hint="eastAsia" w:ascii="宋体" w:hAnsi="宋体" w:eastAsia="宋体" w:cs="宋体"/>
          <w:sz w:val="21"/>
          <w:szCs w:val="21"/>
        </w:rPr>
        <w:fldChar w:fldCharType="separate"/>
      </w:r>
      <w:r>
        <w:rPr>
          <w:rFonts w:hint="eastAsia" w:ascii="宋体" w:hAnsi="宋体" w:eastAsia="宋体" w:cs="宋体"/>
          <w:sz w:val="21"/>
          <w:szCs w:val="21"/>
        </w:rPr>
        <w:t>修订历史</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3</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"_Toc12261" </w:instrText>
      </w:r>
      <w:r>
        <w:rPr>
          <w:rFonts w:hint="eastAsia" w:ascii="宋体" w:hAnsi="宋体" w:eastAsia="宋体" w:cs="宋体"/>
          <w:sz w:val="21"/>
          <w:szCs w:val="21"/>
        </w:rPr>
        <w:fldChar w:fldCharType="separate"/>
      </w:r>
      <w:r>
        <w:rPr>
          <w:rFonts w:hint="eastAsia" w:ascii="宋体" w:hAnsi="宋体" w:eastAsia="宋体" w:cs="宋体"/>
          <w:sz w:val="21"/>
          <w:szCs w:val="21"/>
        </w:rPr>
        <w:t>1 目的</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4</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"_Toc27310" </w:instrText>
      </w:r>
      <w:r>
        <w:rPr>
          <w:rFonts w:hint="eastAsia" w:ascii="宋体" w:hAnsi="宋体" w:eastAsia="宋体" w:cs="宋体"/>
          <w:sz w:val="21"/>
          <w:szCs w:val="21"/>
        </w:rPr>
        <w:fldChar w:fldCharType="separate"/>
      </w:r>
      <w:r>
        <w:rPr>
          <w:rFonts w:hint="eastAsia" w:ascii="宋体" w:hAnsi="宋体" w:eastAsia="宋体" w:cs="宋体"/>
          <w:sz w:val="21"/>
          <w:szCs w:val="21"/>
        </w:rPr>
        <w:t>2 范围</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4</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"_Toc23115" </w:instrText>
      </w:r>
      <w:r>
        <w:rPr>
          <w:rFonts w:hint="eastAsia" w:ascii="宋体" w:hAnsi="宋体" w:eastAsia="宋体" w:cs="宋体"/>
          <w:sz w:val="21"/>
          <w:szCs w:val="21"/>
        </w:rPr>
        <w:fldChar w:fldCharType="separate"/>
      </w:r>
      <w:r>
        <w:rPr>
          <w:rFonts w:hint="eastAsia" w:ascii="宋体" w:hAnsi="宋体" w:eastAsia="宋体" w:cs="宋体"/>
          <w:sz w:val="21"/>
          <w:szCs w:val="21"/>
        </w:rPr>
        <w:t>3 参考文件</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4</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"_Toc27705" </w:instrText>
      </w:r>
      <w:r>
        <w:rPr>
          <w:rFonts w:hint="eastAsia" w:ascii="宋体" w:hAnsi="宋体" w:eastAsia="宋体" w:cs="宋体"/>
          <w:sz w:val="21"/>
          <w:szCs w:val="21"/>
        </w:rPr>
        <w:fldChar w:fldCharType="separate"/>
      </w:r>
      <w:r>
        <w:rPr>
          <w:rFonts w:hint="eastAsia" w:ascii="宋体" w:hAnsi="宋体" w:eastAsia="宋体" w:cs="宋体"/>
          <w:sz w:val="21"/>
          <w:szCs w:val="21"/>
        </w:rPr>
        <w:t>4 职责</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ab/>
      </w:r>
      <w:r>
        <w:rPr>
          <w:rFonts w:hint="eastAsia" w:ascii="宋体" w:hAnsi="宋体" w:eastAsia="宋体" w:cs="宋体"/>
          <w:sz w:val="21"/>
          <w:szCs w:val="21"/>
        </w:rPr>
        <w:t>5</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"_Toc4620" </w:instrText>
      </w:r>
      <w:r>
        <w:rPr>
          <w:rFonts w:hint="eastAsia" w:ascii="宋体" w:hAnsi="宋体" w:eastAsia="宋体" w:cs="宋体"/>
          <w:sz w:val="21"/>
          <w:szCs w:val="21"/>
        </w:rPr>
        <w:fldChar w:fldCharType="separate"/>
      </w:r>
      <w:r>
        <w:rPr>
          <w:rFonts w:hint="eastAsia" w:ascii="宋体" w:hAnsi="宋体" w:eastAsia="宋体" w:cs="宋体"/>
          <w:sz w:val="21"/>
          <w:szCs w:val="21"/>
        </w:rPr>
        <w:t>5 系统描述</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5</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"_Toc21488" </w:instrText>
      </w:r>
      <w:r>
        <w:rPr>
          <w:rFonts w:hint="eastAsia" w:ascii="宋体" w:hAnsi="宋体" w:eastAsia="宋体" w:cs="宋体"/>
          <w:sz w:val="21"/>
          <w:szCs w:val="21"/>
        </w:rPr>
        <w:fldChar w:fldCharType="separate"/>
      </w:r>
      <w:r>
        <w:rPr>
          <w:rFonts w:hint="eastAsia" w:ascii="宋体" w:hAnsi="宋体" w:eastAsia="宋体" w:cs="宋体"/>
          <w:sz w:val="21"/>
          <w:szCs w:val="21"/>
        </w:rPr>
        <w:t>6 安装要求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6</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"_Toc24988" </w:instrText>
      </w:r>
      <w:r>
        <w:rPr>
          <w:rFonts w:hint="eastAsia" w:ascii="宋体" w:hAnsi="宋体" w:eastAsia="宋体" w:cs="宋体"/>
          <w:sz w:val="21"/>
          <w:szCs w:val="21"/>
        </w:rPr>
        <w:fldChar w:fldCharType="separate"/>
      </w:r>
      <w:r>
        <w:rPr>
          <w:rFonts w:hint="eastAsia" w:ascii="宋体" w:hAnsi="宋体" w:eastAsia="宋体" w:cs="宋体"/>
          <w:sz w:val="21"/>
          <w:szCs w:val="21"/>
        </w:rPr>
        <w:t>7 运行要求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7</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"_Toc13883" </w:instrText>
      </w:r>
      <w:r>
        <w:rPr>
          <w:rFonts w:hint="eastAsia" w:ascii="宋体" w:hAnsi="宋体" w:eastAsia="宋体" w:cs="宋体"/>
          <w:sz w:val="21"/>
          <w:szCs w:val="21"/>
        </w:rPr>
        <w:fldChar w:fldCharType="separate"/>
      </w:r>
      <w:r>
        <w:rPr>
          <w:rFonts w:hint="eastAsia" w:ascii="宋体" w:hAnsi="宋体" w:eastAsia="宋体" w:cs="宋体"/>
          <w:sz w:val="21"/>
          <w:szCs w:val="21"/>
        </w:rPr>
        <w:t>8 电气、自动控制要求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9</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"_Toc6250" </w:instrText>
      </w:r>
      <w:r>
        <w:rPr>
          <w:rFonts w:hint="eastAsia" w:ascii="宋体" w:hAnsi="宋体" w:eastAsia="宋体" w:cs="宋体"/>
          <w:sz w:val="21"/>
          <w:szCs w:val="21"/>
        </w:rPr>
        <w:fldChar w:fldCharType="separate"/>
      </w:r>
      <w:r>
        <w:rPr>
          <w:rFonts w:hint="eastAsia" w:ascii="宋体" w:hAnsi="宋体" w:eastAsia="宋体" w:cs="宋体"/>
          <w:sz w:val="21"/>
          <w:szCs w:val="21"/>
        </w:rPr>
        <w:t>9 安全要求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11</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"_Toc1768" </w:instrText>
      </w:r>
      <w:r>
        <w:rPr>
          <w:rFonts w:hint="eastAsia" w:ascii="宋体" w:hAnsi="宋体" w:eastAsia="宋体" w:cs="宋体"/>
          <w:sz w:val="21"/>
          <w:szCs w:val="21"/>
        </w:rPr>
        <w:fldChar w:fldCharType="separate"/>
      </w:r>
      <w:r>
        <w:rPr>
          <w:rFonts w:hint="eastAsia" w:ascii="宋体" w:hAnsi="宋体" w:eastAsia="宋体" w:cs="宋体"/>
          <w:sz w:val="21"/>
          <w:szCs w:val="21"/>
        </w:rPr>
        <w:t>10 文件要求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12</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"_Toc7350" </w:instrText>
      </w:r>
      <w:r>
        <w:rPr>
          <w:rFonts w:hint="eastAsia" w:ascii="宋体" w:hAnsi="宋体" w:eastAsia="宋体" w:cs="宋体"/>
          <w:sz w:val="21"/>
          <w:szCs w:val="21"/>
        </w:rPr>
        <w:fldChar w:fldCharType="separate"/>
      </w:r>
      <w:r>
        <w:rPr>
          <w:rFonts w:hint="eastAsia" w:ascii="宋体" w:hAnsi="宋体" w:eastAsia="宋体" w:cs="宋体"/>
          <w:sz w:val="21"/>
          <w:szCs w:val="21"/>
        </w:rPr>
        <w:t>11 服务要求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14</w:t>
      </w:r>
    </w:p>
    <w:p>
      <w:pPr>
        <w:pStyle w:val="1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"_Toc5669" </w:instrText>
      </w:r>
      <w:r>
        <w:rPr>
          <w:rFonts w:hint="eastAsia" w:ascii="宋体" w:hAnsi="宋体" w:eastAsia="宋体" w:cs="宋体"/>
          <w:sz w:val="21"/>
          <w:szCs w:val="21"/>
        </w:rPr>
        <w:fldChar w:fldCharType="separate"/>
      </w:r>
      <w:r>
        <w:rPr>
          <w:rFonts w:hint="eastAsia" w:ascii="宋体" w:hAnsi="宋体" w:eastAsia="宋体" w:cs="宋体"/>
          <w:sz w:val="21"/>
          <w:szCs w:val="21"/>
        </w:rPr>
        <w:t>12 附件</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rPr>
        <w:t>16</w:t>
      </w:r>
    </w:p>
    <w:p>
      <w:pPr>
        <w:rPr>
          <w:rFonts w:hint="eastAsia" w:ascii="宋体" w:hAnsi="宋体" w:eastAsia="宋体" w:cs="宋体"/>
          <w:sz w:val="21"/>
          <w:szCs w:val="21"/>
        </w:rPr>
      </w:pPr>
      <w:r>
        <w:rPr>
          <w:rFonts w:hint="eastAsia" w:ascii="宋体" w:hAnsi="宋体" w:eastAsia="宋体" w:cs="宋体"/>
          <w:sz w:val="21"/>
          <w:szCs w:val="21"/>
        </w:rPr>
        <w:fldChar w:fldCharType="end"/>
      </w:r>
      <w:permEnd w:id="1"/>
    </w:p>
    <w:p>
      <w:pPr>
        <w:rPr>
          <w:rFonts w:hint="eastAsia" w:ascii="宋体" w:hAnsi="宋体" w:eastAsia="宋体" w:cs="宋体"/>
          <w:b/>
          <w:bCs/>
          <w:caps/>
          <w:kern w:val="2"/>
          <w:sz w:val="21"/>
          <w:szCs w:val="21"/>
          <w:lang w:eastAsia="zh-CN"/>
        </w:rPr>
      </w:pPr>
      <w:r>
        <w:rPr>
          <w:rFonts w:hint="eastAsia" w:ascii="宋体" w:hAnsi="宋体" w:eastAsia="宋体" w:cs="宋体"/>
          <w:b/>
          <w:bCs/>
          <w:caps/>
          <w:kern w:val="2"/>
          <w:sz w:val="21"/>
          <w:szCs w:val="21"/>
          <w:lang w:eastAsia="zh-CN"/>
        </w:rPr>
        <w:br w:type="page"/>
      </w:r>
    </w:p>
    <w:p>
      <w:pPr>
        <w:pStyle w:val="31"/>
        <w:numPr>
          <w:ilvl w:val="0"/>
          <w:numId w:val="3"/>
        </w:numPr>
        <w:spacing w:after="158" w:afterLines="50"/>
        <w:ind w:left="426" w:hanging="426" w:hangingChars="202"/>
        <w:outlineLvl w:val="0"/>
        <w:rPr>
          <w:rFonts w:hint="eastAsia" w:ascii="宋体" w:hAnsi="宋体" w:eastAsia="宋体" w:cs="宋体"/>
          <w:b/>
          <w:sz w:val="21"/>
          <w:szCs w:val="21"/>
        </w:rPr>
      </w:pPr>
      <w:bookmarkStart w:id="5" w:name="_Toc522107735"/>
      <w:bookmarkStart w:id="6" w:name="_Toc12261"/>
      <w:r>
        <w:rPr>
          <w:rFonts w:hint="eastAsia" w:ascii="宋体" w:hAnsi="宋体" w:eastAsia="宋体" w:cs="宋体"/>
          <w:b/>
          <w:sz w:val="21"/>
          <w:szCs w:val="21"/>
        </w:rPr>
        <w:t>目的</w:t>
      </w:r>
      <w:bookmarkEnd w:id="5"/>
      <w:bookmarkEnd w:id="6"/>
    </w:p>
    <w:p>
      <w:pPr>
        <w:pStyle w:val="41"/>
        <w:spacing w:before="0" w:line="360" w:lineRule="auto"/>
        <w:ind w:left="357"/>
        <w:jc w:val="left"/>
        <w:rPr>
          <w:rFonts w:hint="eastAsia" w:ascii="宋体" w:hAnsi="宋体" w:eastAsia="宋体" w:cs="宋体"/>
          <w:sz w:val="21"/>
          <w:szCs w:val="21"/>
          <w:lang w:eastAsia="zh-CN"/>
        </w:rPr>
      </w:pPr>
      <w:bookmarkStart w:id="7" w:name="_Toc482625279"/>
      <w:bookmarkStart w:id="8" w:name="_Toc482369805"/>
      <w:bookmarkStart w:id="9" w:name="_Toc482370349"/>
      <w:bookmarkStart w:id="10" w:name="_Toc482370061"/>
      <w:bookmarkStart w:id="11" w:name="_Toc482359936"/>
      <w:bookmarkStart w:id="12" w:name="_Toc482360281"/>
      <w:bookmarkStart w:id="13" w:name="_Toc481702475"/>
      <w:bookmarkStart w:id="14" w:name="_Toc482370757"/>
      <w:bookmarkStart w:id="15" w:name="_Toc482370141"/>
      <w:r>
        <w:rPr>
          <w:rFonts w:hint="eastAsia" w:ascii="宋体" w:hAnsi="宋体" w:eastAsia="宋体" w:cs="宋体"/>
          <w:sz w:val="21"/>
          <w:szCs w:val="21"/>
          <w:lang w:eastAsia="zh-CN"/>
        </w:rPr>
        <w:t>本文件的目的是描述武汉生物制品研究所有限责任公</w:t>
      </w:r>
      <w:r>
        <w:rPr>
          <w:rFonts w:hint="eastAsia" w:ascii="宋体" w:hAnsi="宋体" w:eastAsia="宋体" w:cs="宋体"/>
          <w:sz w:val="21"/>
          <w:szCs w:val="21"/>
          <w:lang w:eastAsia="zh-CN"/>
        </w:rPr>
        <w:t>司</w:t>
      </w:r>
      <w:permStart w:id="2" w:edGrp="everyone"/>
      <w:r>
        <w:rPr>
          <w:rFonts w:hint="eastAsia" w:ascii="宋体" w:hAnsi="宋体" w:eastAsia="宋体" w:cs="宋体"/>
          <w:sz w:val="21"/>
          <w:szCs w:val="21"/>
          <w:lang w:eastAsia="zh-CN"/>
        </w:rPr>
        <w:t>联苗车间膜完整性检测仪</w:t>
      </w:r>
      <w:permEnd w:id="2"/>
      <w:r>
        <w:rPr>
          <w:rFonts w:hint="eastAsia" w:ascii="宋体" w:hAnsi="宋体" w:eastAsia="宋体" w:cs="宋体"/>
          <w:sz w:val="21"/>
          <w:szCs w:val="21"/>
          <w:lang w:eastAsia="zh-CN"/>
        </w:rPr>
        <w:t>的</w:t>
      </w:r>
      <w:r>
        <w:rPr>
          <w:rFonts w:hint="eastAsia" w:ascii="宋体" w:hAnsi="宋体" w:eastAsia="宋体" w:cs="宋体"/>
          <w:sz w:val="21"/>
          <w:szCs w:val="21"/>
          <w:lang w:eastAsia="zh-CN"/>
        </w:rPr>
        <w:t>用户需求说明（URS），以确保最终用户的需求在项目设计阶段得以实现，并作为后续验证工作的基础。</w:t>
      </w:r>
    </w:p>
    <w:p>
      <w:pPr>
        <w:pStyle w:val="41"/>
        <w:spacing w:before="0"/>
        <w:ind w:left="360"/>
        <w:rPr>
          <w:rFonts w:hint="eastAsia" w:ascii="宋体" w:hAnsi="宋体" w:eastAsia="宋体" w:cs="宋体"/>
          <w:sz w:val="21"/>
          <w:szCs w:val="21"/>
          <w:lang w:eastAsia="zh-CN"/>
        </w:rPr>
      </w:pPr>
    </w:p>
    <w:p>
      <w:pPr>
        <w:pStyle w:val="31"/>
        <w:numPr>
          <w:ilvl w:val="0"/>
          <w:numId w:val="3"/>
        </w:numPr>
        <w:spacing w:after="158" w:afterLines="50"/>
        <w:ind w:left="426" w:hanging="426" w:hangingChars="202"/>
        <w:outlineLvl w:val="0"/>
        <w:rPr>
          <w:rFonts w:hint="eastAsia" w:ascii="宋体" w:hAnsi="宋体" w:eastAsia="宋体" w:cs="宋体"/>
          <w:b/>
          <w:sz w:val="21"/>
          <w:szCs w:val="21"/>
        </w:rPr>
      </w:pPr>
      <w:bookmarkStart w:id="16" w:name="_Toc522107736"/>
      <w:bookmarkStart w:id="17" w:name="_Toc27310"/>
      <w:r>
        <w:rPr>
          <w:rFonts w:hint="eastAsia" w:ascii="宋体" w:hAnsi="宋体" w:eastAsia="宋体" w:cs="宋体"/>
          <w:b/>
          <w:sz w:val="21"/>
          <w:szCs w:val="21"/>
        </w:rPr>
        <w:t>范围</w:t>
      </w:r>
      <w:bookmarkEnd w:id="16"/>
      <w:bookmarkEnd w:id="17"/>
    </w:p>
    <w:p>
      <w:pPr>
        <w:pStyle w:val="41"/>
        <w:spacing w:before="0" w:line="360" w:lineRule="auto"/>
        <w:ind w:left="357"/>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本URS适用于武汉生物制品研究所有限责任公司</w:t>
      </w:r>
      <w:permStart w:id="3" w:edGrp="everyone"/>
      <w:r>
        <w:rPr>
          <w:rFonts w:hint="eastAsia" w:ascii="宋体" w:hAnsi="宋体" w:eastAsia="宋体" w:cs="宋体"/>
          <w:sz w:val="21"/>
          <w:szCs w:val="21"/>
          <w:lang w:eastAsia="zh-CN"/>
        </w:rPr>
        <w:t>联苗车间膜完整性检测仪</w:t>
      </w:r>
      <w:permEnd w:id="3"/>
      <w:r>
        <w:rPr>
          <w:rFonts w:hint="eastAsia" w:ascii="宋体" w:hAnsi="宋体" w:eastAsia="宋体" w:cs="宋体"/>
          <w:sz w:val="21"/>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rFonts w:hint="eastAsia" w:ascii="宋体" w:hAnsi="宋体" w:eastAsia="宋体" w:cs="宋体"/>
          <w:sz w:val="21"/>
          <w:szCs w:val="21"/>
          <w:lang w:eastAsia="zh-CN"/>
        </w:rPr>
      </w:pPr>
    </w:p>
    <w:p>
      <w:pPr>
        <w:pStyle w:val="31"/>
        <w:numPr>
          <w:ilvl w:val="0"/>
          <w:numId w:val="3"/>
        </w:numPr>
        <w:spacing w:after="158" w:afterLines="50"/>
        <w:ind w:left="426" w:hanging="426" w:hangingChars="202"/>
        <w:outlineLvl w:val="0"/>
        <w:rPr>
          <w:rFonts w:hint="eastAsia" w:ascii="宋体" w:hAnsi="宋体" w:eastAsia="宋体" w:cs="宋体"/>
          <w:b/>
          <w:sz w:val="21"/>
          <w:szCs w:val="21"/>
        </w:rPr>
      </w:pPr>
      <w:bookmarkStart w:id="18" w:name="_Toc522107737"/>
      <w:bookmarkStart w:id="19" w:name="_Toc23115"/>
      <w:r>
        <w:rPr>
          <w:rFonts w:hint="eastAsia" w:ascii="宋体" w:hAnsi="宋体" w:eastAsia="宋体" w:cs="宋体"/>
          <w:b/>
          <w:sz w:val="21"/>
          <w:szCs w:val="21"/>
        </w:rPr>
        <w:t>参考文件</w:t>
      </w:r>
      <w:bookmarkEnd w:id="18"/>
      <w:bookmarkEnd w:id="19"/>
    </w:p>
    <w:p>
      <w:pPr>
        <w:pStyle w:val="41"/>
        <w:numPr>
          <w:ilvl w:val="0"/>
          <w:numId w:val="4"/>
        </w:numPr>
        <w:spacing w:before="0"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GMP法规指南和SOP</w:t>
      </w:r>
    </w:p>
    <w:p>
      <w:pPr>
        <w:pStyle w:val="41"/>
        <w:numPr>
          <w:ilvl w:val="0"/>
          <w:numId w:val="5"/>
        </w:numPr>
        <w:spacing w:before="0" w:line="360" w:lineRule="auto"/>
        <w:ind w:left="777"/>
        <w:jc w:val="left"/>
        <w:rPr>
          <w:rFonts w:hint="eastAsia" w:ascii="宋体" w:hAnsi="宋体" w:eastAsia="宋体" w:cs="宋体"/>
          <w:color w:val="4472C4"/>
          <w:sz w:val="21"/>
          <w:szCs w:val="21"/>
          <w:lang w:eastAsia="zh-CN"/>
        </w:rPr>
      </w:pPr>
      <w:r>
        <w:rPr>
          <w:rFonts w:hint="eastAsia" w:ascii="宋体" w:hAnsi="宋体" w:eastAsia="宋体" w:cs="宋体"/>
          <w:color w:val="000000"/>
          <w:sz w:val="21"/>
          <w:szCs w:val="21"/>
          <w:lang w:eastAsia="zh-CN"/>
        </w:rPr>
        <w:t>SOP-06-12-0005 用户需求编写审批SOP</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permStart w:id="4" w:edGrp="everyone"/>
      <w:r>
        <w:rPr>
          <w:rFonts w:hint="eastAsia" w:ascii="宋体" w:hAnsi="宋体" w:eastAsia="宋体" w:cs="宋体"/>
          <w:color w:val="000000"/>
          <w:sz w:val="21"/>
          <w:szCs w:val="21"/>
          <w:lang w:eastAsia="zh-CN"/>
        </w:rPr>
        <w:t>中国药典 2020年版</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ASME BPE—2016 </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国家标准及欧盟现行版GMP相关法规要求和准则，符合FDA 的要求</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GMP附件1《计算机化系统》（2015版）</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GMP附件2《确认与验证》（2015版）</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GAMP5</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21CFR Part 11    符合数据完整性相关法规要求</w:t>
      </w:r>
    </w:p>
    <w:permEnd w:id="4"/>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安全及环保法规指南</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permStart w:id="5" w:edGrp="everyone"/>
      <w:r>
        <w:rPr>
          <w:rFonts w:hint="eastAsia" w:ascii="宋体" w:hAnsi="宋体" w:eastAsia="宋体" w:cs="宋体"/>
          <w:color w:val="000000"/>
          <w:sz w:val="21"/>
          <w:szCs w:val="21"/>
          <w:lang w:eastAsia="zh-CN"/>
        </w:rPr>
        <w:t>电气安全应符合GB4793.1和GB4793.4的要求</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涉及EUL的科室，需增加WHO、欧盟相关具体法规</w:t>
      </w:r>
    </w:p>
    <w:p>
      <w:pPr>
        <w:pStyle w:val="41"/>
        <w:numPr>
          <w:ilvl w:val="0"/>
          <w:numId w:val="5"/>
        </w:numPr>
        <w:spacing w:before="0" w:line="360" w:lineRule="auto"/>
        <w:ind w:left="777"/>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文件包括但不限于以上文件，所有文件以最新现行版为准</w:t>
      </w:r>
    </w:p>
    <w:permEnd w:id="5"/>
    <w:p>
      <w:pPr>
        <w:pStyle w:val="31"/>
        <w:numPr>
          <w:numId w:val="0"/>
        </w:numPr>
        <w:spacing w:after="158" w:afterLines="50"/>
        <w:outlineLvl w:val="0"/>
        <w:rPr>
          <w:rFonts w:hint="eastAsia" w:ascii="宋体" w:hAnsi="宋体" w:eastAsia="宋体" w:cs="宋体"/>
          <w:color w:val="000000"/>
          <w:sz w:val="21"/>
          <w:szCs w:val="21"/>
          <w:lang w:val="en-US" w:eastAsia="zh-CN" w:bidi="ar-SA"/>
        </w:rPr>
      </w:pPr>
      <w:bookmarkStart w:id="20" w:name="_Toc522107739"/>
      <w:permStart w:id="6" w:edGrp="everyone"/>
    </w:p>
    <w:permEnd w:id="6"/>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21" w:name="_Toc4620"/>
      <w:r>
        <w:rPr>
          <w:rFonts w:hint="eastAsia" w:ascii="宋体" w:hAnsi="宋体" w:eastAsia="宋体" w:cs="宋体"/>
          <w:color w:val="000000"/>
          <w:sz w:val="21"/>
          <w:szCs w:val="21"/>
          <w:lang w:val="en-US" w:eastAsia="zh-CN" w:bidi="ar-SA"/>
        </w:rPr>
        <w:t>系统描述</w:t>
      </w:r>
      <w:bookmarkEnd w:id="20"/>
      <w:bookmarkEnd w:id="21"/>
    </w:p>
    <w:p>
      <w:pPr>
        <w:pStyle w:val="41"/>
        <w:spacing w:before="0" w:line="360" w:lineRule="auto"/>
        <w:ind w:left="357"/>
        <w:jc w:val="left"/>
        <w:rPr>
          <w:rFonts w:hint="eastAsia" w:ascii="宋体" w:hAnsi="宋体" w:eastAsia="宋体" w:cs="宋体"/>
          <w:color w:val="000000"/>
          <w:sz w:val="21"/>
          <w:szCs w:val="21"/>
          <w:lang w:val="en-US" w:eastAsia="zh-CN" w:bidi="ar-SA"/>
        </w:rPr>
      </w:pPr>
      <w:permStart w:id="7" w:edGrp="everyone"/>
      <w:r>
        <w:rPr>
          <w:rFonts w:hint="eastAsia" w:ascii="宋体" w:hAnsi="宋体" w:eastAsia="宋体" w:cs="宋体"/>
          <w:color w:val="000000"/>
          <w:sz w:val="21"/>
          <w:szCs w:val="21"/>
          <w:lang w:val="en-US" w:eastAsia="zh-CN" w:bidi="ar-SA"/>
        </w:rPr>
        <w:t xml:space="preserve">联苗大楼车间需要购买6台膜完整性检测仪，用于完整性测试。    </w:t>
      </w:r>
      <w:permEnd w:id="7"/>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22" w:name="_Toc21488"/>
      <w:r>
        <w:rPr>
          <w:rFonts w:hint="eastAsia" w:ascii="宋体" w:hAnsi="宋体" w:eastAsia="宋体" w:cs="宋体"/>
          <w:color w:val="000000"/>
          <w:sz w:val="21"/>
          <w:szCs w:val="21"/>
          <w:lang w:val="en-US" w:eastAsia="zh-CN" w:bidi="ar-SA"/>
        </w:rPr>
        <w:t>安装要求</w:t>
      </w:r>
      <w:bookmarkEnd w:id="22"/>
      <w:permStart w:id="8" w:edGrp="everyone"/>
      <w:permEnd w:id="8"/>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bookmarkStart w:id="23" w:name="OLE_LINK2"/>
            <w:bookmarkStart w:id="24" w:name="OLE_LINK1"/>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9"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联苗大楼车间</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0"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设备的形式尺寸应符合制造商说明书及技术文件规定的要求。</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供应商必须给出设备选型方案及相应附件选型方案，并交给我公司使用部门及工程类部门审核。</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1"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 其重量不超出房间工作台面承重要求</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ermStart w:id="12" w:edGrp="everyone"/>
            <w:permEnd w:id="12"/>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3"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正压：6-8bar</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ermStart w:id="14" w:edGrp="everyone"/>
            <w:permEnd w:id="14"/>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5"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工作环境温度：能适应10℃～32℃环境 </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6"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工作环境湿度：至少包括45%～65%</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7"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工作环境洁净级别：D级及以上</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8"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交流电电源：100-220V，50Hz/60Hz。</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19"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膜完整性检测仪外观应端正、整齐，不得有明显的偏歪、毛刺和锈蚀等缺陷，无冷却风扇，不影响洁净室内的空气质量</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膜完整性检测仪设计紧凑，全机设计防水和防溅水设计，仪器防尘防水等级需达到IP54级别以上</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防爆，能够安全检测酒精润湿后的过滤器</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设备具备防腐蚀设计，要求设备外表面可以使用75%酒精、杀孢子剂、酸性、碱性苯酚等消毒剂，且不被腐蚀侵蚀。</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内部管路可耐受NaOH溶液及异丙醇溶液。</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仪器气路及电路为完全分开设计，设备进水不会对电路造成任何影响。仪器所有外置连接口为全防水设计，可以防水喷溅</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膜完整性检测仪内部的电子部件和热敏感启动元件之间是热绝缘的，防止由于机器自身产热对完整性测试结果的影响</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膜完整性检测仪要求配置彩色触摸屏幕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spacing w:line="360" w:lineRule="auto"/>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仪器所有外置连接口为全防水设计，可以防水喷溅</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设备外表面不得有凹陷、毛刺和锈蚀等缺陷</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标识：至少应有以下永久贴牢和清楚易认的标识： </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（1）制造/供应单位；</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（2）产品注册号；</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（3）型号；</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（4）生产日期或编号；</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（5）对设备必要的说明；</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（6）安全标识。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bookmarkEnd w:id="23"/>
      <w:bookmarkEnd w:id="24"/>
      <w:permEnd w:id="19"/>
    </w:tbl>
    <w:p>
      <w:pPr>
        <w:pStyle w:val="31"/>
        <w:spacing w:after="158" w:afterLines="50"/>
        <w:ind w:left="425" w:firstLine="0" w:firstLineChars="0"/>
        <w:rPr>
          <w:rFonts w:hint="eastAsia" w:ascii="宋体" w:hAnsi="宋体" w:eastAsia="宋体" w:cs="宋体"/>
          <w:color w:val="000000"/>
          <w:sz w:val="21"/>
          <w:szCs w:val="21"/>
          <w:lang w:val="en-US" w:eastAsia="zh-CN" w:bidi="ar-SA"/>
        </w:rPr>
      </w:pPr>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25" w:name="_Toc522107740"/>
      <w:bookmarkStart w:id="26" w:name="_Toc24988"/>
      <w:r>
        <w:rPr>
          <w:rFonts w:hint="eastAsia" w:ascii="宋体" w:hAnsi="宋体" w:eastAsia="宋体" w:cs="宋体"/>
          <w:color w:val="000000"/>
          <w:sz w:val="21"/>
          <w:szCs w:val="21"/>
          <w:lang w:val="en-US" w:eastAsia="zh-CN" w:bidi="ar-SA"/>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permStart w:id="20" w:edGrp="everyone"/>
            <w:permEnd w:id="20"/>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shd w:val="clear" w:color="auto" w:fill="D7D7D7" w:themeFill="background1" w:themeFillShade="D8"/>
              <w:ind w:left="1236" w:firstLine="0" w:firstLineChars="0"/>
              <w:rPr>
                <w:rFonts w:hint="eastAsia" w:ascii="宋体" w:hAnsi="宋体" w:eastAsia="宋体" w:cs="宋体"/>
                <w:color w:val="000000"/>
                <w:sz w:val="21"/>
                <w:szCs w:val="21"/>
                <w:lang w:val="en-US" w:eastAsia="zh-CN" w:bidi="ar-SA"/>
              </w:rPr>
            </w:pPr>
            <w:permStart w:id="21" w:edGrp="everyone"/>
          </w:p>
        </w:tc>
        <w:tc>
          <w:tcPr>
            <w:tcW w:w="9253" w:type="dxa"/>
            <w:gridSpan w:val="2"/>
            <w:shd w:val="clear" w:color="auto" w:fill="auto"/>
            <w:vAlign w:val="center"/>
          </w:tcPr>
          <w:p>
            <w:pP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ind w:left="1236" w:firstLine="0" w:firstLineChars="0"/>
              <w:rPr>
                <w:rFonts w:hint="eastAsia" w:ascii="宋体" w:hAnsi="宋体" w:eastAsia="宋体" w:cs="宋体"/>
                <w:color w:val="000000"/>
                <w:sz w:val="21"/>
                <w:szCs w:val="21"/>
                <w:lang w:val="en-US" w:eastAsia="zh-CN" w:bidi="ar-SA"/>
              </w:rPr>
            </w:pPr>
            <w:permStart w:id="22" w:edGrp="everyone"/>
          </w:p>
        </w:tc>
        <w:tc>
          <w:tcPr>
            <w:tcW w:w="9253" w:type="dxa"/>
            <w:gridSpan w:val="2"/>
            <w:shd w:val="clear" w:color="auto" w:fill="auto"/>
            <w:vAlign w:val="center"/>
          </w:tcPr>
          <w:p>
            <w:pP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N/A（如科室对设备效率产能方面有其他要求，请按实际情况填写）</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3"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水侵入测试精度波动:±5%范围内</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水</w:t>
            </w:r>
            <w:permEnd w:id="23"/>
            <w:permStart w:id="24"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水侵入测试压力：50-6500mbar或范围更广</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5"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水侵入测试测量范围: 0.03-50 ml/min或范围更广</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6"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电脑屏幕尺寸:  不小于8寸</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7"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打印记录日常环境下保存时限:  大于5年</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8"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噪音:  仪器在正常运行时距离仪器1米的范围内噪音不大于75dB</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29"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设备运行压力:  最大8000mbar</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0"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压力降测试法压力变化精度:  ≤±0.1%全量程</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1"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扩散流测试压力：50-6600mbar</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2"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扩散流测试范:  0.01-4800ml/min或更广</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3"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扩散流测试测量精度:  ≤±5%</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4"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泡点测试测量范围:  400-6500mbar或更广</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5"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泡点法测试精度:  ± 50 mbar</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6"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净体积测定偏差:  ≤± 4%</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7"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运行温度:  0°C 到40°C</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8"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保存温度:  -10°C 到60°C</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39"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湿度: 0%- 80%相对湿度 ，无冷凝</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0"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设备可对常用品牌的空气滤芯及液体滤芯进行完整性测试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仪器应能对密理博、PALL、赛多利斯等主流品牌的过滤器进行完整性检测，同时能与这些品牌的过滤器套筒直接对接</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设备应满足根据需要可配备相应接头，例如小型盘式滤芯测试的接头等。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支持常用的传统检验方法，不少于泡点法、扩散流法、WIT水侵入法。</w:t>
            </w:r>
          </w:p>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满足用户的特定检验方法：   </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水侵入测试：测试过程中水位的变化不会影响结果的精度</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仪器带有对自身进行CIP功能，并且具备对仪器自身管路进行吹干功能。检测完成后，仪器应能自动泄压。</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设备具备自动打印功能，打印过程中尽可能不产生微粒并且所使用的打印纸为市场上常用的规格，打印记录在日常环境下能较长期保存。</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0"/>
    </w:tbl>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27" w:name="_Toc13883"/>
      <w:bookmarkStart w:id="28" w:name="_Toc522107742"/>
      <w:bookmarkStart w:id="29" w:name="_Toc482625289"/>
      <w:bookmarkStart w:id="30" w:name="_Toc482359946"/>
      <w:bookmarkStart w:id="31" w:name="_Toc483227237"/>
      <w:bookmarkStart w:id="32" w:name="_Toc482370359"/>
      <w:bookmarkStart w:id="33" w:name="_Toc482370071"/>
      <w:bookmarkStart w:id="34" w:name="_Toc481702480"/>
      <w:bookmarkStart w:id="35" w:name="_Toc482370151"/>
      <w:bookmarkStart w:id="36" w:name="_Toc482370767"/>
      <w:bookmarkStart w:id="37" w:name="_Toc482369815"/>
      <w:bookmarkStart w:id="38" w:name="_Toc482717202"/>
      <w:bookmarkStart w:id="39" w:name="_Toc482360291"/>
      <w:bookmarkStart w:id="40" w:name="_Toc483400317"/>
      <w:r>
        <w:rPr>
          <w:rFonts w:hint="eastAsia" w:ascii="宋体" w:hAnsi="宋体" w:eastAsia="宋体" w:cs="宋体"/>
          <w:color w:val="000000"/>
          <w:sz w:val="21"/>
          <w:szCs w:val="21"/>
          <w:lang w:val="en-US" w:eastAsia="zh-CN" w:bidi="ar-SA"/>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permStart w:id="41" w:edGrp="everyone"/>
            <w:permEnd w:id="41"/>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2" w:edGrp="everyone"/>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采用微机式电脑作为平台，减少操作难度，降低对人的依赖。屏幕要求为彩色显示屏，界面便于操作。操作界面及程序输入简单，有防错误程序输入功能</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3" w:edGrp="everyone"/>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设备操作系统必须为正版，且功能齐全的版本，若为Windows，则必须为专业版。</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4" w:edGrp="everyone"/>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设备运行程序简洁，程序可显示、记录、打印检测过程中的数据及曲线</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5" w:edGrp="everyone"/>
          </w:p>
        </w:tc>
        <w:tc>
          <w:tcPr>
            <w:tcW w:w="7128" w:type="dxa"/>
            <w:shd w:val="clear" w:color="auto" w:fill="auto"/>
            <w:vAlign w:val="center"/>
          </w:tcPr>
          <w:p>
            <w:pPr>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具备完整性检测前的设备自身检查功能，可检测仪器整个系统是否处于正常工作状态（包括仪器保压性能等），并能对存在的问题自动排查、修复，并通过屏幕显示设备状态、相关故障相关信息及对应故障的解决方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关键 </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6"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具有检验设置参数、设备运行参数（机械、电气）、批生产数据及统计参数、报警记录、审计追踪记录、权限配置表等所有数据记录的查询、打印、传输、下载、储存、备份恢复等功能；仪器储存数据能力应满足所有检测相关原始记录存储至我公司规定的数据存储年限，产品生产相关监测原始数据至少存储至产品有效期后一年。存储、输出和备份的原始记录应为不可修改格式，可采用名称、时间段、类型等多种方式对原始数据进行查询。</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7" w:edGrp="everyone"/>
          </w:p>
        </w:tc>
        <w:tc>
          <w:tcPr>
            <w:tcW w:w="7128" w:type="dxa"/>
            <w:shd w:val="clear" w:color="auto" w:fill="auto"/>
            <w:vAlign w:val="center"/>
          </w:tcPr>
          <w:p>
            <w:pPr>
              <w:pStyle w:val="6"/>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备份、恢复记录与原始电子记录一致</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8" w:edGrp="everyone"/>
          </w:p>
        </w:tc>
        <w:tc>
          <w:tcPr>
            <w:tcW w:w="7128" w:type="dxa"/>
            <w:shd w:val="clear" w:color="auto" w:fill="auto"/>
            <w:vAlign w:val="center"/>
          </w:tcPr>
          <w:p>
            <w:pPr>
              <w:pStyle w:val="6"/>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断电恢复不影响设置，断电前存储的电子记录不丢失</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49" w:edGrp="everyone"/>
          </w:p>
        </w:tc>
        <w:tc>
          <w:tcPr>
            <w:tcW w:w="7128" w:type="dxa"/>
            <w:shd w:val="clear" w:color="auto" w:fill="auto"/>
            <w:vAlign w:val="center"/>
          </w:tcPr>
          <w:p>
            <w:pPr>
              <w:pStyle w:val="6"/>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系统时间为北京时区时间，与标准北京时间对比偏差≤5S/24h</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0" w:edGrp="everyone"/>
          </w:p>
        </w:tc>
        <w:tc>
          <w:tcPr>
            <w:tcW w:w="7128" w:type="dxa"/>
            <w:shd w:val="clear" w:color="auto" w:fill="auto"/>
            <w:vAlign w:val="center"/>
          </w:tcPr>
          <w:p>
            <w:pP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仪器软件具有至少3级用户分层权限管理及密码管理的功能</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仪器软件应可以设置多个用户，并有用户分级管理功能，每个等级拥有相应的可设置权限</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系统应可以为每个用户创建唯一的用户名和密码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系统应不允许两个或多个用户拥有相同的用户名</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应有权限功能防止系统时间被更改</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屏幕显示的结果、存储的记录与打印报告或记录结果应是一致的</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用户在密码输入时，电脑显示器上应不显示实际密码（比如密码会以*或其他符合显示）</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系统管理员应可以重置密码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pStyle w:val="6"/>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系统应可以设置8位数以上密码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应有安全保护以防止未授权的用户账号和密码进行使用，比如3次无效登录尝试后将锁定账户等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系统管理员应可以激活锁住的账户</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系统应可以允许用户或管理员更改自己的密码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具有检验设置参数、设备运行参数（机械、电气）、批生产数据及统计参数、报警记录、审计追踪记录、权限配置表等所有数据记录的查询、打印、传输、下载、储存、备份恢复等功能；仪器储存数据能力应满足所有检测相关原始记录存储至我公司规定的数据存储年限，产品生产相关监测原始数据至少存储至产品有效期后一年。存储、输出和备份的原始记录应为不可修改格式，可采用名称、时间段、类型等多种方式对原始数据进行查询。设备配有相应的导出接口，如USB接口或SD卡接口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具备日志审计追踪功能，对所有系统和安全的事件、关键操作进行追踪，比如登录登出、密码更改、方法参数更改、权限配置、系统设置、记录删除，及相应操作人员、日期时间。审计追踪记录可自动存储为不可修改格式。</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系统应可以新增、修改和禁用账户，这些权限应可被系统管理员禁用。</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应有控制措施以防止电子记录从应用软件外面被修改或删除。</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报告或结果记录格式应包含以下内容：日期，名称，运行时间，产品名称，运行号等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报告或结果记录应为只读的格式</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使用者应不能修改测试结果</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供应商提供程序备份恢复策略，提供系统及程序备份盘及备份恢复说明</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供应商提供备份电子记录读取策略，必要时提供相关程序</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端口和协议免费开放，满足信息化数据的采集要求，且质保期内供应商免费提供系统接入服务技术支持。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0"/>
    </w:tbl>
    <w:p>
      <w:pPr>
        <w:spacing w:after="158" w:afterLines="50"/>
        <w:rPr>
          <w:rFonts w:hint="eastAsia" w:ascii="宋体" w:hAnsi="宋体" w:eastAsia="宋体" w:cs="宋体"/>
          <w:color w:val="000000"/>
          <w:sz w:val="21"/>
          <w:szCs w:val="21"/>
          <w:lang w:val="en-US" w:eastAsia="zh-CN" w:bidi="ar-SA"/>
        </w:rPr>
      </w:pPr>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41" w:name="_Toc6250"/>
      <w:r>
        <w:rPr>
          <w:rFonts w:hint="eastAsia" w:ascii="宋体" w:hAnsi="宋体" w:eastAsia="宋体" w:cs="宋体"/>
          <w:color w:val="000000"/>
          <w:sz w:val="21"/>
          <w:szCs w:val="21"/>
          <w:lang w:val="en-US" w:eastAsia="zh-CN" w:bidi="ar-SA"/>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permStart w:id="51" w:edGrp="everyone"/>
            <w:permEnd w:id="51"/>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10"/>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ind w:left="1236" w:firstLine="0" w:firstLineChars="0"/>
              <w:rPr>
                <w:rFonts w:hint="eastAsia" w:ascii="宋体" w:hAnsi="宋体" w:eastAsia="宋体" w:cs="宋体"/>
                <w:color w:val="000000"/>
                <w:sz w:val="21"/>
                <w:szCs w:val="21"/>
                <w:lang w:val="en-US" w:eastAsia="zh-CN" w:bidi="ar-SA"/>
              </w:rPr>
            </w:pPr>
            <w:permStart w:id="52" w:edGrp="everyone"/>
          </w:p>
        </w:tc>
        <w:tc>
          <w:tcPr>
            <w:tcW w:w="9253" w:type="dxa"/>
            <w:gridSpan w:val="2"/>
            <w:shd w:val="clear" w:color="auto" w:fill="auto"/>
            <w:vAlign w:val="center"/>
          </w:tcPr>
          <w:p>
            <w:pP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N/A（如科室对密封连锁及压力保护方面有其他要求，请按实际情况填写）</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hint="eastAsia" w:ascii="宋体" w:hAnsi="宋体" w:eastAsia="宋体" w:cs="宋体"/>
                <w:color w:val="000000"/>
                <w:sz w:val="21"/>
                <w:szCs w:val="21"/>
                <w:lang w:val="en-US" w:eastAsia="zh-CN" w:bidi="ar-SA"/>
              </w:rPr>
            </w:pPr>
            <w:permStart w:id="53" w:edGrp="everyone"/>
            <w:permEnd w:id="53"/>
          </w:p>
        </w:tc>
        <w:tc>
          <w:tcPr>
            <w:tcW w:w="7128" w:type="dxa"/>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电气保护</w:t>
            </w:r>
          </w:p>
        </w:tc>
        <w:tc>
          <w:tcPr>
            <w:tcW w:w="2125" w:type="dxa"/>
            <w:shd w:val="clear" w:color="auto" w:fill="D9D9D9"/>
            <w:vAlign w:val="center"/>
          </w:tcPr>
          <w:p>
            <w:pPr>
              <w:jc w:val="both"/>
              <w:rPr>
                <w:rFonts w:hint="eastAsia" w:ascii="宋体" w:hAnsi="宋体" w:eastAsia="宋体" w:cs="宋体"/>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4"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电气安全应符合GB4793.1和GB4793.4的要求</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5"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电磁兼容性应符合GB/T18268—2000的要求</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仪器要有漏电保护功能</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5"/>
    </w:tbl>
    <w:p>
      <w:pPr>
        <w:rPr>
          <w:rFonts w:hint="eastAsia" w:ascii="宋体" w:hAnsi="宋体" w:eastAsia="宋体" w:cs="宋体"/>
          <w:color w:val="000000"/>
          <w:sz w:val="21"/>
          <w:szCs w:val="21"/>
          <w:lang w:val="en-US" w:eastAsia="zh-CN" w:bidi="ar-SA"/>
        </w:rPr>
      </w:pPr>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42" w:name="_Toc522107743"/>
      <w:bookmarkStart w:id="43" w:name="_Toc1768"/>
      <w:r>
        <w:rPr>
          <w:rFonts w:hint="eastAsia" w:ascii="宋体" w:hAnsi="宋体" w:eastAsia="宋体" w:cs="宋体"/>
          <w:color w:val="000000"/>
          <w:sz w:val="21"/>
          <w:szCs w:val="21"/>
          <w:lang w:val="en-US" w:eastAsia="zh-CN" w:bidi="ar-SA"/>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permStart w:id="56" w:edGrp="everyone"/>
            <w:permEnd w:id="56"/>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7"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OQ开始前提供：权限清单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8"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OQ开始前提供：报警清单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59"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 设备开箱验收提供：投标文件、合同及订单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0" w:edGrp="everyone"/>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设备开箱验收提供：卖方发运清单及相关检验报告</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设备开箱验收提供：系统功能配置清单&amp;说明，包含各组件名称、编号、型号、规格、品牌、材质等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设备开箱验收提供：设备标准技术文件</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不晚于IQ开始前提供：图纸：实物图；各种确认、维修等活动所需的电子版及打印版图纸、注释参考等；P&amp;ID图（至少是控制原理图）；图纸清单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不晚于IQ开始前提供：配件清单、易损件清单、备件、消耗品清单：包括名称、编号、对应厂家名称、生产地、规格及必要说明</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不晚于IQ开始前提供：设备厂家文件：出厂测试合格证、相关检测报告、各种标示</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设备开箱验收提供：设备操作手册（SOP）：语言为中文，应说明校准周期，并能提供校准服务（此项服务可付费）</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不晚于IQ开始前提供：第三方校验报告及计量证书</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设备开箱验收提供：安全报告</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设备开箱验收提供：各种必要的合格证，包括部件合格证、材质证书（写明材料有效期）</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不晚于IQ开始前提供：调试文件：调试计划、调试方案、设备测试记录，检测清单，测试报告，调试总结报告、现场验收报告等</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验证文件：</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（1）选型确认文件，包括风险评估；</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（2）安装确认及文件（IQ）；</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（3）运行确认及文件（OQ）；</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（4）性能确认及文件（PQ）。</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如只提供的厂家无法满足我方要求时需要另外起草文件，应满足我方验证要求。</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设备开箱验收提供：设备交付计划表</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设备开箱验收提供：使用操作说明书及维护保养说明（即运行及维护手册）3份</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设备开箱验收提供：提供设备及其零部件使用寿命清单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设备开箱验收提供：应有针对每一部件所作序号的简明图册，以便于维修人员查找和辩识。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不晚于IQ开始前提供：满足GEP要求的项目文件交付包。</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设备开箱验收提供：上述条款规定的文件需提供电子版，并在设备开箱验收时将最终批准的电子版及纸质版全套资料交工程技术部存档。</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tabs>
                <w:tab w:val="left" w:pos="1547"/>
              </w:tabs>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设备开箱验收提供：项目质量计划</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pStyle w:val="7"/>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文件具体要求：</w:t>
            </w:r>
          </w:p>
          <w:p>
            <w:pPr>
              <w:pStyle w:val="7"/>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（1）系统相关方案中，应明确本系统的配置、规格，并且通过分析阐述每一个系统环节的必要性；</w:t>
            </w:r>
          </w:p>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（2）标书中明确系统所有组件的品牌、材质、型号，并且注明每一个组件的保修期</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0"/>
    </w:tbl>
    <w:p>
      <w:pPr>
        <w:rPr>
          <w:rFonts w:hint="eastAsia" w:ascii="宋体" w:hAnsi="宋体" w:eastAsia="宋体" w:cs="宋体"/>
          <w:color w:val="000000"/>
          <w:sz w:val="21"/>
          <w:szCs w:val="21"/>
          <w:lang w:val="en-US" w:eastAsia="zh-CN" w:bidi="ar-SA"/>
        </w:rPr>
      </w:pPr>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44" w:name="_Toc7350"/>
      <w:r>
        <w:rPr>
          <w:rFonts w:hint="eastAsia" w:ascii="宋体" w:hAnsi="宋体" w:eastAsia="宋体" w:cs="宋体"/>
          <w:color w:val="000000"/>
          <w:sz w:val="21"/>
          <w:szCs w:val="21"/>
          <w:lang w:val="en-US" w:eastAsia="zh-CN" w:bidi="ar-SA"/>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color w:val="000000"/>
                <w:sz w:val="21"/>
                <w:szCs w:val="21"/>
                <w:lang w:val="en-US" w:eastAsia="zh-CN" w:bidi="ar-SA"/>
              </w:rPr>
            </w:pPr>
            <w:permStart w:id="61" w:edGrp="everyone"/>
            <w:permEnd w:id="61"/>
            <w:r>
              <w:rPr>
                <w:rFonts w:hint="eastAsia" w:ascii="宋体" w:hAnsi="宋体" w:eastAsia="宋体" w:cs="宋体"/>
                <w:color w:val="000000"/>
                <w:sz w:val="21"/>
                <w:szCs w:val="21"/>
                <w:lang w:val="en-US" w:eastAsia="zh-CN" w:bidi="ar-SA"/>
              </w:rPr>
              <w:t>编号</w:t>
            </w:r>
          </w:p>
        </w:tc>
        <w:tc>
          <w:tcPr>
            <w:tcW w:w="7128"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需求</w:t>
            </w:r>
          </w:p>
        </w:tc>
        <w:tc>
          <w:tcPr>
            <w:tcW w:w="2125" w:type="dxa"/>
            <w:shd w:val="clear" w:color="auto" w:fill="D9D9D9"/>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2"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设备供应商应免费对设备使用方人员进行全面培训（包括但不限于安全使用和应急处置措施的相关内容），包括对生产操作人员及设备维护、维修人员，并填写培训记录。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3"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4"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5"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设备运输在运输途中需做好防护措施，不得有任何损伤。</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6"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验证包括IQ、OQ、PQ（协助我方完成）</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7"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投标方按GMP规范和GAMP5相关规定完成IQ、OQ、PQ工作，并提供相应文件（文件必须无条件符合我所QA要求）。各验证工作开始前验证方案需经过本公司相关部门审核，并经质量保证部批准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8"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该完整性测试仪计算机化系统验证需与设备验证同步进行，其设备IQ、OQ、PQ文件中需包含对其计算机化系统的验证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69"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验证工作应按时保质完成，供应商需提供验证工作计划表</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0"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验证项目应包含法规要求的测试项目，以及本公司提出的测试项目</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1"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验证工作完成后，验证记录经本公司相关部门审核，并经质量保证部批准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2"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验收前，验证工作已成功完成，验证最终报告已经本公司相关部门审核，并经质量保证部批准</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3"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设备质保期从确认验收的阶段就开始计算。设备确认验收时，校验合格证应在效期内，且距效期应不少于6个月。</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4"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整机质保期至少一年，质保期内免费保修并免费更换主要配件（关键部件免费保修期至少三年），保修期后应提供良好的售后服务。</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5"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6"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7" w:edGrp="everyone"/>
          </w:p>
        </w:tc>
        <w:tc>
          <w:tcPr>
            <w:tcW w:w="7128" w:type="dxa"/>
            <w:shd w:val="clear" w:color="auto" w:fill="auto"/>
            <w:vAlign w:val="center"/>
          </w:tcPr>
          <w:p>
            <w:pPr>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厂家应提供合格的备件，用于设备相应部件的维修、更换</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hint="eastAsia" w:ascii="宋体" w:hAnsi="宋体" w:eastAsia="宋体" w:cs="宋体"/>
                <w:color w:val="000000"/>
                <w:sz w:val="21"/>
                <w:szCs w:val="21"/>
                <w:lang w:val="en-US" w:eastAsia="zh-CN" w:bidi="ar-SA"/>
              </w:rPr>
            </w:pPr>
          </w:p>
        </w:tc>
        <w:tc>
          <w:tcPr>
            <w:tcW w:w="9253" w:type="dxa"/>
            <w:gridSpan w:val="2"/>
            <w:shd w:val="clear" w:color="auto" w:fill="D9D9D9"/>
            <w:vAlign w:val="center"/>
          </w:tcPr>
          <w:p>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8"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货物到达买方使用现场后，由买卖双方共同验收，卖方工程师免费为买方提供调试</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ermStart w:id="79" w:edGrp="everyone"/>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供应商进厂安装需遵守安全和安装规定</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hint="eastAsia" w:ascii="宋体" w:hAnsi="宋体" w:eastAsia="宋体" w:cs="宋体"/>
                <w:color w:val="000000"/>
                <w:sz w:val="21"/>
                <w:szCs w:val="21"/>
                <w:lang w:val="en-US" w:eastAsia="zh-CN" w:bidi="ar-SA"/>
              </w:rPr>
            </w:pPr>
          </w:p>
        </w:tc>
        <w:tc>
          <w:tcPr>
            <w:tcW w:w="7128" w:type="dxa"/>
            <w:shd w:val="clear" w:color="auto" w:fill="auto"/>
            <w:vAlign w:val="center"/>
          </w:tcPr>
          <w:p>
            <w:pPr>
              <w:spacing w:line="276"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确认试车验收合格后，买卖双方签订验收报告</w:t>
            </w:r>
          </w:p>
        </w:tc>
        <w:tc>
          <w:tcPr>
            <w:tcW w:w="2125" w:type="dxa"/>
            <w:shd w:val="clear" w:color="auto" w:fill="auto"/>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关键</w:t>
            </w:r>
          </w:p>
        </w:tc>
      </w:tr>
      <w:permEnd w:id="79"/>
    </w:tbl>
    <w:p>
      <w:pPr>
        <w:rPr>
          <w:rFonts w:hint="eastAsia" w:ascii="宋体" w:hAnsi="宋体" w:eastAsia="宋体" w:cs="宋体"/>
          <w:color w:val="000000"/>
          <w:sz w:val="21"/>
          <w:szCs w:val="21"/>
          <w:lang w:val="en-US" w:eastAsia="zh-CN" w:bidi="ar-SA"/>
        </w:rPr>
      </w:pPr>
    </w:p>
    <w:p>
      <w:pPr>
        <w:pStyle w:val="31"/>
        <w:numPr>
          <w:ilvl w:val="0"/>
          <w:numId w:val="3"/>
        </w:numPr>
        <w:spacing w:after="158" w:afterLines="50"/>
        <w:ind w:left="426" w:hanging="424" w:hangingChars="202"/>
        <w:outlineLvl w:val="0"/>
        <w:rPr>
          <w:rFonts w:hint="eastAsia" w:ascii="宋体" w:hAnsi="宋体" w:eastAsia="宋体" w:cs="宋体"/>
          <w:color w:val="000000"/>
          <w:sz w:val="21"/>
          <w:szCs w:val="21"/>
          <w:lang w:val="en-US" w:eastAsia="zh-CN" w:bidi="ar-SA"/>
        </w:rPr>
      </w:pPr>
      <w:bookmarkStart w:id="45" w:name="_Toc5669"/>
      <w:bookmarkStart w:id="46" w:name="_Toc522107746"/>
      <w:r>
        <w:rPr>
          <w:rFonts w:hint="eastAsia" w:ascii="宋体" w:hAnsi="宋体" w:eastAsia="宋体" w:cs="宋体"/>
          <w:color w:val="000000"/>
          <w:sz w:val="21"/>
          <w:szCs w:val="21"/>
          <w:lang w:val="en-US" w:eastAsia="zh-CN" w:bidi="ar-SA"/>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jc w:val="left"/>
        <w:rPr>
          <w:rFonts w:hint="eastAsia" w:ascii="宋体" w:hAnsi="宋体" w:eastAsia="宋体" w:cs="宋体"/>
          <w:color w:val="4472C4"/>
          <w:sz w:val="21"/>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ËÎÌå">
    <w:altName w:val="Times New Roman"/>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7CCE2"/>
    <w:multiLevelType w:val="multilevel"/>
    <w:tmpl w:val="9937CCE2"/>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1554"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0"/>
  </w:num>
  <w:num w:numId="3">
    <w:abstractNumId w:val="7"/>
  </w:num>
  <w:num w:numId="4">
    <w:abstractNumId w:val="9"/>
  </w:num>
  <w:num w:numId="5">
    <w:abstractNumId w:val="6"/>
  </w:num>
  <w:num w:numId="6">
    <w:abstractNumId w:val="1"/>
  </w:num>
  <w:num w:numId="7">
    <w:abstractNumId w:val="5"/>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NjNjZTQ5NjIwYThhNjk0ZmU2Yzg3ZmQ5MmU0Zj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480"/>
    <w:rsid w:val="000D7C49"/>
    <w:rsid w:val="000E0DDB"/>
    <w:rsid w:val="000E17B5"/>
    <w:rsid w:val="000E41B5"/>
    <w:rsid w:val="000E51FF"/>
    <w:rsid w:val="000E5684"/>
    <w:rsid w:val="000E5B57"/>
    <w:rsid w:val="000F0B8B"/>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076AB"/>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16D6"/>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4399"/>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2C35"/>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8BA"/>
    <w:rsid w:val="0027137F"/>
    <w:rsid w:val="002723D2"/>
    <w:rsid w:val="002732E5"/>
    <w:rsid w:val="002745D9"/>
    <w:rsid w:val="00274823"/>
    <w:rsid w:val="0027577D"/>
    <w:rsid w:val="00275F43"/>
    <w:rsid w:val="002810E3"/>
    <w:rsid w:val="00282EAA"/>
    <w:rsid w:val="0028384D"/>
    <w:rsid w:val="0028525D"/>
    <w:rsid w:val="002860DB"/>
    <w:rsid w:val="0028660E"/>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0E8E"/>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508"/>
    <w:rsid w:val="00330D16"/>
    <w:rsid w:val="00330FFF"/>
    <w:rsid w:val="00331EA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0EDF"/>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2C29"/>
    <w:rsid w:val="003B354C"/>
    <w:rsid w:val="003B355B"/>
    <w:rsid w:val="003B4A5D"/>
    <w:rsid w:val="003B5047"/>
    <w:rsid w:val="003B6E29"/>
    <w:rsid w:val="003B73AB"/>
    <w:rsid w:val="003C02C6"/>
    <w:rsid w:val="003C03D7"/>
    <w:rsid w:val="003C0712"/>
    <w:rsid w:val="003C558E"/>
    <w:rsid w:val="003C6ECF"/>
    <w:rsid w:val="003C73BC"/>
    <w:rsid w:val="003D20E5"/>
    <w:rsid w:val="003D2243"/>
    <w:rsid w:val="003D3C09"/>
    <w:rsid w:val="003D464A"/>
    <w:rsid w:val="003D4EFF"/>
    <w:rsid w:val="003D5F4A"/>
    <w:rsid w:val="003D662C"/>
    <w:rsid w:val="003D77E5"/>
    <w:rsid w:val="003E49F8"/>
    <w:rsid w:val="003E4CA1"/>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3A5"/>
    <w:rsid w:val="00442B53"/>
    <w:rsid w:val="00443256"/>
    <w:rsid w:val="00444D2D"/>
    <w:rsid w:val="004510B1"/>
    <w:rsid w:val="00451450"/>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3C4F"/>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106"/>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488"/>
    <w:rsid w:val="00514EA4"/>
    <w:rsid w:val="00516BB4"/>
    <w:rsid w:val="00517A5D"/>
    <w:rsid w:val="00517E1E"/>
    <w:rsid w:val="005217E8"/>
    <w:rsid w:val="005220FE"/>
    <w:rsid w:val="005247DE"/>
    <w:rsid w:val="00530B8F"/>
    <w:rsid w:val="00531434"/>
    <w:rsid w:val="00531754"/>
    <w:rsid w:val="00531FCE"/>
    <w:rsid w:val="00534840"/>
    <w:rsid w:val="00534D08"/>
    <w:rsid w:val="00536973"/>
    <w:rsid w:val="00536C6B"/>
    <w:rsid w:val="00537A67"/>
    <w:rsid w:val="00544652"/>
    <w:rsid w:val="0054625B"/>
    <w:rsid w:val="00551539"/>
    <w:rsid w:val="00552EFE"/>
    <w:rsid w:val="00554ABB"/>
    <w:rsid w:val="0055552D"/>
    <w:rsid w:val="00555668"/>
    <w:rsid w:val="0055679E"/>
    <w:rsid w:val="0056090D"/>
    <w:rsid w:val="00561E9C"/>
    <w:rsid w:val="00565C28"/>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948"/>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5E4C"/>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E5E"/>
    <w:rsid w:val="00664084"/>
    <w:rsid w:val="0066445E"/>
    <w:rsid w:val="00667045"/>
    <w:rsid w:val="00670A00"/>
    <w:rsid w:val="00670C23"/>
    <w:rsid w:val="00672B86"/>
    <w:rsid w:val="00673031"/>
    <w:rsid w:val="00673EB3"/>
    <w:rsid w:val="00674AF1"/>
    <w:rsid w:val="00680BE8"/>
    <w:rsid w:val="0068557F"/>
    <w:rsid w:val="00686409"/>
    <w:rsid w:val="00686D19"/>
    <w:rsid w:val="0068777F"/>
    <w:rsid w:val="00693018"/>
    <w:rsid w:val="006A0059"/>
    <w:rsid w:val="006A7425"/>
    <w:rsid w:val="006B058A"/>
    <w:rsid w:val="006B1299"/>
    <w:rsid w:val="006B26D9"/>
    <w:rsid w:val="006B2871"/>
    <w:rsid w:val="006B310C"/>
    <w:rsid w:val="006B664C"/>
    <w:rsid w:val="006C1125"/>
    <w:rsid w:val="006C1C83"/>
    <w:rsid w:val="006C2D2C"/>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3784"/>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5B1"/>
    <w:rsid w:val="0073446D"/>
    <w:rsid w:val="007349FF"/>
    <w:rsid w:val="00734B45"/>
    <w:rsid w:val="00736FFB"/>
    <w:rsid w:val="00740080"/>
    <w:rsid w:val="00741A30"/>
    <w:rsid w:val="007504DC"/>
    <w:rsid w:val="0075142F"/>
    <w:rsid w:val="00751965"/>
    <w:rsid w:val="007524EF"/>
    <w:rsid w:val="00752689"/>
    <w:rsid w:val="0075533B"/>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20BE"/>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5540"/>
    <w:rsid w:val="00876468"/>
    <w:rsid w:val="008767E1"/>
    <w:rsid w:val="00876CC7"/>
    <w:rsid w:val="008823E4"/>
    <w:rsid w:val="008837C4"/>
    <w:rsid w:val="008849F3"/>
    <w:rsid w:val="00884E78"/>
    <w:rsid w:val="0088602F"/>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2ED4"/>
    <w:rsid w:val="008E41D3"/>
    <w:rsid w:val="008E43F1"/>
    <w:rsid w:val="008E4922"/>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14FA"/>
    <w:rsid w:val="00934991"/>
    <w:rsid w:val="009351A7"/>
    <w:rsid w:val="009426B9"/>
    <w:rsid w:val="00944E85"/>
    <w:rsid w:val="0094540D"/>
    <w:rsid w:val="0094634C"/>
    <w:rsid w:val="009463AB"/>
    <w:rsid w:val="00950239"/>
    <w:rsid w:val="00950332"/>
    <w:rsid w:val="00955899"/>
    <w:rsid w:val="00955A03"/>
    <w:rsid w:val="00957E06"/>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3CA"/>
    <w:rsid w:val="009D07A0"/>
    <w:rsid w:val="009D107D"/>
    <w:rsid w:val="009D1871"/>
    <w:rsid w:val="009D203E"/>
    <w:rsid w:val="009D2985"/>
    <w:rsid w:val="009D3033"/>
    <w:rsid w:val="009D5770"/>
    <w:rsid w:val="009D6AF5"/>
    <w:rsid w:val="009D6CF1"/>
    <w:rsid w:val="009D74BA"/>
    <w:rsid w:val="009E0874"/>
    <w:rsid w:val="009E1A16"/>
    <w:rsid w:val="009E2045"/>
    <w:rsid w:val="009E4A84"/>
    <w:rsid w:val="009E6973"/>
    <w:rsid w:val="009F0466"/>
    <w:rsid w:val="009F0908"/>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747"/>
    <w:rsid w:val="00A45DE9"/>
    <w:rsid w:val="00A47471"/>
    <w:rsid w:val="00A47E22"/>
    <w:rsid w:val="00A47ED0"/>
    <w:rsid w:val="00A509EA"/>
    <w:rsid w:val="00A51476"/>
    <w:rsid w:val="00A526D2"/>
    <w:rsid w:val="00A54412"/>
    <w:rsid w:val="00A5498B"/>
    <w:rsid w:val="00A550C8"/>
    <w:rsid w:val="00A5564C"/>
    <w:rsid w:val="00A559EC"/>
    <w:rsid w:val="00A56700"/>
    <w:rsid w:val="00A569F8"/>
    <w:rsid w:val="00A56E60"/>
    <w:rsid w:val="00A571B3"/>
    <w:rsid w:val="00A574E1"/>
    <w:rsid w:val="00A626B5"/>
    <w:rsid w:val="00A62DF0"/>
    <w:rsid w:val="00A6339F"/>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38F7"/>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014"/>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4F19"/>
    <w:rsid w:val="00BE51BB"/>
    <w:rsid w:val="00BE7ECD"/>
    <w:rsid w:val="00BF1682"/>
    <w:rsid w:val="00BF241A"/>
    <w:rsid w:val="00BF3AFB"/>
    <w:rsid w:val="00BF3DD2"/>
    <w:rsid w:val="00BF4344"/>
    <w:rsid w:val="00BF4C9A"/>
    <w:rsid w:val="00BF6970"/>
    <w:rsid w:val="00BF69C6"/>
    <w:rsid w:val="00C005D8"/>
    <w:rsid w:val="00C02F31"/>
    <w:rsid w:val="00C04DA5"/>
    <w:rsid w:val="00C050FC"/>
    <w:rsid w:val="00C05D40"/>
    <w:rsid w:val="00C11905"/>
    <w:rsid w:val="00C14462"/>
    <w:rsid w:val="00C16542"/>
    <w:rsid w:val="00C22382"/>
    <w:rsid w:val="00C226E4"/>
    <w:rsid w:val="00C2355B"/>
    <w:rsid w:val="00C23CDE"/>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251F"/>
    <w:rsid w:val="00CA55BD"/>
    <w:rsid w:val="00CB0837"/>
    <w:rsid w:val="00CB2BFA"/>
    <w:rsid w:val="00CB3888"/>
    <w:rsid w:val="00CB400E"/>
    <w:rsid w:val="00CB48F6"/>
    <w:rsid w:val="00CB5F04"/>
    <w:rsid w:val="00CB67F1"/>
    <w:rsid w:val="00CB6BF6"/>
    <w:rsid w:val="00CB7DC8"/>
    <w:rsid w:val="00CC0EC0"/>
    <w:rsid w:val="00CC34DB"/>
    <w:rsid w:val="00CC51AC"/>
    <w:rsid w:val="00CC609D"/>
    <w:rsid w:val="00CC7044"/>
    <w:rsid w:val="00CD11FF"/>
    <w:rsid w:val="00CD15E7"/>
    <w:rsid w:val="00CD6A5F"/>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3492"/>
    <w:rsid w:val="00D146D4"/>
    <w:rsid w:val="00D14B3C"/>
    <w:rsid w:val="00D14BA5"/>
    <w:rsid w:val="00D15D60"/>
    <w:rsid w:val="00D16580"/>
    <w:rsid w:val="00D20E20"/>
    <w:rsid w:val="00D21C3A"/>
    <w:rsid w:val="00D228DA"/>
    <w:rsid w:val="00D22E01"/>
    <w:rsid w:val="00D2350C"/>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2BE4"/>
    <w:rsid w:val="00D746C0"/>
    <w:rsid w:val="00D74723"/>
    <w:rsid w:val="00D749DA"/>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E7C02"/>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A9F"/>
    <w:rsid w:val="00E959EA"/>
    <w:rsid w:val="00E96237"/>
    <w:rsid w:val="00E965D7"/>
    <w:rsid w:val="00E96D30"/>
    <w:rsid w:val="00E97A27"/>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1BE9"/>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65C5"/>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3F2"/>
    <w:rsid w:val="00FD56FC"/>
    <w:rsid w:val="00FD752B"/>
    <w:rsid w:val="00FD7DD7"/>
    <w:rsid w:val="00FD7EB3"/>
    <w:rsid w:val="00FE033E"/>
    <w:rsid w:val="00FE0D2F"/>
    <w:rsid w:val="00FE124F"/>
    <w:rsid w:val="00FE2B97"/>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F7690C"/>
    <w:rsid w:val="078873EC"/>
    <w:rsid w:val="099700EE"/>
    <w:rsid w:val="0CFE015F"/>
    <w:rsid w:val="0D304438"/>
    <w:rsid w:val="0D7C2D97"/>
    <w:rsid w:val="0E075212"/>
    <w:rsid w:val="103C3A2A"/>
    <w:rsid w:val="14142199"/>
    <w:rsid w:val="164F244C"/>
    <w:rsid w:val="19F721D1"/>
    <w:rsid w:val="1B5302B4"/>
    <w:rsid w:val="1B6B0257"/>
    <w:rsid w:val="1BB31F84"/>
    <w:rsid w:val="1C9911BF"/>
    <w:rsid w:val="1E617369"/>
    <w:rsid w:val="26F32BFB"/>
    <w:rsid w:val="2747253A"/>
    <w:rsid w:val="290F2A2B"/>
    <w:rsid w:val="2AAD664D"/>
    <w:rsid w:val="2B381258"/>
    <w:rsid w:val="2C8B11EB"/>
    <w:rsid w:val="2F6340F7"/>
    <w:rsid w:val="30172310"/>
    <w:rsid w:val="301D7D0F"/>
    <w:rsid w:val="341E2520"/>
    <w:rsid w:val="34250D50"/>
    <w:rsid w:val="34AA49E1"/>
    <w:rsid w:val="39753550"/>
    <w:rsid w:val="3B14458A"/>
    <w:rsid w:val="3EDA7348"/>
    <w:rsid w:val="3EF93BAA"/>
    <w:rsid w:val="3F550EFF"/>
    <w:rsid w:val="402141CB"/>
    <w:rsid w:val="4416031D"/>
    <w:rsid w:val="47501D98"/>
    <w:rsid w:val="47526C95"/>
    <w:rsid w:val="47D73027"/>
    <w:rsid w:val="481F1051"/>
    <w:rsid w:val="492E6109"/>
    <w:rsid w:val="4BD023E4"/>
    <w:rsid w:val="4EE24F97"/>
    <w:rsid w:val="502B11CD"/>
    <w:rsid w:val="51711D29"/>
    <w:rsid w:val="51950234"/>
    <w:rsid w:val="521F5A88"/>
    <w:rsid w:val="57B478F7"/>
    <w:rsid w:val="585876EE"/>
    <w:rsid w:val="5E1319EE"/>
    <w:rsid w:val="634A2F00"/>
    <w:rsid w:val="63A30325"/>
    <w:rsid w:val="63B15EFD"/>
    <w:rsid w:val="645842FB"/>
    <w:rsid w:val="64EF1BBB"/>
    <w:rsid w:val="66887883"/>
    <w:rsid w:val="66A01003"/>
    <w:rsid w:val="67955170"/>
    <w:rsid w:val="67C26CC2"/>
    <w:rsid w:val="69664A14"/>
    <w:rsid w:val="69EB19DC"/>
    <w:rsid w:val="6A666AD0"/>
    <w:rsid w:val="6B321298"/>
    <w:rsid w:val="6CEE2395"/>
    <w:rsid w:val="70E260C0"/>
    <w:rsid w:val="713C0B14"/>
    <w:rsid w:val="717464F9"/>
    <w:rsid w:val="724B7801"/>
    <w:rsid w:val="73C445EE"/>
    <w:rsid w:val="77E91B2A"/>
    <w:rsid w:val="77EE5D7A"/>
    <w:rsid w:val="7B120190"/>
    <w:rsid w:val="7D6969F7"/>
    <w:rsid w:val="7E5E5C24"/>
    <w:rsid w:val="7E5F2737"/>
    <w:rsid w:val="7EAC4BBA"/>
    <w:rsid w:val="7F7D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character" w:customStyle="1" w:styleId="47">
    <w:name w:val="fontstyle01"/>
    <w:basedOn w:val="21"/>
    <w:qFormat/>
    <w:uiPriority w:val="0"/>
    <w:rPr>
      <w:rFonts w:ascii="ËÎÌå" w:hAnsi="ËÎÌå" w:eastAsia="ËÎÌå" w:cs="ËÎÌå"/>
      <w:color w:val="333333"/>
      <w:sz w:val="40"/>
      <w:szCs w:val="40"/>
    </w:rPr>
  </w:style>
  <w:style w:type="character" w:customStyle="1" w:styleId="48">
    <w:name w:val="fontstyle11"/>
    <w:basedOn w:val="21"/>
    <w:qFormat/>
    <w:uiPriority w:val="0"/>
    <w:rPr>
      <w:rFonts w:ascii="Arial" w:hAnsi="Arial" w:cs="Arial"/>
      <w:color w:val="333333"/>
      <w:sz w:val="40"/>
      <w:szCs w:val="40"/>
    </w:rPr>
  </w:style>
  <w:style w:type="paragraph" w:customStyle="1" w:styleId="49">
    <w:name w:val="修订2"/>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1076</Words>
  <Characters>6138</Characters>
  <Lines>51</Lines>
  <Paragraphs>14</Paragraphs>
  <TotalTime>16</TotalTime>
  <ScaleCrop>false</ScaleCrop>
  <LinksUpToDate>false</LinksUpToDate>
  <CharactersWithSpaces>7200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2022-08-25T16:59:00Z</dcterms:created>
  <dc:creator>Lilly</dc:creator>
  <cp:lastModifiedBy>汪洋</cp:lastModifiedBy>
  <cp:lastPrinted>2020-05-29T02:10:00Z</cp:lastPrinted>
  <dcterms:modified xsi:type="dcterms:W3CDTF">2023-02-16T01:40:56Z</dcterms:modified>
  <dc:title>生效期：</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8CD66DBD6C654B05ABDE1D019E72DF3A</vt:lpwstr>
  </property>
</Properties>
</file>