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Toc483227223"/>
      <w:bookmarkStart w:id="1" w:name="_Toc483666358"/>
      <w:bookmarkStart w:id="2" w:name="_Toc482717189"/>
      <w:bookmarkStart w:id="3" w:name="_Toc483400307"/>
      <w:bookmarkStart w:id="4" w:name="_Toc484532399"/>
    </w:p>
    <w:p>
      <w:pPr>
        <w:spacing w:after="158" w:afterLines="50"/>
        <w:jc w:val="center"/>
        <w:rPr>
          <w:b/>
          <w:szCs w:val="21"/>
          <w:lang w:eastAsia="zh-CN"/>
        </w:rPr>
      </w:pPr>
      <w:r>
        <w:rPr>
          <w:rFonts w:hint="eastAsia"/>
          <w:b/>
          <w:sz w:val="28"/>
          <w:szCs w:val="28"/>
          <w:lang w:val="en-US" w:eastAsia="zh-CN"/>
        </w:rPr>
        <w:t>轮状病毒疫苗室多功能微孔板检测仪</w:t>
      </w:r>
      <w:r>
        <w:rPr>
          <w:rFonts w:hint="eastAsia"/>
          <w:b/>
          <w:sz w:val="28"/>
          <w:szCs w:val="28"/>
          <w:lang w:eastAsia="zh-CN"/>
        </w:rPr>
        <w:t>用户需求说明（</w:t>
      </w:r>
      <w:r>
        <w:rPr>
          <w:b/>
          <w:sz w:val="28"/>
          <w:szCs w:val="28"/>
          <w:lang w:eastAsia="zh-CN"/>
        </w:rPr>
        <w:t>URS</w:t>
      </w:r>
      <w:bookmarkEnd w:id="0"/>
      <w:bookmarkEnd w:id="1"/>
      <w:bookmarkEnd w:id="2"/>
      <w:bookmarkEnd w:id="3"/>
      <w:bookmarkEnd w:id="4"/>
      <w:r>
        <w:rPr>
          <w:rFonts w:hint="eastAsia"/>
          <w:b/>
          <w:sz w:val="28"/>
          <w:szCs w:val="28"/>
          <w:lang w:eastAsia="zh-CN"/>
        </w:rPr>
        <w:t>）</w:t>
      </w:r>
    </w:p>
    <w:p>
      <w:pPr>
        <w:pStyle w:val="45"/>
        <w:keepNext w:val="0"/>
        <w:keepLines w:val="0"/>
        <w:widowControl w:val="0"/>
        <w:spacing w:after="158" w:afterLines="50" w:line="240" w:lineRule="auto"/>
        <w:jc w:val="center"/>
        <w:rPr>
          <w:sz w:val="21"/>
          <w:szCs w:val="21"/>
          <w:lang w:val="zh-CN" w:eastAsia="zh-CN"/>
        </w:rPr>
      </w:pPr>
      <w:r>
        <w:rPr>
          <w:rFonts w:hint="eastAsia"/>
          <w:sz w:val="21"/>
          <w:szCs w:val="21"/>
          <w:lang w:val="zh-CN" w:eastAsia="zh-CN"/>
        </w:rPr>
        <w:t>目录</w:t>
      </w:r>
      <w:r>
        <w:rPr>
          <w:sz w:val="21"/>
          <w:szCs w:val="21"/>
          <w:lang w:val="zh-CN" w:eastAsia="zh-CN"/>
        </w:rPr>
        <w:t xml:space="preserve"> </w:t>
      </w:r>
    </w:p>
    <w:p>
      <w:pPr>
        <w:rPr>
          <w:i/>
          <w:color w:val="00B0F0"/>
          <w:lang w:val="zh-CN" w:eastAsia="zh-CN"/>
        </w:rPr>
      </w:pPr>
    </w:p>
    <w:p>
      <w:pPr>
        <w:pStyle w:val="15"/>
        <w:rPr>
          <w:b w:val="0"/>
          <w:bCs w:val="0"/>
          <w:caps w:val="0"/>
          <w:szCs w:val="22"/>
        </w:rPr>
      </w:pPr>
      <w:r>
        <w:fldChar w:fldCharType="begin"/>
      </w:r>
      <w:r>
        <w:instrText xml:space="preserve"> TOC \o "1-2" \h \z \u </w:instrText>
      </w:r>
      <w:r>
        <w:fldChar w:fldCharType="separate"/>
      </w:r>
      <w:r>
        <w:fldChar w:fldCharType="begin"/>
      </w:r>
      <w:r>
        <w:instrText xml:space="preserve"> HYPERLINK \l "_Toc522716114" </w:instrText>
      </w:r>
      <w:r>
        <w:fldChar w:fldCharType="separate"/>
      </w:r>
      <w:r>
        <w:rPr>
          <w:rStyle w:val="23"/>
          <w:rFonts w:hint="eastAsia"/>
        </w:rPr>
        <w:t>修订历史</w:t>
      </w:r>
      <w:r>
        <w:tab/>
      </w:r>
      <w:r>
        <w:fldChar w:fldCharType="begin"/>
      </w:r>
      <w:r>
        <w:instrText xml:space="preserve"> PAGEREF _Toc522716114 \h </w:instrText>
      </w:r>
      <w:r>
        <w:fldChar w:fldCharType="separate"/>
      </w:r>
      <w:r>
        <w:t>3</w:t>
      </w:r>
      <w:r>
        <w:fldChar w:fldCharType="end"/>
      </w:r>
      <w:r>
        <w:fldChar w:fldCharType="end"/>
      </w:r>
    </w:p>
    <w:p>
      <w:pPr>
        <w:pStyle w:val="15"/>
        <w:rPr>
          <w:b w:val="0"/>
          <w:bCs w:val="0"/>
          <w:caps w:val="0"/>
          <w:szCs w:val="22"/>
        </w:rPr>
      </w:pPr>
      <w:r>
        <w:fldChar w:fldCharType="begin"/>
      </w:r>
      <w:r>
        <w:instrText xml:space="preserve"> HYPERLINK \l "_Toc522716115" </w:instrText>
      </w:r>
      <w:r>
        <w:fldChar w:fldCharType="separate"/>
      </w:r>
      <w:r>
        <w:rPr>
          <w:rStyle w:val="23"/>
        </w:rPr>
        <w:t>1</w:t>
      </w:r>
      <w:r>
        <w:rPr>
          <w:b w:val="0"/>
          <w:bCs w:val="0"/>
          <w:caps w:val="0"/>
          <w:szCs w:val="22"/>
        </w:rPr>
        <w:tab/>
      </w:r>
      <w:r>
        <w:rPr>
          <w:rStyle w:val="23"/>
          <w:rFonts w:hint="eastAsia"/>
        </w:rPr>
        <w:t>目的</w:t>
      </w:r>
      <w:r>
        <w:tab/>
      </w:r>
      <w:r>
        <w:fldChar w:fldCharType="begin"/>
      </w:r>
      <w:r>
        <w:instrText xml:space="preserve"> PAGEREF _Toc522716115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"_Toc522716116" </w:instrText>
      </w:r>
      <w:r>
        <w:fldChar w:fldCharType="separate"/>
      </w:r>
      <w:r>
        <w:rPr>
          <w:rStyle w:val="23"/>
        </w:rPr>
        <w:t>2</w:t>
      </w:r>
      <w:r>
        <w:rPr>
          <w:b w:val="0"/>
          <w:bCs w:val="0"/>
          <w:caps w:val="0"/>
          <w:szCs w:val="22"/>
        </w:rPr>
        <w:tab/>
      </w:r>
      <w:r>
        <w:rPr>
          <w:rStyle w:val="23"/>
          <w:rFonts w:hint="eastAsia"/>
        </w:rPr>
        <w:t>范围</w:t>
      </w:r>
      <w:r>
        <w:tab/>
      </w:r>
      <w:r>
        <w:fldChar w:fldCharType="begin"/>
      </w:r>
      <w:r>
        <w:instrText xml:space="preserve"> PAGEREF _Toc522716116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"_Toc522716117" </w:instrText>
      </w:r>
      <w:r>
        <w:fldChar w:fldCharType="separate"/>
      </w:r>
      <w:r>
        <w:rPr>
          <w:rStyle w:val="23"/>
        </w:rPr>
        <w:t>3</w:t>
      </w:r>
      <w:r>
        <w:rPr>
          <w:b w:val="0"/>
          <w:bCs w:val="0"/>
          <w:caps w:val="0"/>
          <w:szCs w:val="22"/>
        </w:rPr>
        <w:tab/>
      </w:r>
      <w:r>
        <w:rPr>
          <w:rStyle w:val="23"/>
          <w:rFonts w:hint="eastAsia"/>
        </w:rPr>
        <w:t>参考文件</w:t>
      </w:r>
      <w:r>
        <w:tab/>
      </w:r>
      <w:r>
        <w:fldChar w:fldCharType="begin"/>
      </w:r>
      <w:r>
        <w:instrText xml:space="preserve"> PAGEREF _Toc522716117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"_Toc522716118" </w:instrText>
      </w:r>
      <w:r>
        <w:fldChar w:fldCharType="separate"/>
      </w:r>
      <w:r>
        <w:rPr>
          <w:rStyle w:val="23"/>
        </w:rPr>
        <w:t>4</w:t>
      </w:r>
      <w:r>
        <w:rPr>
          <w:b w:val="0"/>
          <w:bCs w:val="0"/>
          <w:caps w:val="0"/>
          <w:szCs w:val="22"/>
        </w:rPr>
        <w:tab/>
      </w:r>
      <w:r>
        <w:rPr>
          <w:rStyle w:val="23"/>
          <w:rFonts w:hint="eastAsia"/>
        </w:rPr>
        <w:t>职责</w:t>
      </w:r>
      <w:r>
        <w:tab/>
      </w:r>
      <w:r>
        <w:fldChar w:fldCharType="begin"/>
      </w:r>
      <w:r>
        <w:instrText xml:space="preserve"> PAGEREF _Toc522716118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"_Toc522716119" </w:instrText>
      </w:r>
      <w:r>
        <w:fldChar w:fldCharType="separate"/>
      </w:r>
      <w:r>
        <w:rPr>
          <w:rStyle w:val="23"/>
        </w:rPr>
        <w:t>5</w:t>
      </w:r>
      <w:r>
        <w:rPr>
          <w:b w:val="0"/>
          <w:bCs w:val="0"/>
          <w:caps w:val="0"/>
          <w:szCs w:val="22"/>
        </w:rPr>
        <w:tab/>
      </w:r>
      <w:r>
        <w:rPr>
          <w:rStyle w:val="23"/>
          <w:rFonts w:hint="eastAsia"/>
        </w:rPr>
        <w:t>系统描述</w:t>
      </w:r>
      <w:r>
        <w:tab/>
      </w:r>
      <w:r>
        <w:fldChar w:fldCharType="begin"/>
      </w:r>
      <w:r>
        <w:instrText xml:space="preserve"> PAGEREF _Toc522716119 \h </w:instrText>
      </w:r>
      <w:r>
        <w:fldChar w:fldCharType="separate"/>
      </w:r>
      <w:r>
        <w:t>5</w:t>
      </w:r>
      <w:r>
        <w:fldChar w:fldCharType="end"/>
      </w:r>
      <w:r>
        <w:fldChar w:fldCharType="end"/>
      </w:r>
    </w:p>
    <w:p>
      <w:pPr>
        <w:pStyle w:val="15"/>
        <w:rPr>
          <w:b w:val="0"/>
          <w:bCs w:val="0"/>
          <w:caps w:val="0"/>
          <w:szCs w:val="22"/>
        </w:rPr>
      </w:pPr>
      <w:r>
        <w:fldChar w:fldCharType="begin"/>
      </w:r>
      <w:r>
        <w:instrText xml:space="preserve"> HYPERLINK \l "_Toc522716120" </w:instrText>
      </w:r>
      <w:r>
        <w:fldChar w:fldCharType="separate"/>
      </w:r>
      <w:r>
        <w:rPr>
          <w:rStyle w:val="23"/>
        </w:rPr>
        <w:t>6</w:t>
      </w:r>
      <w:r>
        <w:rPr>
          <w:b w:val="0"/>
          <w:bCs w:val="0"/>
          <w:caps w:val="0"/>
          <w:szCs w:val="22"/>
        </w:rPr>
        <w:tab/>
      </w:r>
      <w:r>
        <w:rPr>
          <w:rStyle w:val="23"/>
          <w:rFonts w:hint="eastAsia"/>
        </w:rPr>
        <w:t>安装要求</w:t>
      </w:r>
      <w:r>
        <w:tab/>
      </w:r>
      <w:r>
        <w:fldChar w:fldCharType="begin"/>
      </w:r>
      <w:r>
        <w:instrText xml:space="preserve"> PAGEREF _Toc522716120 \h </w:instrText>
      </w:r>
      <w:r>
        <w:fldChar w:fldCharType="separate"/>
      </w:r>
      <w:r>
        <w:t>5</w:t>
      </w:r>
      <w:r>
        <w:fldChar w:fldCharType="end"/>
      </w:r>
      <w:r>
        <w:fldChar w:fldCharType="end"/>
      </w:r>
    </w:p>
    <w:p>
      <w:pPr>
        <w:pStyle w:val="15"/>
        <w:rPr>
          <w:b w:val="0"/>
          <w:bCs w:val="0"/>
          <w:caps w:val="0"/>
          <w:szCs w:val="22"/>
        </w:rPr>
      </w:pPr>
      <w:r>
        <w:fldChar w:fldCharType="begin"/>
      </w:r>
      <w:r>
        <w:instrText xml:space="preserve"> HYPERLINK \l "_Toc522716121" </w:instrText>
      </w:r>
      <w:r>
        <w:fldChar w:fldCharType="separate"/>
      </w:r>
      <w:r>
        <w:rPr>
          <w:rStyle w:val="23"/>
        </w:rPr>
        <w:t>7</w:t>
      </w:r>
      <w:r>
        <w:rPr>
          <w:b w:val="0"/>
          <w:bCs w:val="0"/>
          <w:caps w:val="0"/>
          <w:szCs w:val="22"/>
        </w:rPr>
        <w:tab/>
      </w:r>
      <w:r>
        <w:rPr>
          <w:rStyle w:val="23"/>
          <w:rFonts w:hint="eastAsia"/>
        </w:rPr>
        <w:t>运行要求</w:t>
      </w:r>
      <w:r>
        <w:tab/>
      </w:r>
      <w:r>
        <w:fldChar w:fldCharType="begin"/>
      </w:r>
      <w:r>
        <w:instrText xml:space="preserve"> PAGEREF _Toc522716121 \h </w:instrText>
      </w:r>
      <w:r>
        <w:fldChar w:fldCharType="separate"/>
      </w:r>
      <w:r>
        <w:t>6</w:t>
      </w:r>
      <w:r>
        <w:fldChar w:fldCharType="end"/>
      </w:r>
      <w:r>
        <w:fldChar w:fldCharType="end"/>
      </w:r>
    </w:p>
    <w:p>
      <w:pPr>
        <w:pStyle w:val="15"/>
        <w:rPr>
          <w:b w:val="0"/>
          <w:bCs w:val="0"/>
          <w:caps w:val="0"/>
          <w:szCs w:val="22"/>
        </w:rPr>
      </w:pPr>
      <w:r>
        <w:fldChar w:fldCharType="begin"/>
      </w:r>
      <w:r>
        <w:instrText xml:space="preserve"> HYPERLINK \l "_Toc522716122" </w:instrText>
      </w:r>
      <w:r>
        <w:fldChar w:fldCharType="separate"/>
      </w:r>
      <w:r>
        <w:rPr>
          <w:rStyle w:val="23"/>
        </w:rPr>
        <w:t>8</w:t>
      </w:r>
      <w:r>
        <w:rPr>
          <w:b w:val="0"/>
          <w:bCs w:val="0"/>
          <w:caps w:val="0"/>
          <w:szCs w:val="22"/>
        </w:rPr>
        <w:tab/>
      </w:r>
      <w:r>
        <w:rPr>
          <w:rStyle w:val="23"/>
          <w:rFonts w:hint="eastAsia"/>
        </w:rPr>
        <w:t>电气、自动控制要求</w:t>
      </w:r>
      <w:r>
        <w:tab/>
      </w:r>
      <w:r>
        <w:fldChar w:fldCharType="begin"/>
      </w:r>
      <w:r>
        <w:instrText xml:space="preserve"> PAGEREF _Toc522716122 \h </w:instrText>
      </w:r>
      <w:r>
        <w:fldChar w:fldCharType="separate"/>
      </w:r>
      <w:r>
        <w:t>7</w:t>
      </w:r>
      <w:r>
        <w:fldChar w:fldCharType="end"/>
      </w:r>
      <w:r>
        <w:fldChar w:fldCharType="end"/>
      </w:r>
    </w:p>
    <w:p>
      <w:pPr>
        <w:pStyle w:val="15"/>
        <w:rPr>
          <w:b w:val="0"/>
          <w:bCs w:val="0"/>
          <w:caps w:val="0"/>
          <w:szCs w:val="22"/>
        </w:rPr>
      </w:pPr>
      <w:r>
        <w:fldChar w:fldCharType="begin"/>
      </w:r>
      <w:r>
        <w:instrText xml:space="preserve"> HYPERLINK \l "_Toc522716123" </w:instrText>
      </w:r>
      <w:r>
        <w:fldChar w:fldCharType="separate"/>
      </w:r>
      <w:r>
        <w:rPr>
          <w:rStyle w:val="23"/>
        </w:rPr>
        <w:t>9</w:t>
      </w:r>
      <w:r>
        <w:rPr>
          <w:b w:val="0"/>
          <w:bCs w:val="0"/>
          <w:caps w:val="0"/>
          <w:szCs w:val="22"/>
        </w:rPr>
        <w:tab/>
      </w:r>
      <w:r>
        <w:rPr>
          <w:rStyle w:val="23"/>
          <w:rFonts w:hint="eastAsia"/>
        </w:rPr>
        <w:t>安全要求</w:t>
      </w:r>
      <w:r>
        <w:tab/>
      </w:r>
      <w:r>
        <w:fldChar w:fldCharType="begin"/>
      </w:r>
      <w:r>
        <w:instrText xml:space="preserve"> PAGEREF _Toc522716123 \h </w:instrText>
      </w:r>
      <w:r>
        <w:fldChar w:fldCharType="separate"/>
      </w:r>
      <w:r>
        <w:t>9</w:t>
      </w:r>
      <w:r>
        <w:fldChar w:fldCharType="end"/>
      </w:r>
      <w:r>
        <w:fldChar w:fldCharType="end"/>
      </w:r>
    </w:p>
    <w:p>
      <w:pPr>
        <w:pStyle w:val="15"/>
        <w:rPr>
          <w:b w:val="0"/>
          <w:bCs w:val="0"/>
          <w:caps w:val="0"/>
          <w:szCs w:val="22"/>
        </w:rPr>
      </w:pPr>
      <w:r>
        <w:fldChar w:fldCharType="begin"/>
      </w:r>
      <w:r>
        <w:instrText xml:space="preserve"> HYPERLINK \l "_Toc522716124" </w:instrText>
      </w:r>
      <w:r>
        <w:fldChar w:fldCharType="separate"/>
      </w:r>
      <w:r>
        <w:rPr>
          <w:rStyle w:val="23"/>
        </w:rPr>
        <w:t>10</w:t>
      </w:r>
      <w:r>
        <w:rPr>
          <w:b w:val="0"/>
          <w:bCs w:val="0"/>
          <w:caps w:val="0"/>
          <w:szCs w:val="22"/>
        </w:rPr>
        <w:tab/>
      </w:r>
      <w:r>
        <w:rPr>
          <w:rStyle w:val="23"/>
          <w:rFonts w:hint="eastAsia"/>
        </w:rPr>
        <w:t>文件要求</w:t>
      </w:r>
      <w:r>
        <w:tab/>
      </w:r>
      <w:r>
        <w:fldChar w:fldCharType="begin"/>
      </w:r>
      <w:r>
        <w:instrText xml:space="preserve"> PAGEREF _Toc522716124 \h </w:instrText>
      </w:r>
      <w:r>
        <w:fldChar w:fldCharType="separate"/>
      </w:r>
      <w:r>
        <w:t>10</w:t>
      </w:r>
      <w:r>
        <w:fldChar w:fldCharType="end"/>
      </w:r>
      <w:r>
        <w:fldChar w:fldCharType="end"/>
      </w:r>
    </w:p>
    <w:p>
      <w:pPr>
        <w:pStyle w:val="15"/>
        <w:rPr>
          <w:b w:val="0"/>
          <w:bCs w:val="0"/>
          <w:caps w:val="0"/>
          <w:szCs w:val="22"/>
        </w:rPr>
      </w:pPr>
      <w:r>
        <w:fldChar w:fldCharType="begin"/>
      </w:r>
      <w:r>
        <w:instrText xml:space="preserve"> HYPERLINK \l "_Toc522716125" </w:instrText>
      </w:r>
      <w:r>
        <w:fldChar w:fldCharType="separate"/>
      </w:r>
      <w:r>
        <w:rPr>
          <w:rStyle w:val="23"/>
        </w:rPr>
        <w:t>11</w:t>
      </w:r>
      <w:r>
        <w:rPr>
          <w:b w:val="0"/>
          <w:bCs w:val="0"/>
          <w:caps w:val="0"/>
          <w:szCs w:val="22"/>
        </w:rPr>
        <w:tab/>
      </w:r>
      <w:r>
        <w:rPr>
          <w:rStyle w:val="23"/>
          <w:rFonts w:hint="eastAsia"/>
        </w:rPr>
        <w:t>服务要求</w:t>
      </w:r>
      <w:r>
        <w:tab/>
      </w:r>
      <w:r>
        <w:fldChar w:fldCharType="begin"/>
      </w:r>
      <w:r>
        <w:instrText xml:space="preserve"> PAGEREF _Toc522716125 \h </w:instrText>
      </w:r>
      <w:r>
        <w:fldChar w:fldCharType="separate"/>
      </w:r>
      <w:r>
        <w:t>12</w:t>
      </w:r>
      <w:r>
        <w:fldChar w:fldCharType="end"/>
      </w:r>
      <w:r>
        <w:fldChar w:fldCharType="end"/>
      </w:r>
    </w:p>
    <w:p>
      <w:pPr>
        <w:pStyle w:val="15"/>
        <w:rPr>
          <w:b w:val="0"/>
          <w:bCs w:val="0"/>
          <w:caps w:val="0"/>
          <w:szCs w:val="22"/>
        </w:rPr>
      </w:pPr>
      <w:r>
        <w:fldChar w:fldCharType="begin"/>
      </w:r>
      <w:r>
        <w:instrText xml:space="preserve"> HYPERLINK \l "_Toc522716126" </w:instrText>
      </w:r>
      <w:r>
        <w:fldChar w:fldCharType="separate"/>
      </w:r>
      <w:r>
        <w:rPr>
          <w:rStyle w:val="23"/>
        </w:rPr>
        <w:t>12</w:t>
      </w:r>
      <w:r>
        <w:rPr>
          <w:b w:val="0"/>
          <w:bCs w:val="0"/>
          <w:caps w:val="0"/>
          <w:szCs w:val="22"/>
        </w:rPr>
        <w:tab/>
      </w:r>
      <w:r>
        <w:rPr>
          <w:rStyle w:val="23"/>
          <w:rFonts w:hint="eastAsia"/>
        </w:rPr>
        <w:t>附件</w:t>
      </w:r>
      <w:r>
        <w:tab/>
      </w:r>
      <w:r>
        <w:fldChar w:fldCharType="begin"/>
      </w:r>
      <w:r>
        <w:instrText xml:space="preserve"> PAGEREF _Toc522716126 \h </w:instrText>
      </w:r>
      <w:r>
        <w:fldChar w:fldCharType="separate"/>
      </w:r>
      <w:r>
        <w:t>13</w:t>
      </w:r>
      <w:r>
        <w:fldChar w:fldCharType="end"/>
      </w:r>
      <w:r>
        <w:fldChar w:fldCharType="end"/>
      </w:r>
    </w:p>
    <w:p>
      <w:r>
        <w:fldChar w:fldCharType="end"/>
      </w:r>
    </w:p>
    <w:p>
      <w:pPr>
        <w:rPr>
          <w:b/>
          <w:bCs/>
          <w:caps/>
          <w:kern w:val="2"/>
          <w:szCs w:val="21"/>
          <w:lang w:eastAsia="zh-CN"/>
        </w:rPr>
      </w:pPr>
      <w:r>
        <w:rPr>
          <w:b/>
          <w:bCs/>
          <w:caps/>
          <w:kern w:val="2"/>
          <w:szCs w:val="21"/>
          <w:lang w:eastAsia="zh-CN"/>
        </w:rPr>
        <w:br w:type="page"/>
      </w:r>
    </w:p>
    <w:p>
      <w:pPr>
        <w:pStyle w:val="44"/>
        <w:numPr>
          <w:ilvl w:val="0"/>
          <w:numId w:val="3"/>
        </w:numPr>
        <w:spacing w:after="158" w:afterLines="50"/>
        <w:ind w:left="426" w:hanging="426" w:hangingChars="202"/>
        <w:outlineLvl w:val="0"/>
        <w:rPr>
          <w:rFonts w:ascii="Times New Roman" w:hAnsi="Times New Roman"/>
          <w:b/>
        </w:rPr>
      </w:pPr>
      <w:bookmarkStart w:id="5" w:name="_Toc522107735"/>
      <w:bookmarkStart w:id="6" w:name="_Toc522716115"/>
      <w:r>
        <w:rPr>
          <w:rFonts w:hint="eastAsia" w:ascii="Times New Roman" w:hAnsi="Times New Roman"/>
          <w:b/>
        </w:rPr>
        <w:t>目的</w:t>
      </w:r>
      <w:bookmarkEnd w:id="5"/>
      <w:bookmarkEnd w:id="6"/>
    </w:p>
    <w:p>
      <w:pPr>
        <w:pStyle w:val="53"/>
        <w:spacing w:before="0" w:line="360" w:lineRule="auto"/>
        <w:ind w:left="357" w:firstLine="420" w:firstLineChars="200"/>
        <w:jc w:val="left"/>
        <w:rPr>
          <w:sz w:val="21"/>
          <w:szCs w:val="21"/>
          <w:lang w:eastAsia="zh-CN"/>
        </w:rPr>
      </w:pPr>
      <w:bookmarkStart w:id="7" w:name="_Toc482625279"/>
      <w:bookmarkStart w:id="8" w:name="_Toc482370141"/>
      <w:bookmarkStart w:id="9" w:name="_Toc482359936"/>
      <w:bookmarkStart w:id="10" w:name="_Toc482370061"/>
      <w:bookmarkStart w:id="11" w:name="_Toc482360281"/>
      <w:bookmarkStart w:id="12" w:name="_Toc482370349"/>
      <w:bookmarkStart w:id="13" w:name="_Toc482370757"/>
      <w:bookmarkStart w:id="14" w:name="_Toc482369805"/>
      <w:bookmarkStart w:id="15" w:name="_Toc481702475"/>
      <w:r>
        <w:rPr>
          <w:rFonts w:hint="eastAsia"/>
          <w:sz w:val="21"/>
          <w:szCs w:val="21"/>
          <w:lang w:eastAsia="zh-CN"/>
        </w:rPr>
        <w:t>本文件的目的是描述武汉生物制品研究所有限责任公司轮状病毒</w:t>
      </w:r>
      <w:r>
        <w:rPr>
          <w:rFonts w:hint="eastAsia"/>
          <w:sz w:val="21"/>
          <w:szCs w:val="21"/>
          <w:lang w:val="en-US" w:eastAsia="zh-CN"/>
        </w:rPr>
        <w:t>疫苗室</w:t>
      </w:r>
      <w:r>
        <w:rPr>
          <w:rFonts w:hint="eastAsia"/>
          <w:sz w:val="21"/>
          <w:szCs w:val="21"/>
          <w:lang w:eastAsia="zh-CN"/>
        </w:rPr>
        <w:t>多功能微孔板检测仪的用户需求说明（</w:t>
      </w:r>
      <w:r>
        <w:rPr>
          <w:sz w:val="21"/>
          <w:szCs w:val="21"/>
          <w:lang w:eastAsia="zh-CN"/>
        </w:rPr>
        <w:t>URS</w:t>
      </w:r>
      <w:r>
        <w:rPr>
          <w:rFonts w:hint="eastAsia"/>
          <w:sz w:val="21"/>
          <w:szCs w:val="21"/>
          <w:lang w:eastAsia="zh-CN"/>
        </w:rPr>
        <w:t>），以确保最终用户的需求在项目设计阶段得以实现，并作为后续验证工作的基础。</w:t>
      </w:r>
    </w:p>
    <w:p>
      <w:pPr>
        <w:pStyle w:val="53"/>
        <w:spacing w:before="0"/>
        <w:ind w:left="360"/>
        <w:rPr>
          <w:szCs w:val="21"/>
          <w:lang w:eastAsia="zh-CN"/>
        </w:rPr>
      </w:pPr>
    </w:p>
    <w:p>
      <w:pPr>
        <w:pStyle w:val="44"/>
        <w:numPr>
          <w:ilvl w:val="0"/>
          <w:numId w:val="3"/>
        </w:numPr>
        <w:spacing w:after="158" w:afterLines="50"/>
        <w:ind w:left="426" w:hanging="426" w:hangingChars="202"/>
        <w:outlineLvl w:val="0"/>
        <w:rPr>
          <w:rFonts w:ascii="Times New Roman" w:hAnsi="Times New Roman"/>
          <w:b/>
        </w:rPr>
      </w:pPr>
      <w:bookmarkStart w:id="16" w:name="_Toc522107736"/>
      <w:bookmarkStart w:id="17" w:name="_Toc522716116"/>
      <w:r>
        <w:rPr>
          <w:rFonts w:hint="eastAsia" w:ascii="Times New Roman" w:hAnsi="Times New Roman"/>
          <w:b/>
        </w:rPr>
        <w:t>范围</w:t>
      </w:r>
      <w:bookmarkEnd w:id="16"/>
      <w:bookmarkEnd w:id="17"/>
    </w:p>
    <w:p>
      <w:pPr>
        <w:pStyle w:val="53"/>
        <w:spacing w:before="0" w:line="360" w:lineRule="auto"/>
        <w:ind w:left="357"/>
        <w:jc w:val="left"/>
        <w:rPr>
          <w:szCs w:val="21"/>
          <w:lang w:eastAsia="zh-CN"/>
        </w:rPr>
      </w:pPr>
      <w:r>
        <w:rPr>
          <w:rFonts w:hint="eastAsia"/>
          <w:sz w:val="21"/>
          <w:szCs w:val="21"/>
          <w:lang w:eastAsia="zh-CN"/>
        </w:rPr>
        <w:t>本</w:t>
      </w:r>
      <w:r>
        <w:rPr>
          <w:sz w:val="21"/>
          <w:szCs w:val="21"/>
          <w:lang w:eastAsia="zh-CN"/>
        </w:rPr>
        <w:t>URS</w:t>
      </w:r>
      <w:r>
        <w:rPr>
          <w:rFonts w:hint="eastAsia"/>
          <w:sz w:val="21"/>
          <w:szCs w:val="21"/>
          <w:lang w:eastAsia="zh-CN"/>
        </w:rPr>
        <w:t>适用于武汉生物制品研究所有限责任公司</w:t>
      </w:r>
      <w:bookmarkEnd w:id="7"/>
      <w:bookmarkEnd w:id="8"/>
      <w:bookmarkEnd w:id="9"/>
      <w:bookmarkEnd w:id="10"/>
      <w:bookmarkEnd w:id="11"/>
      <w:bookmarkEnd w:id="12"/>
      <w:bookmarkEnd w:id="13"/>
      <w:bookmarkEnd w:id="14"/>
      <w:bookmarkEnd w:id="15"/>
      <w:r>
        <w:rPr>
          <w:rFonts w:hint="eastAsia"/>
          <w:sz w:val="21"/>
          <w:szCs w:val="21"/>
          <w:lang w:val="en-US" w:eastAsia="zh-CN"/>
        </w:rPr>
        <w:t>轮状病毒疫苗室</w:t>
      </w:r>
      <w:r>
        <w:rPr>
          <w:rFonts w:hint="eastAsia"/>
          <w:sz w:val="21"/>
          <w:szCs w:val="21"/>
          <w:lang w:eastAsia="zh-CN"/>
        </w:rPr>
        <w:t>多功能微孔板检测仪。</w:t>
      </w:r>
    </w:p>
    <w:p>
      <w:pPr>
        <w:pStyle w:val="44"/>
        <w:numPr>
          <w:ilvl w:val="0"/>
          <w:numId w:val="3"/>
        </w:numPr>
        <w:spacing w:after="158" w:afterLines="50"/>
        <w:ind w:left="426" w:hanging="426" w:hangingChars="202"/>
        <w:outlineLvl w:val="0"/>
        <w:rPr>
          <w:rFonts w:ascii="Times New Roman" w:hAnsi="Times New Roman"/>
          <w:b/>
        </w:rPr>
      </w:pPr>
      <w:bookmarkStart w:id="18" w:name="_Toc522107737"/>
      <w:bookmarkStart w:id="19" w:name="_Toc522716117"/>
      <w:r>
        <w:rPr>
          <w:rFonts w:hint="eastAsia" w:ascii="Times New Roman" w:hAnsi="Times New Roman"/>
          <w:b/>
        </w:rPr>
        <w:t>参考文件</w:t>
      </w:r>
      <w:bookmarkEnd w:id="18"/>
      <w:bookmarkEnd w:id="19"/>
    </w:p>
    <w:p>
      <w:pPr>
        <w:pStyle w:val="53"/>
        <w:numPr>
          <w:ilvl w:val="0"/>
          <w:numId w:val="4"/>
        </w:numPr>
        <w:spacing w:before="0" w:line="360" w:lineRule="auto"/>
        <w:jc w:val="left"/>
        <w:rPr>
          <w:color w:val="000000"/>
          <w:sz w:val="21"/>
          <w:szCs w:val="21"/>
          <w:lang w:eastAsia="zh-CN"/>
        </w:rPr>
      </w:pPr>
      <w:r>
        <w:rPr>
          <w:color w:val="000000"/>
          <w:sz w:val="21"/>
          <w:szCs w:val="21"/>
          <w:lang w:eastAsia="zh-CN"/>
        </w:rPr>
        <w:t>GMP</w:t>
      </w:r>
      <w:r>
        <w:rPr>
          <w:rFonts w:hint="eastAsia"/>
          <w:color w:val="000000"/>
          <w:sz w:val="21"/>
          <w:szCs w:val="21"/>
          <w:lang w:eastAsia="zh-CN"/>
        </w:rPr>
        <w:t>法规指南和</w:t>
      </w:r>
      <w:r>
        <w:rPr>
          <w:color w:val="000000"/>
          <w:sz w:val="21"/>
          <w:szCs w:val="21"/>
          <w:lang w:eastAsia="zh-CN"/>
        </w:rPr>
        <w:t>SOP</w:t>
      </w:r>
    </w:p>
    <w:p>
      <w:pPr>
        <w:pStyle w:val="53"/>
        <w:numPr>
          <w:ilvl w:val="0"/>
          <w:numId w:val="5"/>
        </w:numPr>
        <w:spacing w:before="0" w:line="360" w:lineRule="auto"/>
        <w:ind w:left="777"/>
        <w:jc w:val="left"/>
        <w:rPr>
          <w:color w:val="4472C4"/>
          <w:sz w:val="21"/>
          <w:szCs w:val="21"/>
          <w:lang w:eastAsia="zh-CN"/>
        </w:rPr>
      </w:pPr>
      <w:r>
        <w:rPr>
          <w:color w:val="000000"/>
          <w:sz w:val="21"/>
          <w:szCs w:val="21"/>
          <w:lang w:eastAsia="zh-CN"/>
        </w:rPr>
        <w:t xml:space="preserve">SOP-06-12-0005 </w:t>
      </w:r>
      <w:r>
        <w:rPr>
          <w:rFonts w:hint="eastAsia"/>
          <w:color w:val="000000"/>
          <w:sz w:val="21"/>
          <w:szCs w:val="21"/>
          <w:lang w:eastAsia="zh-CN"/>
        </w:rPr>
        <w:t>用户需求编写审批</w:t>
      </w:r>
      <w:r>
        <w:rPr>
          <w:color w:val="000000"/>
          <w:sz w:val="21"/>
          <w:szCs w:val="21"/>
          <w:lang w:eastAsia="zh-CN"/>
        </w:rPr>
        <w:t>SOP</w:t>
      </w:r>
    </w:p>
    <w:p>
      <w:pPr>
        <w:pStyle w:val="53"/>
        <w:numPr>
          <w:ilvl w:val="0"/>
          <w:numId w:val="5"/>
        </w:numPr>
        <w:spacing w:before="0" w:line="360" w:lineRule="auto"/>
        <w:ind w:left="777"/>
        <w:jc w:val="left"/>
        <w:rPr>
          <w:iCs/>
          <w:sz w:val="21"/>
          <w:szCs w:val="21"/>
          <w:lang w:val="zh-CN" w:eastAsia="zh-CN"/>
        </w:rPr>
      </w:pPr>
      <w:r>
        <w:rPr>
          <w:rFonts w:hint="eastAsia"/>
          <w:iCs/>
          <w:sz w:val="21"/>
          <w:szCs w:val="21"/>
          <w:lang w:val="zh-CN" w:eastAsia="zh-CN"/>
        </w:rPr>
        <w:t>中国药典</w:t>
      </w:r>
      <w:r>
        <w:rPr>
          <w:iCs/>
          <w:sz w:val="21"/>
          <w:szCs w:val="21"/>
          <w:lang w:val="zh-CN" w:eastAsia="zh-CN"/>
        </w:rPr>
        <w:t>2020</w:t>
      </w:r>
      <w:r>
        <w:rPr>
          <w:rFonts w:hint="eastAsia"/>
          <w:iCs/>
          <w:sz w:val="21"/>
          <w:szCs w:val="21"/>
          <w:lang w:val="zh-CN" w:eastAsia="zh-CN"/>
        </w:rPr>
        <w:t>年版</w:t>
      </w:r>
    </w:p>
    <w:p>
      <w:pPr>
        <w:pStyle w:val="53"/>
        <w:numPr>
          <w:ilvl w:val="0"/>
          <w:numId w:val="5"/>
        </w:numPr>
        <w:spacing w:before="0" w:line="360" w:lineRule="auto"/>
        <w:ind w:left="777"/>
        <w:jc w:val="left"/>
        <w:rPr>
          <w:iCs/>
          <w:sz w:val="21"/>
          <w:szCs w:val="21"/>
          <w:lang w:val="zh-CN" w:eastAsia="zh-CN"/>
        </w:rPr>
      </w:pPr>
      <w:r>
        <w:rPr>
          <w:rFonts w:hint="eastAsia"/>
          <w:iCs/>
          <w:sz w:val="21"/>
          <w:szCs w:val="21"/>
          <w:lang w:val="zh-CN" w:eastAsia="zh-CN"/>
        </w:rPr>
        <w:t>《药品生产质量管理规范》（</w:t>
      </w:r>
      <w:r>
        <w:rPr>
          <w:iCs/>
          <w:sz w:val="21"/>
          <w:szCs w:val="21"/>
          <w:lang w:val="zh-CN" w:eastAsia="zh-CN"/>
        </w:rPr>
        <w:t>2010</w:t>
      </w:r>
      <w:r>
        <w:rPr>
          <w:rFonts w:hint="eastAsia"/>
          <w:iCs/>
          <w:sz w:val="21"/>
          <w:szCs w:val="21"/>
          <w:lang w:val="zh-CN" w:eastAsia="zh-CN"/>
        </w:rPr>
        <w:t>修订版）及附录</w:t>
      </w:r>
    </w:p>
    <w:p>
      <w:pPr>
        <w:pStyle w:val="53"/>
        <w:numPr>
          <w:ilvl w:val="0"/>
          <w:numId w:val="5"/>
        </w:numPr>
        <w:spacing w:before="0" w:line="360" w:lineRule="auto"/>
        <w:ind w:left="777"/>
        <w:jc w:val="left"/>
        <w:rPr>
          <w:color w:val="000000"/>
          <w:sz w:val="21"/>
          <w:szCs w:val="21"/>
          <w:lang w:val="zh-CN" w:eastAsia="zh-CN"/>
        </w:rPr>
      </w:pPr>
      <w:r>
        <w:rPr>
          <w:color w:val="000000"/>
          <w:sz w:val="21"/>
          <w:szCs w:val="21"/>
          <w:lang w:eastAsia="zh-CN"/>
        </w:rPr>
        <w:t>JJG 861-2017 酶标分析仪检定规程</w:t>
      </w:r>
    </w:p>
    <w:p>
      <w:pPr>
        <w:pStyle w:val="53"/>
        <w:numPr>
          <w:ilvl w:val="0"/>
          <w:numId w:val="4"/>
        </w:numPr>
        <w:spacing w:before="0" w:line="360" w:lineRule="auto"/>
        <w:jc w:val="left"/>
        <w:rPr>
          <w:color w:val="000000"/>
          <w:sz w:val="21"/>
          <w:szCs w:val="21"/>
          <w:lang w:eastAsia="zh-CN"/>
        </w:rPr>
      </w:pPr>
      <w:r>
        <w:rPr>
          <w:rFonts w:hint="eastAsia"/>
          <w:color w:val="000000"/>
          <w:sz w:val="21"/>
          <w:szCs w:val="21"/>
          <w:lang w:eastAsia="zh-CN"/>
        </w:rPr>
        <w:t>安全及环保法规指南</w:t>
      </w:r>
    </w:p>
    <w:p>
      <w:pPr>
        <w:pStyle w:val="53"/>
        <w:numPr>
          <w:ilvl w:val="0"/>
          <w:numId w:val="5"/>
        </w:numPr>
        <w:spacing w:before="0" w:line="360" w:lineRule="auto"/>
        <w:ind w:left="777"/>
        <w:jc w:val="left"/>
        <w:rPr>
          <w:i/>
          <w:color w:val="0070C0"/>
          <w:sz w:val="21"/>
          <w:szCs w:val="21"/>
          <w:lang w:eastAsia="zh-CN"/>
        </w:rPr>
      </w:pPr>
      <w:r>
        <w:rPr>
          <w:rFonts w:hint="eastAsia"/>
          <w:color w:val="000000"/>
          <w:sz w:val="21"/>
          <w:szCs w:val="21"/>
          <w:lang w:eastAsia="zh-CN"/>
        </w:rPr>
        <w:t>电气安全应符合</w:t>
      </w:r>
      <w:r>
        <w:rPr>
          <w:color w:val="000000"/>
          <w:sz w:val="21"/>
          <w:szCs w:val="21"/>
          <w:lang w:eastAsia="zh-CN"/>
        </w:rPr>
        <w:t>GB4793.1</w:t>
      </w:r>
      <w:r>
        <w:rPr>
          <w:rFonts w:hint="eastAsia"/>
          <w:color w:val="000000"/>
          <w:sz w:val="21"/>
          <w:szCs w:val="21"/>
          <w:lang w:eastAsia="zh-CN"/>
        </w:rPr>
        <w:t>和</w:t>
      </w:r>
      <w:r>
        <w:rPr>
          <w:color w:val="000000"/>
          <w:sz w:val="21"/>
          <w:szCs w:val="21"/>
          <w:lang w:eastAsia="zh-CN"/>
        </w:rPr>
        <w:t>GB4793.4</w:t>
      </w:r>
      <w:r>
        <w:rPr>
          <w:rFonts w:hint="eastAsia"/>
          <w:color w:val="000000"/>
          <w:sz w:val="21"/>
          <w:szCs w:val="21"/>
          <w:lang w:eastAsia="zh-CN"/>
        </w:rPr>
        <w:t>的要求。</w:t>
      </w:r>
    </w:p>
    <w:p>
      <w:pPr>
        <w:pStyle w:val="53"/>
        <w:spacing w:before="0" w:line="360" w:lineRule="auto"/>
        <w:jc w:val="left"/>
        <w:rPr>
          <w:szCs w:val="21"/>
          <w:lang w:eastAsia="zh-CN"/>
        </w:rPr>
      </w:pPr>
      <w:bookmarkStart w:id="47" w:name="_GoBack"/>
      <w:bookmarkEnd w:id="47"/>
    </w:p>
    <w:p>
      <w:pPr>
        <w:pStyle w:val="44"/>
        <w:numPr>
          <w:ilvl w:val="0"/>
          <w:numId w:val="3"/>
        </w:numPr>
        <w:spacing w:after="158" w:afterLines="50"/>
        <w:ind w:left="426" w:hanging="426" w:hangingChars="202"/>
        <w:outlineLvl w:val="0"/>
        <w:rPr>
          <w:rFonts w:ascii="Times New Roman" w:hAnsi="Times New Roman"/>
          <w:b/>
        </w:rPr>
      </w:pPr>
      <w:bookmarkStart w:id="20" w:name="_Toc522107739"/>
      <w:bookmarkStart w:id="21" w:name="_Toc522716119"/>
      <w:r>
        <w:rPr>
          <w:rFonts w:hint="eastAsia" w:ascii="Times New Roman" w:hAnsi="Times New Roman"/>
          <w:b/>
        </w:rPr>
        <w:t>系统描述</w:t>
      </w:r>
      <w:bookmarkEnd w:id="20"/>
      <w:bookmarkEnd w:id="21"/>
    </w:p>
    <w:p>
      <w:pPr>
        <w:pStyle w:val="53"/>
        <w:spacing w:before="0" w:line="360" w:lineRule="auto"/>
        <w:ind w:left="357" w:firstLine="480" w:firstLineChars="200"/>
        <w:jc w:val="left"/>
        <w:rPr>
          <w:rFonts w:hint="eastAsia" w:ascii="宋体" w:hAnsi="宋体"/>
          <w:lang w:eastAsia="zh-CN"/>
        </w:rPr>
      </w:pPr>
      <w:r>
        <w:rPr>
          <w:rFonts w:hint="eastAsia" w:ascii="宋体" w:hAnsi="宋体"/>
          <w:lang w:val="en-US" w:eastAsia="zh-CN"/>
        </w:rPr>
        <w:t>轮状病毒疫苗室</w:t>
      </w:r>
      <w:r>
        <w:rPr>
          <w:rFonts w:hint="eastAsia" w:ascii="宋体" w:hAnsi="宋体"/>
          <w:lang w:eastAsia="zh-CN"/>
        </w:rPr>
        <w:t>需要</w:t>
      </w:r>
      <w:r>
        <w:rPr>
          <w:rFonts w:ascii="宋体" w:hAnsi="宋体"/>
          <w:lang w:eastAsia="zh-CN"/>
        </w:rPr>
        <w:t>1</w:t>
      </w:r>
      <w:r>
        <w:rPr>
          <w:rFonts w:hint="eastAsia" w:ascii="宋体" w:hAnsi="宋体"/>
          <w:lang w:eastAsia="zh-CN"/>
        </w:rPr>
        <w:t>台多功能微孔板检测仪，主要用于</w:t>
      </w:r>
      <w:r>
        <w:rPr>
          <w:rFonts w:hint="eastAsia" w:ascii="宋体" w:hAnsi="宋体"/>
          <w:lang w:val="en-US" w:eastAsia="zh-CN"/>
        </w:rPr>
        <w:t>Vero细胞DNA残留量测定、Vero细胞蛋白残留量测定、牛血清白蛋白残留量测定</w:t>
      </w:r>
      <w:r>
        <w:rPr>
          <w:rFonts w:hint="eastAsia" w:ascii="宋体" w:hAnsi="宋体"/>
          <w:lang w:eastAsia="zh-CN"/>
        </w:rPr>
        <w:t>。</w:t>
      </w:r>
    </w:p>
    <w:p>
      <w:pPr>
        <w:pStyle w:val="53"/>
        <w:spacing w:before="0" w:line="360" w:lineRule="auto"/>
        <w:ind w:left="357" w:firstLine="480" w:firstLineChars="200"/>
        <w:jc w:val="left"/>
        <w:rPr>
          <w:rFonts w:hint="eastAsia" w:ascii="宋体" w:hAnsi="宋体"/>
          <w:lang w:eastAsia="zh-CN"/>
        </w:rPr>
      </w:pPr>
    </w:p>
    <w:p>
      <w:pPr>
        <w:pStyle w:val="44"/>
        <w:numPr>
          <w:ilvl w:val="0"/>
          <w:numId w:val="3"/>
        </w:numPr>
        <w:spacing w:after="158" w:afterLines="50"/>
        <w:ind w:left="426" w:hanging="426" w:hangingChars="202"/>
        <w:outlineLvl w:val="0"/>
        <w:rPr>
          <w:rFonts w:ascii="Times New Roman" w:hAnsi="Times New Roman"/>
          <w:b/>
          <w:szCs w:val="21"/>
        </w:rPr>
      </w:pPr>
      <w:bookmarkStart w:id="22" w:name="_Toc522716120"/>
      <w:r>
        <w:rPr>
          <w:rFonts w:hint="eastAsia" w:ascii="Times New Roman" w:hAnsi="Times New Roman"/>
          <w:b/>
          <w:szCs w:val="21"/>
        </w:rPr>
        <w:t>安装要求</w:t>
      </w:r>
      <w:bookmarkEnd w:id="22"/>
    </w:p>
    <w:tbl>
      <w:tblPr>
        <w:tblStyle w:val="19"/>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bookmarkStart w:id="23" w:name="OLE_LINK2"/>
            <w:bookmarkStart w:id="24" w:name="OLE_LINK1"/>
            <w:r>
              <w:rPr>
                <w:rFonts w:hint="eastAsia"/>
                <w:b/>
                <w:szCs w:val="21"/>
              </w:rPr>
              <w:t>编号</w:t>
            </w:r>
          </w:p>
        </w:tc>
        <w:tc>
          <w:tcPr>
            <w:tcW w:w="7128" w:type="dxa"/>
            <w:shd w:val="clear" w:color="auto" w:fill="D9D9D9"/>
            <w:vAlign w:val="center"/>
          </w:tcPr>
          <w:p>
            <w:pPr>
              <w:jc w:val="center"/>
              <w:rPr>
                <w:b/>
                <w:szCs w:val="21"/>
                <w:lang w:eastAsia="zh-CN"/>
              </w:rPr>
            </w:pPr>
            <w:r>
              <w:rPr>
                <w:rFonts w:hint="eastAsia"/>
                <w:b/>
                <w:szCs w:val="21"/>
                <w:lang w:eastAsia="zh-CN"/>
              </w:rPr>
              <w:t>需求</w:t>
            </w:r>
          </w:p>
        </w:tc>
        <w:tc>
          <w:tcPr>
            <w:tcW w:w="2125" w:type="dxa"/>
            <w:shd w:val="clear" w:color="auto" w:fill="D9D9D9"/>
            <w:vAlign w:val="center"/>
          </w:tcPr>
          <w:p>
            <w:pPr>
              <w:jc w:val="center"/>
              <w:rPr>
                <w:b/>
                <w:szCs w:val="21"/>
                <w:lang w:eastAsia="zh-CN"/>
              </w:rPr>
            </w:pPr>
            <w:r>
              <w:rPr>
                <w:rFonts w:hint="eastAsia"/>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w:t>
            </w:r>
            <w:r>
              <w:rPr>
                <w:rFonts w:hint="eastAsia"/>
                <w:szCs w:val="21"/>
                <w:lang w:eastAsia="zh-CN"/>
              </w:rPr>
              <w:t>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int="default"/>
                <w:i/>
                <w:color w:val="0070C0"/>
                <w:szCs w:val="21"/>
                <w:lang w:val="en-US" w:eastAsia="zh-CN"/>
              </w:rPr>
            </w:pPr>
            <w:r>
              <w:rPr>
                <w:rFonts w:hint="eastAsia" w:ascii="宋体" w:hAnsi="宋体"/>
                <w:color w:val="000000"/>
                <w:lang w:eastAsia="zh-CN"/>
              </w:rPr>
              <w:t>多功能微孔板检测仪安装在</w:t>
            </w:r>
            <w:r>
              <w:rPr>
                <w:rFonts w:hint="eastAsia" w:ascii="宋体" w:hAnsi="宋体"/>
                <w:color w:val="000000"/>
                <w:highlight w:val="none"/>
                <w:lang w:val="en-US" w:eastAsia="zh-CN"/>
              </w:rPr>
              <w:t>轮状疫苗楼三楼检定区实验室1（2063030）</w:t>
            </w:r>
          </w:p>
        </w:tc>
        <w:tc>
          <w:tcPr>
            <w:tcW w:w="2125" w:type="dxa"/>
            <w:vAlign w:val="center"/>
          </w:tcPr>
          <w:p>
            <w:pPr>
              <w:jc w:val="both"/>
              <w:rPr>
                <w:i/>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jc w:val="both"/>
              <w:rPr>
                <w:szCs w:val="21"/>
                <w:lang w:val="en-US" w:eastAsia="zh-CN"/>
              </w:rPr>
            </w:pPr>
            <w:r>
              <w:rPr>
                <w:rFonts w:hint="eastAsia"/>
                <w:szCs w:val="21"/>
                <w:lang w:eastAsia="zh-CN"/>
              </w:rPr>
              <w:t>安装桌面的尺寸不少于</w:t>
            </w:r>
            <w:r>
              <w:rPr>
                <w:szCs w:val="21"/>
                <w:lang w:val="en-US" w:eastAsia="zh-CN"/>
              </w:rPr>
              <w:t>0.6m</w:t>
            </w:r>
            <w:r>
              <w:rPr>
                <w:rFonts w:hint="eastAsia"/>
                <w:szCs w:val="21"/>
                <w:lang w:val="en-US" w:eastAsia="zh-CN"/>
              </w:rPr>
              <w:t>宽，</w:t>
            </w:r>
            <w:r>
              <w:rPr>
                <w:szCs w:val="21"/>
                <w:lang w:val="en-US" w:eastAsia="zh-CN"/>
              </w:rPr>
              <w:t>1.5m</w:t>
            </w:r>
            <w:r>
              <w:rPr>
                <w:rFonts w:hint="eastAsia"/>
                <w:szCs w:val="21"/>
                <w:lang w:val="en-US" w:eastAsia="zh-CN"/>
              </w:rPr>
              <w:t>长。</w:t>
            </w:r>
            <w:r>
              <w:rPr>
                <w:color w:val="000000"/>
                <w:sz w:val="22"/>
                <w:szCs w:val="22"/>
                <w:lang w:eastAsia="zh-CN"/>
              </w:rPr>
              <w:t>设备尺寸不大于安装桌面尺寸。</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jc w:val="both"/>
              <w:rPr>
                <w:szCs w:val="21"/>
                <w:lang w:val="en-US" w:eastAsia="zh-CN"/>
              </w:rPr>
            </w:pPr>
            <w:r>
              <w:rPr>
                <w:rFonts w:hint="eastAsia"/>
                <w:szCs w:val="21"/>
                <w:lang w:eastAsia="zh-CN"/>
              </w:rPr>
              <w:t>设备的形式尺寸应符合制造商说明书及技术文件规定的要求。</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供应商必须给出设备选型方案及相应附件选型方案，并交给我公司使用部门及工程类部门审核。</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jc w:val="both"/>
              <w:rPr>
                <w:szCs w:val="21"/>
                <w:lang w:val="en-US" w:eastAsia="zh-CN"/>
              </w:rPr>
            </w:pPr>
            <w:r>
              <w:rPr>
                <w:rFonts w:hint="eastAsia"/>
                <w:szCs w:val="21"/>
                <w:lang w:val="en-US" w:eastAsia="zh-CN"/>
              </w:rPr>
              <w:t>整机和电脑不超过</w:t>
            </w:r>
            <w:r>
              <w:rPr>
                <w:szCs w:val="21"/>
                <w:lang w:val="en-US" w:eastAsia="zh-CN"/>
              </w:rPr>
              <w:t>45kg</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ind w:left="426" w:firstLine="0" w:firstLineChars="0"/>
              <w:rPr>
                <w:rFonts w:ascii="Times New Roman" w:hAnsi="Times New Roman"/>
                <w:szCs w:val="21"/>
              </w:rPr>
            </w:pPr>
          </w:p>
        </w:tc>
        <w:tc>
          <w:tcPr>
            <w:tcW w:w="9253" w:type="dxa"/>
            <w:gridSpan w:val="2"/>
            <w:vAlign w:val="center"/>
          </w:tcPr>
          <w:p>
            <w:pPr>
              <w:jc w:val="both"/>
              <w:rPr>
                <w:szCs w:val="21"/>
                <w:lang w:eastAsia="zh-CN"/>
              </w:rPr>
            </w:pPr>
            <w:r>
              <w:rPr>
                <w:szCs w:val="21"/>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val="en-US" w:eastAsia="zh-CN"/>
              </w:rPr>
            </w:pPr>
            <w:r>
              <w:rPr>
                <w:rFonts w:hint="eastAsia"/>
                <w:color w:val="000000"/>
                <w:szCs w:val="22"/>
                <w:lang w:eastAsia="zh-CN"/>
              </w:rPr>
              <w:t>适用于我公司工作环境温度：</w:t>
            </w:r>
            <w:r>
              <w:rPr>
                <w:color w:val="000000"/>
                <w:szCs w:val="22"/>
                <w:highlight w:val="none"/>
                <w:lang w:val="en-US" w:eastAsia="zh-CN"/>
              </w:rPr>
              <w:t>18-40</w:t>
            </w:r>
            <w:r>
              <w:rPr>
                <w:rFonts w:hint="eastAsia"/>
                <w:color w:val="000000"/>
                <w:szCs w:val="22"/>
                <w:highlight w:val="none"/>
                <w:lang w:val="en-US" w:eastAsia="zh-CN"/>
              </w:rPr>
              <w:t>℃</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val="en-US" w:eastAsia="zh-CN"/>
              </w:rPr>
            </w:pPr>
            <w:r>
              <w:rPr>
                <w:rFonts w:hint="eastAsia"/>
                <w:color w:val="000000"/>
                <w:lang w:eastAsia="zh-CN"/>
              </w:rPr>
              <w:t>适用于我公司工作环境湿度：</w:t>
            </w:r>
            <w:r>
              <w:rPr>
                <w:color w:val="000000"/>
                <w:lang w:val="en-US" w:eastAsia="zh-CN"/>
              </w:rPr>
              <w:t>20%-80%</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0000"/>
                <w:lang w:eastAsia="zh-CN"/>
              </w:rPr>
            </w:pPr>
            <w:r>
              <w:rPr>
                <w:rFonts w:hint="eastAsia"/>
                <w:color w:val="000000"/>
                <w:lang w:eastAsia="zh-CN"/>
              </w:rPr>
              <w:t>适用于我公司工作环境洁净级别：无特殊要求</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0000"/>
                <w:szCs w:val="22"/>
                <w:lang w:eastAsia="zh-CN"/>
              </w:rPr>
            </w:pPr>
            <w:r>
              <w:rPr>
                <w:rFonts w:hint="eastAsia"/>
                <w:color w:val="000000"/>
                <w:szCs w:val="22"/>
                <w:lang w:eastAsia="zh-CN"/>
              </w:rPr>
              <w:t xml:space="preserve">适用于我公司交流电电源供电：～220±10%V，50±1Hz </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0000"/>
                <w:szCs w:val="22"/>
                <w:lang w:eastAsia="zh-CN"/>
              </w:rPr>
            </w:pPr>
            <w:r>
              <w:rPr>
                <w:rFonts w:hint="eastAsia"/>
                <w:szCs w:val="21"/>
                <w:lang w:eastAsia="zh-CN"/>
              </w:rPr>
              <w:t>工作区配置防溅安全电源插座。</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
                <w:color w:val="000000"/>
                <w:lang w:eastAsia="zh-CN"/>
              </w:rPr>
            </w:pPr>
            <w:r>
              <w:rPr>
                <w:rFonts w:hint="eastAsia"/>
                <w:szCs w:val="21"/>
                <w:lang w:val="en-US" w:eastAsia="zh-CN"/>
              </w:rPr>
              <w:t>整机外壳应光滑易清洁</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val="en-US" w:eastAsia="zh-CN"/>
              </w:rPr>
            </w:pPr>
            <w:r>
              <w:rPr>
                <w:rFonts w:hint="eastAsia"/>
                <w:szCs w:val="21"/>
                <w:lang w:val="en-US" w:eastAsia="zh-CN"/>
              </w:rPr>
              <w:t xml:space="preserve">标识：至少应有以下永久贴牢和清楚易认的标识： </w:t>
            </w:r>
          </w:p>
          <w:p>
            <w:pPr>
              <w:spacing w:line="276" w:lineRule="auto"/>
              <w:jc w:val="both"/>
              <w:rPr>
                <w:szCs w:val="21"/>
                <w:lang w:val="en-US" w:eastAsia="zh-CN"/>
              </w:rPr>
            </w:pPr>
            <w:r>
              <w:rPr>
                <w:rFonts w:hint="eastAsia"/>
                <w:szCs w:val="21"/>
                <w:lang w:val="en-US" w:eastAsia="zh-CN"/>
              </w:rPr>
              <w:t>（1）制造/供应单位；</w:t>
            </w:r>
          </w:p>
          <w:p>
            <w:pPr>
              <w:spacing w:line="276" w:lineRule="auto"/>
              <w:jc w:val="both"/>
              <w:rPr>
                <w:szCs w:val="21"/>
                <w:lang w:val="en-US" w:eastAsia="zh-CN"/>
              </w:rPr>
            </w:pPr>
            <w:r>
              <w:rPr>
                <w:rFonts w:hint="eastAsia"/>
                <w:szCs w:val="21"/>
                <w:lang w:val="en-US" w:eastAsia="zh-CN"/>
              </w:rPr>
              <w:t>（2）产品注册号；</w:t>
            </w:r>
          </w:p>
          <w:p>
            <w:pPr>
              <w:spacing w:line="276" w:lineRule="auto"/>
              <w:jc w:val="both"/>
              <w:rPr>
                <w:szCs w:val="21"/>
                <w:lang w:val="en-US" w:eastAsia="zh-CN"/>
              </w:rPr>
            </w:pPr>
            <w:r>
              <w:rPr>
                <w:rFonts w:hint="eastAsia"/>
                <w:szCs w:val="21"/>
                <w:lang w:val="en-US" w:eastAsia="zh-CN"/>
              </w:rPr>
              <w:t>（3）型号；</w:t>
            </w:r>
          </w:p>
          <w:p>
            <w:pPr>
              <w:spacing w:line="276" w:lineRule="auto"/>
              <w:jc w:val="both"/>
              <w:rPr>
                <w:szCs w:val="21"/>
                <w:lang w:val="en-US" w:eastAsia="zh-CN"/>
              </w:rPr>
            </w:pPr>
            <w:r>
              <w:rPr>
                <w:rFonts w:hint="eastAsia"/>
                <w:szCs w:val="21"/>
                <w:lang w:val="en-US" w:eastAsia="zh-CN"/>
              </w:rPr>
              <w:t>（4）生产日期或编号；</w:t>
            </w:r>
          </w:p>
          <w:p>
            <w:pPr>
              <w:spacing w:line="276" w:lineRule="auto"/>
              <w:jc w:val="both"/>
              <w:rPr>
                <w:szCs w:val="21"/>
                <w:lang w:val="en-US" w:eastAsia="zh-CN"/>
              </w:rPr>
            </w:pPr>
            <w:r>
              <w:rPr>
                <w:rFonts w:hint="eastAsia"/>
                <w:szCs w:val="21"/>
                <w:lang w:val="en-US" w:eastAsia="zh-CN"/>
              </w:rPr>
              <w:t>（5）对设备必要的说明；</w:t>
            </w:r>
          </w:p>
          <w:p>
            <w:pPr>
              <w:spacing w:line="276" w:lineRule="auto"/>
              <w:jc w:val="both"/>
              <w:rPr>
                <w:color w:val="0070C0"/>
                <w:szCs w:val="21"/>
                <w:lang w:eastAsia="zh-CN"/>
              </w:rPr>
            </w:pPr>
            <w:r>
              <w:rPr>
                <w:rFonts w:hint="eastAsia"/>
                <w:szCs w:val="21"/>
                <w:lang w:val="en-US" w:eastAsia="zh-CN"/>
              </w:rPr>
              <w:t>（6）安全标识。</w:t>
            </w:r>
          </w:p>
        </w:tc>
        <w:tc>
          <w:tcPr>
            <w:tcW w:w="2125" w:type="dxa"/>
            <w:vAlign w:val="center"/>
          </w:tcPr>
          <w:p>
            <w:pPr>
              <w:jc w:val="both"/>
              <w:rPr>
                <w:szCs w:val="21"/>
                <w:lang w:eastAsia="zh-CN"/>
              </w:rPr>
            </w:pPr>
            <w:r>
              <w:rPr>
                <w:rFonts w:hint="eastAsia"/>
                <w:szCs w:val="21"/>
                <w:lang w:eastAsia="zh-CN"/>
              </w:rPr>
              <w:t>关键</w:t>
            </w:r>
          </w:p>
        </w:tc>
      </w:tr>
      <w:bookmarkEnd w:id="23"/>
      <w:bookmarkEnd w:id="24"/>
    </w:tbl>
    <w:p>
      <w:pPr>
        <w:pStyle w:val="44"/>
        <w:spacing w:after="158" w:afterLines="50"/>
        <w:ind w:left="425" w:firstLine="0" w:firstLineChars="0"/>
        <w:rPr>
          <w:rFonts w:ascii="Times New Roman" w:hAnsi="Times New Roman"/>
          <w:szCs w:val="21"/>
        </w:rPr>
      </w:pPr>
    </w:p>
    <w:p>
      <w:pPr>
        <w:pStyle w:val="44"/>
        <w:numPr>
          <w:ilvl w:val="0"/>
          <w:numId w:val="3"/>
        </w:numPr>
        <w:spacing w:after="158" w:afterLines="50"/>
        <w:ind w:left="426" w:hanging="426" w:hangingChars="202"/>
        <w:outlineLvl w:val="0"/>
        <w:rPr>
          <w:rFonts w:ascii="Times New Roman" w:hAnsi="Times New Roman"/>
          <w:b/>
        </w:rPr>
      </w:pPr>
      <w:bookmarkStart w:id="25" w:name="_Toc522107740"/>
      <w:bookmarkStart w:id="26" w:name="_Toc522716121"/>
      <w:r>
        <w:rPr>
          <w:rFonts w:hint="eastAsia" w:ascii="Times New Roman" w:hAnsi="Times New Roman"/>
          <w:b/>
        </w:rPr>
        <w:t>运行要求</w:t>
      </w:r>
      <w:bookmarkEnd w:id="25"/>
      <w:bookmarkEnd w:id="26"/>
    </w:p>
    <w:tbl>
      <w:tblPr>
        <w:tblStyle w:val="19"/>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rFonts w:hint="eastAsia"/>
                <w:b/>
                <w:szCs w:val="21"/>
              </w:rPr>
              <w:t>编号</w:t>
            </w:r>
          </w:p>
        </w:tc>
        <w:tc>
          <w:tcPr>
            <w:tcW w:w="7128" w:type="dxa"/>
            <w:shd w:val="clear" w:color="auto" w:fill="D9D9D9"/>
            <w:vAlign w:val="center"/>
          </w:tcPr>
          <w:p>
            <w:pPr>
              <w:jc w:val="center"/>
              <w:rPr>
                <w:b/>
                <w:szCs w:val="21"/>
                <w:lang w:eastAsia="zh-CN"/>
              </w:rPr>
            </w:pPr>
            <w:r>
              <w:rPr>
                <w:rFonts w:hint="eastAsia"/>
                <w:b/>
                <w:szCs w:val="21"/>
                <w:lang w:eastAsia="zh-CN"/>
              </w:rPr>
              <w:t>需求</w:t>
            </w:r>
          </w:p>
        </w:tc>
        <w:tc>
          <w:tcPr>
            <w:tcW w:w="2125" w:type="dxa"/>
            <w:shd w:val="clear" w:color="auto" w:fill="D9D9D9"/>
            <w:vAlign w:val="center"/>
          </w:tcPr>
          <w:p>
            <w:pPr>
              <w:jc w:val="center"/>
              <w:rPr>
                <w:b/>
                <w:szCs w:val="21"/>
                <w:lang w:eastAsia="zh-CN"/>
              </w:rPr>
            </w:pPr>
            <w:r>
              <w:rPr>
                <w:rFonts w:hint="eastAsia"/>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ind w:left="470" w:firstLine="0" w:firstLineChars="0"/>
              <w:rPr>
                <w:rFonts w:ascii="Times New Roman" w:hAnsi="Times New Roman"/>
                <w:szCs w:val="21"/>
              </w:rPr>
            </w:pPr>
          </w:p>
        </w:tc>
        <w:tc>
          <w:tcPr>
            <w:tcW w:w="7128" w:type="dxa"/>
            <w:vAlign w:val="center"/>
          </w:tcPr>
          <w:p>
            <w:pPr>
              <w:spacing w:line="276" w:lineRule="auto"/>
              <w:jc w:val="both"/>
              <w:rPr>
                <w:szCs w:val="21"/>
                <w:lang w:eastAsia="zh-CN"/>
              </w:rPr>
            </w:pPr>
            <w:r>
              <w:rPr>
                <w:szCs w:val="21"/>
                <w:lang w:eastAsia="zh-CN"/>
              </w:rPr>
              <w:t>N/A</w:t>
            </w:r>
          </w:p>
        </w:tc>
        <w:tc>
          <w:tcPr>
            <w:tcW w:w="2125" w:type="dxa"/>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ind w:left="470" w:firstLine="0" w:firstLineChars="0"/>
              <w:rPr>
                <w:rFonts w:ascii="Times New Roman" w:hAnsi="Times New Roman"/>
                <w:szCs w:val="21"/>
              </w:rPr>
            </w:pPr>
          </w:p>
        </w:tc>
        <w:tc>
          <w:tcPr>
            <w:tcW w:w="9253" w:type="dxa"/>
            <w:gridSpan w:val="2"/>
            <w:vAlign w:val="center"/>
          </w:tcPr>
          <w:p>
            <w:pPr>
              <w:jc w:val="both"/>
              <w:rPr>
                <w:szCs w:val="21"/>
                <w:lang w:eastAsia="zh-CN"/>
              </w:rPr>
            </w:pPr>
            <w:r>
              <w:rPr>
                <w:szCs w:val="21"/>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8"/>
              </w:numPr>
              <w:ind w:firstLineChars="0"/>
              <w:rPr>
                <w:rFonts w:ascii="Times New Roman" w:hAnsi="Times New Roman"/>
                <w:szCs w:val="21"/>
                <w:highlight w:val="none"/>
              </w:rPr>
            </w:pPr>
          </w:p>
        </w:tc>
        <w:tc>
          <w:tcPr>
            <w:tcW w:w="9253" w:type="dxa"/>
            <w:gridSpan w:val="2"/>
            <w:shd w:val="clear" w:color="auto" w:fill="D9D9D9"/>
            <w:vAlign w:val="center"/>
          </w:tcPr>
          <w:p>
            <w:pPr>
              <w:jc w:val="both"/>
              <w:rPr>
                <w:szCs w:val="21"/>
                <w:highlight w:val="none"/>
                <w:lang w:eastAsia="zh-CN"/>
              </w:rPr>
            </w:pPr>
            <w:r>
              <w:rPr>
                <w:rFonts w:hint="eastAsia"/>
                <w:color w:val="000000"/>
                <w:szCs w:val="21"/>
                <w:highlight w:val="none"/>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
        </w:tc>
        <w:tc>
          <w:tcPr>
            <w:tcW w:w="7128" w:type="dxa"/>
            <w:vAlign w:val="center"/>
          </w:tcPr>
          <w:p>
            <w:pPr>
              <w:spacing w:line="276" w:lineRule="auto"/>
              <w:jc w:val="both"/>
              <w:rPr>
                <w:i/>
                <w:szCs w:val="21"/>
                <w:highlight w:val="none"/>
                <w:lang w:val="en-US" w:eastAsia="zh-CN"/>
              </w:rPr>
            </w:pPr>
            <w:r>
              <w:rPr>
                <w:rFonts w:hint="eastAsia" w:ascii="宋体" w:hAnsi="宋体"/>
                <w:highlight w:val="none"/>
                <w:lang w:eastAsia="zh-CN"/>
              </w:rPr>
              <w:t>检测功能：包括紫外-可见吸收光检测、荧光强度检测、化学发光检测、生物发光检测、时间分辨荧光检测、荧光偏振检测</w:t>
            </w:r>
          </w:p>
        </w:tc>
        <w:tc>
          <w:tcPr>
            <w:tcW w:w="2125" w:type="dxa"/>
            <w:vAlign w:val="center"/>
          </w:tcPr>
          <w:p>
            <w:pPr>
              <w:jc w:val="both"/>
              <w:rPr>
                <w:szCs w:val="21"/>
                <w:highlight w:val="none"/>
                <w:lang w:val="en-US" w:eastAsia="zh-CN"/>
              </w:rPr>
            </w:pPr>
            <w:r>
              <w:rPr>
                <w:rFonts w:hint="eastAsia"/>
                <w:szCs w:val="21"/>
                <w:highlight w:val="none"/>
                <w:lang w:eastAsia="zh-CN"/>
              </w:rPr>
              <w:t>关键</w:t>
            </w:r>
            <w:r>
              <w:rPr>
                <w:rFonts w:hint="eastAsia"/>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
        </w:tc>
        <w:tc>
          <w:tcPr>
            <w:tcW w:w="7128" w:type="dxa"/>
            <w:vAlign w:val="center"/>
          </w:tcPr>
          <w:p>
            <w:pPr>
              <w:rPr>
                <w:rFonts w:ascii="宋体"/>
                <w:highlight w:val="none"/>
                <w:lang w:val="en-US" w:eastAsia="zh-CN"/>
              </w:rPr>
            </w:pPr>
            <w:r>
              <w:rPr>
                <w:rFonts w:hint="eastAsia" w:ascii="宋体"/>
                <w:highlight w:val="none"/>
                <w:lang w:val="en-US" w:eastAsia="zh-CN"/>
              </w:rPr>
              <w:t>吸收光检测光源：高能氙灯</w:t>
            </w:r>
          </w:p>
        </w:tc>
        <w:tc>
          <w:tcPr>
            <w:tcW w:w="2125" w:type="dxa"/>
            <w:vAlign w:val="center"/>
          </w:tcPr>
          <w:p>
            <w:pPr>
              <w:jc w:val="both"/>
              <w:rPr>
                <w:szCs w:val="21"/>
                <w:highlight w:val="none"/>
                <w:lang w:eastAsia="zh-CN"/>
              </w:rPr>
            </w:pPr>
            <w:r>
              <w:rPr>
                <w:rFonts w:hint="eastAsia"/>
                <w:szCs w:val="21"/>
                <w:highlight w:val="none"/>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
        </w:tc>
        <w:tc>
          <w:tcPr>
            <w:tcW w:w="7128" w:type="dxa"/>
            <w:vAlign w:val="center"/>
          </w:tcPr>
          <w:p>
            <w:pPr>
              <w:rPr>
                <w:rStyle w:val="57"/>
                <w:rFonts w:hint="eastAsia"/>
                <w:color w:val="auto"/>
                <w:sz w:val="21"/>
                <w:szCs w:val="21"/>
                <w:highlight w:val="none"/>
                <w:lang w:eastAsia="zh-CN"/>
              </w:rPr>
            </w:pPr>
            <w:r>
              <w:rPr>
                <w:rStyle w:val="57"/>
                <w:rFonts w:hint="eastAsia"/>
                <w:color w:val="auto"/>
                <w:sz w:val="21"/>
                <w:szCs w:val="21"/>
                <w:highlight w:val="none"/>
                <w:lang w:eastAsia="zh-CN"/>
              </w:rPr>
              <w:t>光吸收检测</w:t>
            </w:r>
          </w:p>
          <w:p>
            <w:pPr>
              <w:rPr>
                <w:rFonts w:ascii="FZZDXJW--GB1-0" w:hAnsi="FZZDXJW--GB1-0"/>
                <w:szCs w:val="21"/>
                <w:highlight w:val="none"/>
                <w:lang w:eastAsia="zh-CN"/>
              </w:rPr>
            </w:pPr>
            <w:r>
              <w:rPr>
                <w:rStyle w:val="57"/>
                <w:rFonts w:hint="eastAsia"/>
                <w:color w:val="auto"/>
                <w:sz w:val="21"/>
                <w:szCs w:val="21"/>
                <w:highlight w:val="none"/>
                <w:lang w:eastAsia="zh-CN"/>
              </w:rPr>
              <w:t>波长选择：双光栅；波长范围: 230-999 nm，带宽: 2 nm (230－285 nm), 4 nm (&gt;285 nm)；分辨率: 0.0001 OD</w:t>
            </w:r>
            <w:r>
              <w:rPr>
                <w:rFonts w:ascii="宋体" w:hAnsi="宋体"/>
                <w:szCs w:val="21"/>
                <w:highlight w:val="none"/>
                <w:lang w:eastAsia="zh-CN"/>
              </w:rPr>
              <w:t xml:space="preserve"> </w:t>
            </w:r>
          </w:p>
        </w:tc>
        <w:tc>
          <w:tcPr>
            <w:tcW w:w="2125" w:type="dxa"/>
            <w:vAlign w:val="center"/>
          </w:tcPr>
          <w:p>
            <w:pPr>
              <w:jc w:val="both"/>
              <w:rPr>
                <w:szCs w:val="21"/>
                <w:highlight w:val="none"/>
                <w:lang w:val="en-US" w:eastAsia="zh-CN"/>
              </w:rPr>
            </w:pPr>
            <w:r>
              <w:rPr>
                <w:rFonts w:hint="eastAsia"/>
                <w:szCs w:val="21"/>
                <w:highlight w:val="none"/>
                <w:lang w:eastAsia="zh-CN"/>
              </w:rPr>
              <w:t>关键</w:t>
            </w:r>
            <w:r>
              <w:rPr>
                <w:rFonts w:hint="eastAsia"/>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
        </w:tc>
        <w:tc>
          <w:tcPr>
            <w:tcW w:w="7128" w:type="dxa"/>
            <w:vAlign w:val="center"/>
          </w:tcPr>
          <w:p>
            <w:pPr>
              <w:rPr>
                <w:rFonts w:hint="default" w:ascii="Times New Roman" w:hAnsi="Times New Roman" w:cs="Times New Roman"/>
                <w:highlight w:val="none"/>
                <w:lang w:val="en-US" w:eastAsia="zh-CN"/>
              </w:rPr>
            </w:pPr>
            <w:r>
              <w:rPr>
                <w:rFonts w:hint="default" w:ascii="Times New Roman" w:hAnsi="Times New Roman" w:cs="Times New Roman"/>
                <w:highlight w:val="none"/>
                <w:lang w:eastAsia="zh-CN"/>
              </w:rPr>
              <w:t>可以读取有盖或无盖的</w:t>
            </w:r>
            <w:r>
              <w:rPr>
                <w:rFonts w:hint="default" w:ascii="Times New Roman" w:hAnsi="Times New Roman" w:cs="Times New Roman"/>
                <w:highlight w:val="none"/>
                <w:lang w:val="en-US" w:eastAsia="zh-CN"/>
              </w:rPr>
              <w:t>6~1536孔板。具备快速读数功能，96 孔板: 6秒、384孔板: 11 秒、1536孔板: 25 秒</w:t>
            </w:r>
          </w:p>
        </w:tc>
        <w:tc>
          <w:tcPr>
            <w:tcW w:w="2125" w:type="dxa"/>
            <w:vAlign w:val="center"/>
          </w:tcPr>
          <w:p>
            <w:pPr>
              <w:jc w:val="both"/>
              <w:rPr>
                <w:szCs w:val="21"/>
                <w:highlight w:val="none"/>
                <w:lang w:eastAsia="zh-CN"/>
              </w:rPr>
            </w:pPr>
            <w:r>
              <w:rPr>
                <w:rFonts w:hint="eastAsia"/>
                <w:szCs w:val="21"/>
                <w:highlight w:val="none"/>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
        </w:tc>
        <w:tc>
          <w:tcPr>
            <w:tcW w:w="7128" w:type="dxa"/>
            <w:vAlign w:val="center"/>
          </w:tcPr>
          <w:p>
            <w:pPr>
              <w:rPr>
                <w:rFonts w:hint="default" w:ascii="Times New Roman" w:hAnsi="Times New Roman" w:cs="Times New Roman"/>
                <w:highlight w:val="none"/>
                <w:lang w:eastAsia="zh-CN"/>
              </w:rPr>
            </w:pPr>
            <w:r>
              <w:rPr>
                <w:rFonts w:ascii="Times New Roman" w:hAnsi="Times New Roman" w:eastAsia="宋体" w:cs="Times New Roman"/>
                <w:sz w:val="21"/>
                <w:szCs w:val="20"/>
                <w:highlight w:val="none"/>
                <w:lang w:eastAsia="zh-CN"/>
              </w:rPr>
              <w:t>标准配置GFP荧光检测通道 激发光485 nm（带宽±10nm）发射光516nm（带宽±10nm）用于荧光强度检测</w:t>
            </w:r>
          </w:p>
        </w:tc>
        <w:tc>
          <w:tcPr>
            <w:tcW w:w="2125" w:type="dxa"/>
            <w:vAlign w:val="center"/>
          </w:tcPr>
          <w:p>
            <w:pPr>
              <w:jc w:val="both"/>
              <w:rPr>
                <w:szCs w:val="21"/>
                <w:highlight w:val="none"/>
                <w:lang w:val="en-US" w:eastAsia="zh-CN"/>
              </w:rPr>
            </w:pPr>
            <w:r>
              <w:rPr>
                <w:rFonts w:hint="eastAsia"/>
                <w:szCs w:val="21"/>
                <w:highlight w:val="none"/>
                <w:lang w:eastAsia="zh-CN"/>
              </w:rPr>
              <w:t>关键</w:t>
            </w:r>
            <w:r>
              <w:rPr>
                <w:rFonts w:hint="eastAsia"/>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
        </w:tc>
        <w:tc>
          <w:tcPr>
            <w:tcW w:w="7128" w:type="dxa"/>
            <w:vAlign w:val="center"/>
          </w:tcPr>
          <w:p>
            <w:pPr>
              <w:rPr>
                <w:rFonts w:hint="default" w:ascii="Times New Roman" w:hAnsi="Times New Roman" w:cs="Times New Roman"/>
                <w:szCs w:val="21"/>
                <w:highlight w:val="none"/>
                <w:lang w:val="en-US" w:eastAsia="zh-CN"/>
              </w:rPr>
            </w:pPr>
            <w:r>
              <w:rPr>
                <w:rFonts w:hint="default" w:ascii="Times New Roman" w:hAnsi="Times New Roman" w:cs="Times New Roman"/>
                <w:highlight w:val="none"/>
                <w:lang w:eastAsia="zh-CN"/>
              </w:rPr>
              <w:t>振荡: 线性, 轨道, 双轨道，可调整震荡频率，振幅及震荡时间</w:t>
            </w:r>
          </w:p>
        </w:tc>
        <w:tc>
          <w:tcPr>
            <w:tcW w:w="2125" w:type="dxa"/>
            <w:vAlign w:val="center"/>
          </w:tcPr>
          <w:p>
            <w:pPr>
              <w:jc w:val="both"/>
              <w:rPr>
                <w:szCs w:val="21"/>
                <w:highlight w:val="none"/>
                <w:lang w:eastAsia="zh-CN"/>
              </w:rPr>
            </w:pPr>
            <w:r>
              <w:rPr>
                <w:rFonts w:hint="eastAsia"/>
                <w:szCs w:val="21"/>
                <w:highlight w:val="none"/>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
        </w:tc>
        <w:tc>
          <w:tcPr>
            <w:tcW w:w="7128" w:type="dxa"/>
            <w:vAlign w:val="center"/>
          </w:tcPr>
          <w:p>
            <w:pPr>
              <w:spacing w:line="276" w:lineRule="auto"/>
              <w:jc w:val="both"/>
              <w:rPr>
                <w:rFonts w:hint="default" w:ascii="Times New Roman" w:hAnsi="Times New Roman" w:cs="Times New Roman"/>
                <w:highlight w:val="none"/>
                <w:lang w:eastAsia="zh-CN"/>
              </w:rPr>
            </w:pPr>
            <w:r>
              <w:rPr>
                <w:rFonts w:hint="default" w:ascii="Times New Roman" w:hAnsi="Times New Roman" w:cs="Times New Roman"/>
                <w:highlight w:val="none"/>
                <w:lang w:eastAsia="zh-CN"/>
              </w:rPr>
              <w:t>温度控制: 环境温度以上3º C－70º C ；±0.2º C @ 37º C，样品仓温度梯度可调，可保证检测板顶部温度略高于底部温度达到热盖效果</w:t>
            </w:r>
          </w:p>
        </w:tc>
        <w:tc>
          <w:tcPr>
            <w:tcW w:w="2125" w:type="dxa"/>
            <w:vAlign w:val="center"/>
          </w:tcPr>
          <w:p>
            <w:pPr>
              <w:jc w:val="both"/>
              <w:rPr>
                <w:szCs w:val="21"/>
                <w:highlight w:val="none"/>
                <w:lang w:eastAsia="zh-CN"/>
              </w:rPr>
            </w:pPr>
            <w:r>
              <w:rPr>
                <w:rFonts w:hint="eastAsia"/>
                <w:szCs w:val="21"/>
                <w:highlight w:val="none"/>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8"/>
              </w:numPr>
              <w:ind w:firstLineChars="0"/>
              <w:rPr>
                <w:rFonts w:ascii="Times New Roman" w:hAnsi="Times New Roman"/>
                <w:szCs w:val="21"/>
                <w:highlight w:val="none"/>
              </w:rPr>
            </w:pPr>
          </w:p>
        </w:tc>
        <w:tc>
          <w:tcPr>
            <w:tcW w:w="9253" w:type="dxa"/>
            <w:gridSpan w:val="2"/>
            <w:shd w:val="clear" w:color="auto" w:fill="D9D9D9"/>
            <w:vAlign w:val="center"/>
          </w:tcPr>
          <w:p>
            <w:pPr>
              <w:jc w:val="both"/>
              <w:rPr>
                <w:szCs w:val="21"/>
                <w:highlight w:val="none"/>
                <w:lang w:eastAsia="zh-CN"/>
              </w:rPr>
            </w:pPr>
            <w:r>
              <w:rPr>
                <w:rFonts w:hint="eastAsia"/>
                <w:szCs w:val="21"/>
                <w:highlight w:val="none"/>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
        </w:tc>
        <w:tc>
          <w:tcPr>
            <w:tcW w:w="7128" w:type="dxa"/>
            <w:vAlign w:val="center"/>
          </w:tcPr>
          <w:p>
            <w:pPr>
              <w:spacing w:line="276" w:lineRule="auto"/>
              <w:jc w:val="both"/>
              <w:rPr>
                <w:rFonts w:ascii="宋体" w:cs="宋体"/>
                <w:szCs w:val="21"/>
                <w:highlight w:val="none"/>
                <w:lang w:val="en-US" w:eastAsia="zh-CN"/>
              </w:rPr>
            </w:pPr>
            <w:r>
              <w:rPr>
                <w:rStyle w:val="57"/>
                <w:rFonts w:hint="eastAsia"/>
                <w:sz w:val="21"/>
                <w:szCs w:val="21"/>
                <w:highlight w:val="none"/>
                <w:lang w:eastAsia="zh-CN"/>
              </w:rPr>
              <w:t>仪器</w:t>
            </w:r>
            <w:r>
              <w:rPr>
                <w:rStyle w:val="57"/>
                <w:sz w:val="21"/>
                <w:szCs w:val="21"/>
                <w:highlight w:val="none"/>
                <w:lang w:eastAsia="zh-CN"/>
              </w:rPr>
              <w:t>内可存储</w:t>
            </w:r>
            <w:r>
              <w:rPr>
                <w:rStyle w:val="57"/>
                <w:rFonts w:hint="eastAsia"/>
                <w:sz w:val="21"/>
                <w:szCs w:val="21"/>
                <w:highlight w:val="none"/>
                <w:lang w:eastAsia="zh-CN"/>
              </w:rPr>
              <w:t>≥</w:t>
            </w:r>
            <w:r>
              <w:rPr>
                <w:rStyle w:val="57"/>
                <w:sz w:val="21"/>
                <w:szCs w:val="21"/>
                <w:highlight w:val="none"/>
                <w:lang w:eastAsia="zh-CN"/>
              </w:rPr>
              <w:t>100个测量程序和</w:t>
            </w:r>
            <w:r>
              <w:rPr>
                <w:rStyle w:val="57"/>
                <w:rFonts w:hint="eastAsia"/>
                <w:sz w:val="21"/>
                <w:szCs w:val="21"/>
                <w:highlight w:val="none"/>
                <w:lang w:eastAsia="zh-CN"/>
              </w:rPr>
              <w:t>大于等于</w:t>
            </w:r>
            <w:r>
              <w:rPr>
                <w:rStyle w:val="57"/>
                <w:sz w:val="21"/>
                <w:szCs w:val="21"/>
                <w:highlight w:val="none"/>
                <w:lang w:eastAsia="zh-CN"/>
              </w:rPr>
              <w:t>100组测量结果（96 孔板）</w:t>
            </w:r>
          </w:p>
        </w:tc>
        <w:tc>
          <w:tcPr>
            <w:tcW w:w="2125" w:type="dxa"/>
            <w:vAlign w:val="center"/>
          </w:tcPr>
          <w:p>
            <w:pPr>
              <w:jc w:val="both"/>
              <w:rPr>
                <w:szCs w:val="21"/>
                <w:highlight w:val="none"/>
                <w:lang w:eastAsia="zh-CN"/>
              </w:rPr>
            </w:pPr>
            <w:r>
              <w:rPr>
                <w:rFonts w:hint="eastAsia"/>
                <w:szCs w:val="21"/>
                <w:highlight w:val="none"/>
                <w:lang w:eastAsia="zh-CN"/>
              </w:rPr>
              <w:t>关键</w:t>
            </w:r>
          </w:p>
        </w:tc>
      </w:tr>
    </w:tbl>
    <w:p>
      <w:pPr>
        <w:pStyle w:val="44"/>
        <w:numPr>
          <w:ilvl w:val="0"/>
          <w:numId w:val="0"/>
        </w:numPr>
        <w:spacing w:after="158" w:afterLines="50"/>
        <w:ind w:leftChars="-202"/>
        <w:outlineLvl w:val="0"/>
        <w:rPr>
          <w:rFonts w:ascii="Times New Roman" w:hAnsi="Times New Roman"/>
          <w:b/>
        </w:rPr>
      </w:pPr>
      <w:bookmarkStart w:id="27" w:name="_Toc522716122"/>
      <w:bookmarkStart w:id="28" w:name="_Toc522107742"/>
      <w:bookmarkStart w:id="29" w:name="_Toc482717202"/>
      <w:bookmarkStart w:id="30" w:name="_Toc482370151"/>
      <w:bookmarkStart w:id="31" w:name="_Toc482625289"/>
      <w:bookmarkStart w:id="32" w:name="_Toc482359946"/>
      <w:bookmarkStart w:id="33" w:name="_Toc482360291"/>
      <w:bookmarkStart w:id="34" w:name="_Toc483400317"/>
      <w:bookmarkStart w:id="35" w:name="_Toc482370767"/>
      <w:bookmarkStart w:id="36" w:name="_Toc482370359"/>
      <w:bookmarkStart w:id="37" w:name="_Toc483227237"/>
      <w:bookmarkStart w:id="38" w:name="_Toc481702480"/>
      <w:bookmarkStart w:id="39" w:name="_Toc482370071"/>
      <w:bookmarkStart w:id="40" w:name="_Toc482369815"/>
    </w:p>
    <w:p>
      <w:pPr>
        <w:pStyle w:val="44"/>
        <w:numPr>
          <w:ilvl w:val="0"/>
          <w:numId w:val="3"/>
        </w:numPr>
        <w:spacing w:after="158" w:afterLines="50"/>
        <w:ind w:left="426" w:hanging="426" w:hangingChars="202"/>
        <w:outlineLvl w:val="0"/>
        <w:rPr>
          <w:rFonts w:ascii="Times New Roman" w:hAnsi="Times New Roman"/>
          <w:b/>
        </w:rPr>
      </w:pPr>
      <w:r>
        <w:rPr>
          <w:rFonts w:hint="eastAsia" w:ascii="Times New Roman" w:hAnsi="Times New Roman"/>
          <w:b/>
        </w:rPr>
        <w:t>电气、自动控制要求</w:t>
      </w:r>
      <w:bookmarkEnd w:id="27"/>
    </w:p>
    <w:tbl>
      <w:tblPr>
        <w:tblStyle w:val="19"/>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rFonts w:hint="eastAsia"/>
                <w:b/>
                <w:szCs w:val="21"/>
              </w:rPr>
              <w:t>编号</w:t>
            </w:r>
          </w:p>
        </w:tc>
        <w:tc>
          <w:tcPr>
            <w:tcW w:w="7128" w:type="dxa"/>
            <w:shd w:val="clear" w:color="auto" w:fill="D9D9D9"/>
            <w:vAlign w:val="center"/>
          </w:tcPr>
          <w:p>
            <w:pPr>
              <w:jc w:val="center"/>
              <w:rPr>
                <w:b/>
                <w:szCs w:val="21"/>
                <w:lang w:eastAsia="zh-CN"/>
              </w:rPr>
            </w:pPr>
            <w:r>
              <w:rPr>
                <w:rFonts w:hint="eastAsia"/>
                <w:b/>
                <w:szCs w:val="21"/>
                <w:lang w:eastAsia="zh-CN"/>
              </w:rPr>
              <w:t>需求</w:t>
            </w:r>
          </w:p>
        </w:tc>
        <w:tc>
          <w:tcPr>
            <w:tcW w:w="2125" w:type="dxa"/>
            <w:shd w:val="clear" w:color="auto" w:fill="D9D9D9"/>
            <w:vAlign w:val="center"/>
          </w:tcPr>
          <w:p>
            <w:pPr>
              <w:jc w:val="center"/>
              <w:rPr>
                <w:b/>
                <w:szCs w:val="21"/>
                <w:lang w:eastAsia="zh-CN"/>
              </w:rPr>
            </w:pPr>
            <w:r>
              <w:rPr>
                <w:rFonts w:hint="eastAsia"/>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2"/>
                <w:numId w:val="9"/>
              </w:numPr>
              <w:ind w:firstLineChars="0"/>
              <w:rPr>
                <w:rFonts w:ascii="Times New Roman" w:hAnsi="Times New Roman"/>
                <w:szCs w:val="21"/>
                <w:highlight w:val="none"/>
              </w:rPr>
            </w:pPr>
          </w:p>
        </w:tc>
        <w:tc>
          <w:tcPr>
            <w:tcW w:w="9253" w:type="dxa"/>
            <w:gridSpan w:val="2"/>
            <w:shd w:val="clear" w:color="auto" w:fill="D9D9D9"/>
            <w:vAlign w:val="center"/>
          </w:tcPr>
          <w:p>
            <w:pPr>
              <w:jc w:val="both"/>
              <w:rPr>
                <w:szCs w:val="21"/>
                <w:highlight w:val="none"/>
                <w:lang w:eastAsia="zh-CN"/>
              </w:rPr>
            </w:pPr>
            <w:r>
              <w:rPr>
                <w:rFonts w:hint="eastAsia"/>
                <w:szCs w:val="21"/>
                <w:highlight w:val="none"/>
                <w:lang w:eastAsia="zh-CN"/>
              </w:rPr>
              <w:t>自动控制要求（请自行决定是否需要连接相关设备，方便删减）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可连接打印机进行打印</w:t>
            </w:r>
          </w:p>
        </w:tc>
        <w:tc>
          <w:tcPr>
            <w:tcW w:w="2125" w:type="dxa"/>
            <w:vAlign w:val="center"/>
          </w:tcPr>
          <w:p>
            <w:pPr>
              <w:jc w:val="both"/>
              <w:rPr>
                <w:szCs w:val="21"/>
                <w:lang w:val="en-US" w:eastAsia="zh-CN"/>
              </w:rPr>
            </w:pPr>
            <w:r>
              <w:rPr>
                <w:rFonts w:hint="eastAsia"/>
                <w:szCs w:val="21"/>
                <w:lang w:eastAsia="zh-CN"/>
              </w:rPr>
              <w:t>关键</w:t>
            </w:r>
            <w:r>
              <w:rPr>
                <w:rFonts w:hint="eastAsia"/>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iCs/>
                <w:szCs w:val="21"/>
                <w:lang w:eastAsia="zh-CN"/>
              </w:rPr>
              <w:t>U</w:t>
            </w:r>
            <w:r>
              <w:rPr>
                <w:iCs/>
                <w:szCs w:val="21"/>
                <w:lang w:eastAsia="zh-CN"/>
              </w:rPr>
              <w:t>SB</w:t>
            </w:r>
            <w:r>
              <w:rPr>
                <w:rFonts w:hint="eastAsia"/>
                <w:iCs/>
                <w:szCs w:val="21"/>
                <w:lang w:eastAsia="zh-CN"/>
              </w:rPr>
              <w:t>接口，用于计算机连接，</w:t>
            </w:r>
            <w:r>
              <w:rPr>
                <w:rStyle w:val="57"/>
                <w:sz w:val="21"/>
                <w:szCs w:val="21"/>
                <w:lang w:eastAsia="zh-CN"/>
              </w:rPr>
              <w:t>结果的输出和保存，外接打印机</w:t>
            </w:r>
          </w:p>
        </w:tc>
        <w:tc>
          <w:tcPr>
            <w:tcW w:w="2125" w:type="dxa"/>
            <w:vAlign w:val="center"/>
          </w:tcPr>
          <w:p>
            <w:pPr>
              <w:jc w:val="both"/>
              <w:rPr>
                <w:szCs w:val="21"/>
                <w:lang w:val="en-US" w:eastAsia="zh-CN"/>
              </w:rPr>
            </w:pPr>
            <w:r>
              <w:rPr>
                <w:rFonts w:hint="eastAsia"/>
                <w:szCs w:val="21"/>
                <w:lang w:eastAsia="zh-CN"/>
              </w:rPr>
              <w:t>关键</w:t>
            </w:r>
            <w:r>
              <w:rPr>
                <w:rFonts w:hint="eastAsia"/>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iCs/>
                <w:szCs w:val="21"/>
                <w:lang w:eastAsia="zh-CN"/>
              </w:rPr>
              <w:t>应有接入局域网的能力以及对实验室数据信息管理系统兼容性</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rPr>
            </w:pPr>
            <w:r>
              <w:rPr>
                <w:rFonts w:hint="eastAsia"/>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
        </w:tc>
        <w:tc>
          <w:tcPr>
            <w:tcW w:w="7128" w:type="dxa"/>
            <w:vAlign w:val="center"/>
          </w:tcPr>
          <w:p>
            <w:pPr>
              <w:spacing w:line="360" w:lineRule="auto"/>
              <w:jc w:val="both"/>
              <w:rPr>
                <w:iCs/>
                <w:szCs w:val="21"/>
                <w:highlight w:val="none"/>
                <w:lang w:eastAsia="zh-CN"/>
              </w:rPr>
            </w:pPr>
            <w:r>
              <w:rPr>
                <w:rFonts w:hint="eastAsia"/>
                <w:iCs/>
                <w:szCs w:val="21"/>
                <w:highlight w:val="none"/>
                <w:lang w:eastAsia="zh-CN"/>
              </w:rPr>
              <w:t>多功能微孔板检测仪必须配备高性能计算机及打印机，计算机要求至少6</w:t>
            </w:r>
            <w:r>
              <w:rPr>
                <w:iCs/>
                <w:szCs w:val="21"/>
                <w:highlight w:val="none"/>
                <w:lang w:eastAsia="zh-CN"/>
              </w:rPr>
              <w:t>4</w:t>
            </w:r>
            <w:r>
              <w:rPr>
                <w:rFonts w:hint="eastAsia"/>
                <w:iCs/>
                <w:szCs w:val="21"/>
                <w:highlight w:val="none"/>
                <w:lang w:eastAsia="zh-CN"/>
              </w:rPr>
              <w:t>位Microsoft</w:t>
            </w:r>
            <w:r>
              <w:rPr>
                <w:iCs/>
                <w:szCs w:val="21"/>
                <w:highlight w:val="none"/>
                <w:lang w:eastAsia="zh-CN"/>
              </w:rPr>
              <w:t xml:space="preserve"> W</w:t>
            </w:r>
            <w:r>
              <w:rPr>
                <w:rFonts w:hint="eastAsia"/>
                <w:iCs/>
                <w:szCs w:val="21"/>
                <w:highlight w:val="none"/>
                <w:lang w:eastAsia="zh-CN"/>
              </w:rPr>
              <w:t>indows</w:t>
            </w:r>
            <w:r>
              <w:rPr>
                <w:iCs/>
                <w:szCs w:val="21"/>
                <w:highlight w:val="none"/>
                <w:lang w:eastAsia="zh-CN"/>
              </w:rPr>
              <w:t xml:space="preserve"> </w:t>
            </w:r>
            <w:r>
              <w:rPr>
                <w:iCs/>
                <w:szCs w:val="21"/>
                <w:highlight w:val="none"/>
                <w:lang w:val="en-US" w:eastAsia="zh-CN"/>
              </w:rPr>
              <w:t>11</w:t>
            </w:r>
            <w:r>
              <w:rPr>
                <w:rFonts w:hint="eastAsia"/>
                <w:iCs/>
                <w:szCs w:val="21"/>
                <w:highlight w:val="none"/>
                <w:lang w:val="en-US" w:eastAsia="zh-CN"/>
              </w:rPr>
              <w:t>及</w:t>
            </w:r>
            <w:r>
              <w:rPr>
                <w:rFonts w:hint="eastAsia"/>
                <w:iCs/>
                <w:szCs w:val="21"/>
                <w:highlight w:val="none"/>
                <w:lang w:eastAsia="zh-CN"/>
              </w:rPr>
              <w:t>以上</w:t>
            </w:r>
            <w:r>
              <w:rPr>
                <w:rFonts w:hint="eastAsia"/>
                <w:iCs/>
                <w:szCs w:val="21"/>
                <w:highlight w:val="none"/>
                <w:lang w:val="en-US" w:eastAsia="zh-CN"/>
              </w:rPr>
              <w:t>。</w:t>
            </w:r>
            <w:r>
              <w:rPr>
                <w:rFonts w:hint="eastAsia"/>
                <w:iCs/>
                <w:szCs w:val="21"/>
                <w:highlight w:val="none"/>
                <w:lang w:eastAsia="zh-CN"/>
              </w:rPr>
              <w:t>处理器为i</w:t>
            </w:r>
            <w:r>
              <w:rPr>
                <w:iCs/>
                <w:szCs w:val="21"/>
                <w:highlight w:val="none"/>
                <w:lang w:eastAsia="zh-CN"/>
              </w:rPr>
              <w:t>5-12</w:t>
            </w:r>
            <w:r>
              <w:rPr>
                <w:rFonts w:hint="eastAsia"/>
                <w:iCs/>
                <w:szCs w:val="21"/>
                <w:highlight w:val="none"/>
                <w:lang w:eastAsia="zh-CN"/>
              </w:rPr>
              <w:t>代或更高配置，内存为</w:t>
            </w:r>
            <w:r>
              <w:rPr>
                <w:iCs/>
                <w:szCs w:val="21"/>
                <w:highlight w:val="none"/>
                <w:lang w:eastAsia="zh-CN"/>
              </w:rPr>
              <w:t>16GB RAM</w:t>
            </w:r>
            <w:r>
              <w:rPr>
                <w:rFonts w:hint="eastAsia"/>
                <w:iCs/>
                <w:szCs w:val="21"/>
                <w:highlight w:val="none"/>
                <w:lang w:eastAsia="zh-CN"/>
              </w:rPr>
              <w:t>，1</w:t>
            </w:r>
            <w:r>
              <w:rPr>
                <w:iCs/>
                <w:szCs w:val="21"/>
                <w:highlight w:val="none"/>
                <w:lang w:eastAsia="zh-CN"/>
              </w:rPr>
              <w:t>T</w:t>
            </w:r>
            <w:r>
              <w:rPr>
                <w:rFonts w:hint="eastAsia"/>
                <w:iCs/>
                <w:szCs w:val="21"/>
                <w:highlight w:val="none"/>
                <w:lang w:eastAsia="zh-CN"/>
              </w:rPr>
              <w:t>硬盘，2</w:t>
            </w:r>
            <w:r>
              <w:rPr>
                <w:iCs/>
                <w:szCs w:val="21"/>
                <w:highlight w:val="none"/>
                <w:lang w:eastAsia="zh-CN"/>
              </w:rPr>
              <w:t>3</w:t>
            </w:r>
            <w:r>
              <w:rPr>
                <w:rFonts w:hint="eastAsia"/>
                <w:iCs/>
                <w:szCs w:val="21"/>
                <w:highlight w:val="none"/>
                <w:lang w:eastAsia="zh-CN"/>
              </w:rPr>
              <w:t>寸显示器分辨率至少为1</w:t>
            </w:r>
            <w:r>
              <w:rPr>
                <w:iCs/>
                <w:szCs w:val="21"/>
                <w:highlight w:val="none"/>
                <w:lang w:eastAsia="zh-CN"/>
              </w:rPr>
              <w:t>280</w:t>
            </w:r>
            <w:r>
              <w:rPr>
                <w:rFonts w:hint="eastAsia"/>
                <w:iCs/>
                <w:szCs w:val="21"/>
                <w:highlight w:val="none"/>
                <w:lang w:eastAsia="zh-CN"/>
              </w:rPr>
              <w:t>x</w:t>
            </w:r>
            <w:r>
              <w:rPr>
                <w:iCs/>
                <w:szCs w:val="21"/>
                <w:highlight w:val="none"/>
                <w:lang w:eastAsia="zh-CN"/>
              </w:rPr>
              <w:t>1024</w:t>
            </w:r>
            <w:r>
              <w:rPr>
                <w:rFonts w:hint="eastAsia"/>
                <w:iCs/>
                <w:szCs w:val="21"/>
                <w:highlight w:val="none"/>
                <w:lang w:eastAsia="zh-CN"/>
              </w:rPr>
              <w:t>的S</w:t>
            </w:r>
            <w:r>
              <w:rPr>
                <w:iCs/>
                <w:szCs w:val="21"/>
                <w:highlight w:val="none"/>
                <w:lang w:eastAsia="zh-CN"/>
              </w:rPr>
              <w:t>XGA</w:t>
            </w:r>
            <w:r>
              <w:rPr>
                <w:rFonts w:hint="eastAsia"/>
                <w:iCs/>
                <w:szCs w:val="21"/>
                <w:highlight w:val="none"/>
                <w:lang w:eastAsia="zh-CN"/>
              </w:rPr>
              <w:t>，确保检测过程运行流畅。</w:t>
            </w:r>
          </w:p>
        </w:tc>
        <w:tc>
          <w:tcPr>
            <w:tcW w:w="2125" w:type="dxa"/>
            <w:vAlign w:val="center"/>
          </w:tcPr>
          <w:p>
            <w:pPr>
              <w:jc w:val="both"/>
              <w:rPr>
                <w:szCs w:val="21"/>
                <w:lang w:val="en-US" w:eastAsia="zh-CN"/>
              </w:rPr>
            </w:pPr>
            <w:r>
              <w:rPr>
                <w:rFonts w:hint="eastAsia"/>
                <w:szCs w:val="21"/>
                <w:lang w:eastAsia="zh-CN"/>
              </w:rPr>
              <w:t>关键</w:t>
            </w:r>
            <w:r>
              <w:rPr>
                <w:rFonts w:hint="eastAsia"/>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仪器软件具有至少</w:t>
            </w:r>
            <w:r>
              <w:rPr>
                <w:rFonts w:hint="eastAsia"/>
                <w:iCs/>
                <w:szCs w:val="21"/>
                <w:lang w:val="en-US" w:eastAsia="zh-CN"/>
              </w:rPr>
              <w:t>4</w:t>
            </w:r>
            <w:r>
              <w:rPr>
                <w:rFonts w:hint="eastAsia"/>
                <w:iCs/>
                <w:szCs w:val="21"/>
                <w:lang w:eastAsia="zh-CN"/>
              </w:rPr>
              <w:t>级用户分级权限管理及密码管理的功能，为药研版，符合G</w:t>
            </w:r>
            <w:r>
              <w:rPr>
                <w:iCs/>
                <w:szCs w:val="21"/>
                <w:lang w:eastAsia="zh-CN"/>
              </w:rPr>
              <w:t>MP</w:t>
            </w:r>
            <w:r>
              <w:rPr>
                <w:rFonts w:hint="eastAsia"/>
                <w:iCs/>
                <w:szCs w:val="21"/>
                <w:lang w:eastAsia="zh-CN"/>
              </w:rPr>
              <w:t>要求</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仪器软件每级权限应可以设置多个用户，并有用户分级管理功能，每个等级拥有相应的可设置权限</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系统应可以为每个用户创建唯一的用户名和密码</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系统应不允许两个或多个用户拥有相同的用户名</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应有权限功能防止系统时间被更改</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屏幕显示的结果、存储的电子记录内容与打印报告应是一致的。</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用户在密码输入时，电脑显示器上应不显示实际密码（比如密码会以*或其他符合显示）</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系统管理员应可以重置密码，用户可修改自己的密码</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系统应可以设置密码最小长度为8位</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应有安全保护以防止未授权的用户账号和密码进行使用，比如5次无效登录尝试后将锁定账户等</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系统管理员应可以激活锁住的账户</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系统必须具有超时强制退出要求重新登录的功能。</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系统应可以允许用户和管理员更改自己的密码</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系统应可设置密码效期，如3个月等</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系统应可提示密码效期信息以提醒用户更改密码。</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系统应有审计追踪功能，可以记录关键操作、系统和安全的事件，比如登录登出、密码更改、方法参数更改、权限配置、系统设置、记录删除与修改，以及相应操作人员、日期时间、操作描述、操作原因等</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审计追踪记录应自动存储且不可被删除或更改，可查询、输出、备份恢复、打印</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系统应可以新增、修改和禁用账户，这些权限应可被系统管理员禁用。</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电子记录可自动存储为不可修改格式，可查询、输出、备份恢复、打印</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应有控制措施以防止电子记录从应用软件外面被修改或删除。</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报告格式应包含以下内容：日期，名称，运行时间，产品名称，产品批号，数据/曲线，审计追踪记录，报警记录，运行号等</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报告应为只读的格式，可查询、输出、备份恢复、打印</w:t>
            </w:r>
          </w:p>
        </w:tc>
        <w:tc>
          <w:tcPr>
            <w:tcW w:w="2125" w:type="dxa"/>
            <w:vAlign w:val="center"/>
          </w:tcPr>
          <w:p>
            <w:pPr>
              <w:jc w:val="both"/>
              <w:rPr>
                <w:szCs w:val="21"/>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使用者应不能修改测试结果</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系统断电恢复不影响系统及参数设置、数据完整性，恢复后系统可正常运行</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供应商提供系统及程序备份盘及备份恢复说明</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供应商提供备份数据读取策略，必要时提供相关程序</w:t>
            </w:r>
          </w:p>
        </w:tc>
        <w:tc>
          <w:tcPr>
            <w:tcW w:w="2125" w:type="dxa"/>
            <w:vAlign w:val="center"/>
          </w:tcPr>
          <w:p>
            <w:pPr>
              <w:jc w:val="both"/>
              <w:rPr>
                <w:szCs w:val="21"/>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系统程序软件必须为正版</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电脑操作系统必须为Windows正版系统，必须为专业版以上版本</w:t>
            </w:r>
          </w:p>
        </w:tc>
        <w:tc>
          <w:tcPr>
            <w:tcW w:w="2125" w:type="dxa"/>
            <w:vAlign w:val="center"/>
          </w:tcPr>
          <w:p>
            <w:pPr>
              <w:jc w:val="both"/>
              <w:rPr>
                <w:szCs w:val="21"/>
                <w:lang w:eastAsia="zh-CN"/>
              </w:rPr>
            </w:pPr>
            <w:r>
              <w:rPr>
                <w:rFonts w:hint="eastAsia"/>
                <w:szCs w:val="21"/>
                <w:lang w:eastAsia="zh-CN"/>
              </w:rPr>
              <w:t>关键</w:t>
            </w:r>
          </w:p>
        </w:tc>
      </w:tr>
    </w:tbl>
    <w:p>
      <w:pPr>
        <w:spacing w:after="158" w:afterLines="50"/>
        <w:rPr>
          <w:b/>
          <w:lang w:eastAsia="zh-CN"/>
        </w:rPr>
      </w:pPr>
    </w:p>
    <w:p>
      <w:pPr>
        <w:pStyle w:val="44"/>
        <w:numPr>
          <w:ilvl w:val="0"/>
          <w:numId w:val="3"/>
        </w:numPr>
        <w:spacing w:after="158" w:afterLines="50"/>
        <w:ind w:left="426" w:hanging="426" w:hangingChars="202"/>
        <w:outlineLvl w:val="0"/>
        <w:rPr>
          <w:rFonts w:ascii="Times New Roman" w:hAnsi="Times New Roman"/>
          <w:b/>
        </w:rPr>
      </w:pPr>
      <w:bookmarkStart w:id="41" w:name="_Toc522716123"/>
      <w:r>
        <w:rPr>
          <w:rFonts w:hint="eastAsia" w:ascii="Times New Roman" w:hAnsi="Times New Roman"/>
          <w:b/>
        </w:rPr>
        <w:t>安全要求</w:t>
      </w:r>
      <w:bookmarkEnd w:id="28"/>
      <w:bookmarkEnd w:id="41"/>
    </w:p>
    <w:tbl>
      <w:tblPr>
        <w:tblStyle w:val="19"/>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rFonts w:hint="eastAsia"/>
                <w:b/>
                <w:szCs w:val="21"/>
              </w:rPr>
              <w:t>编号</w:t>
            </w:r>
          </w:p>
        </w:tc>
        <w:tc>
          <w:tcPr>
            <w:tcW w:w="7128" w:type="dxa"/>
            <w:shd w:val="clear" w:color="auto" w:fill="D9D9D9"/>
            <w:vAlign w:val="center"/>
          </w:tcPr>
          <w:p>
            <w:pPr>
              <w:jc w:val="center"/>
              <w:rPr>
                <w:b/>
                <w:szCs w:val="21"/>
                <w:lang w:eastAsia="zh-CN"/>
              </w:rPr>
            </w:pPr>
            <w:r>
              <w:rPr>
                <w:rFonts w:hint="eastAsia"/>
                <w:b/>
                <w:szCs w:val="21"/>
                <w:lang w:eastAsia="zh-CN"/>
              </w:rPr>
              <w:t>需求</w:t>
            </w:r>
          </w:p>
        </w:tc>
        <w:tc>
          <w:tcPr>
            <w:tcW w:w="2125" w:type="dxa"/>
            <w:shd w:val="clear" w:color="auto" w:fill="D9D9D9"/>
            <w:vAlign w:val="center"/>
          </w:tcPr>
          <w:p>
            <w:pPr>
              <w:jc w:val="center"/>
              <w:rPr>
                <w:b/>
                <w:szCs w:val="21"/>
                <w:lang w:eastAsia="zh-CN"/>
              </w:rPr>
            </w:pPr>
            <w:r>
              <w:rPr>
                <w:rFonts w:hint="eastAsia"/>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w:t>
            </w:r>
            <w:r>
              <w:rPr>
                <w:rFonts w:hint="eastAsia"/>
                <w:szCs w:val="21"/>
                <w:lang w:eastAsia="zh-CN"/>
              </w:rPr>
              <w:t>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ind w:left="470" w:firstLine="0" w:firstLineChars="0"/>
              <w:rPr>
                <w:rFonts w:ascii="Times New Roman" w:hAnsi="Times New Roman"/>
                <w:szCs w:val="21"/>
              </w:rPr>
            </w:pPr>
          </w:p>
        </w:tc>
        <w:tc>
          <w:tcPr>
            <w:tcW w:w="7128" w:type="dxa"/>
            <w:vAlign w:val="center"/>
          </w:tcPr>
          <w:p>
            <w:pPr>
              <w:spacing w:line="276" w:lineRule="auto"/>
              <w:jc w:val="both"/>
              <w:rPr>
                <w:szCs w:val="21"/>
                <w:lang w:eastAsia="zh-CN"/>
              </w:rPr>
            </w:pPr>
            <w:r>
              <w:rPr>
                <w:szCs w:val="21"/>
                <w:lang w:eastAsia="zh-CN"/>
              </w:rPr>
              <w:t>N/A</w:t>
            </w:r>
          </w:p>
        </w:tc>
        <w:tc>
          <w:tcPr>
            <w:tcW w:w="2125" w:type="dxa"/>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10"/>
              </w:numPr>
              <w:ind w:firstLineChars="0"/>
              <w:rPr>
                <w:rFonts w:ascii="Times New Roman" w:hAnsi="Times New Roman"/>
                <w:szCs w:val="21"/>
              </w:rPr>
            </w:pPr>
          </w:p>
        </w:tc>
        <w:tc>
          <w:tcPr>
            <w:tcW w:w="7128" w:type="dxa"/>
            <w:shd w:val="clear" w:color="auto" w:fill="D9D9D9"/>
            <w:vAlign w:val="center"/>
          </w:tcPr>
          <w:p>
            <w:pPr>
              <w:jc w:val="both"/>
              <w:rPr>
                <w:szCs w:val="21"/>
                <w:lang w:eastAsia="zh-CN"/>
              </w:rPr>
            </w:pPr>
            <w:r>
              <w:rPr>
                <w:rFonts w:hint="eastAsia"/>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lang w:eastAsia="zh-CN"/>
              </w:rPr>
              <w:t>设备需配备漏电保护断路器及良好的接地</w:t>
            </w:r>
            <w:r>
              <w:rPr>
                <w:rFonts w:hint="eastAsia"/>
                <w:lang w:val="en-US" w:eastAsia="zh-CN"/>
              </w:rPr>
              <w:t xml:space="preserve">  </w:t>
            </w:r>
          </w:p>
        </w:tc>
        <w:tc>
          <w:tcPr>
            <w:tcW w:w="2125" w:type="dxa"/>
            <w:vAlign w:val="center"/>
          </w:tcPr>
          <w:p>
            <w:pPr>
              <w:jc w:val="both"/>
              <w:rPr>
                <w:szCs w:val="21"/>
                <w:lang w:eastAsia="zh-CN"/>
              </w:rPr>
            </w:pPr>
            <w:r>
              <w:rPr>
                <w:rFonts w:hint="eastAsia"/>
                <w:szCs w:val="21"/>
                <w:lang w:eastAsia="zh-CN"/>
              </w:rPr>
              <w:t>关键</w:t>
            </w:r>
          </w:p>
        </w:tc>
      </w:tr>
    </w:tbl>
    <w:p>
      <w:pPr>
        <w:rPr>
          <w:szCs w:val="21"/>
          <w:lang w:eastAsia="zh-CN"/>
        </w:rPr>
      </w:pPr>
    </w:p>
    <w:p>
      <w:pPr>
        <w:pStyle w:val="44"/>
        <w:numPr>
          <w:ilvl w:val="0"/>
          <w:numId w:val="3"/>
        </w:numPr>
        <w:spacing w:after="158" w:afterLines="50"/>
        <w:ind w:left="426" w:hanging="426" w:hangingChars="202"/>
        <w:outlineLvl w:val="0"/>
        <w:rPr>
          <w:rFonts w:ascii="Times New Roman" w:hAnsi="Times New Roman"/>
          <w:b/>
        </w:rPr>
      </w:pPr>
      <w:bookmarkStart w:id="42" w:name="_Toc522107743"/>
      <w:bookmarkStart w:id="43" w:name="_Toc522716124"/>
      <w:r>
        <w:rPr>
          <w:rFonts w:hint="eastAsia" w:ascii="Times New Roman" w:hAnsi="Times New Roman"/>
          <w:b/>
        </w:rPr>
        <w:t>文件要求</w:t>
      </w:r>
      <w:bookmarkEnd w:id="42"/>
      <w:bookmarkEnd w:id="43"/>
    </w:p>
    <w:tbl>
      <w:tblPr>
        <w:tblStyle w:val="19"/>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rFonts w:hint="eastAsia"/>
                <w:b/>
                <w:szCs w:val="21"/>
              </w:rPr>
              <w:t>编号</w:t>
            </w:r>
          </w:p>
        </w:tc>
        <w:tc>
          <w:tcPr>
            <w:tcW w:w="7128" w:type="dxa"/>
            <w:shd w:val="clear" w:color="auto" w:fill="D9D9D9"/>
            <w:vAlign w:val="center"/>
          </w:tcPr>
          <w:p>
            <w:pPr>
              <w:jc w:val="center"/>
              <w:rPr>
                <w:b/>
                <w:szCs w:val="21"/>
                <w:lang w:eastAsia="zh-CN"/>
              </w:rPr>
            </w:pPr>
            <w:r>
              <w:rPr>
                <w:rFonts w:hint="eastAsia"/>
                <w:b/>
                <w:szCs w:val="21"/>
                <w:lang w:eastAsia="zh-CN"/>
              </w:rPr>
              <w:t>需求</w:t>
            </w:r>
          </w:p>
        </w:tc>
        <w:tc>
          <w:tcPr>
            <w:tcW w:w="2125" w:type="dxa"/>
            <w:shd w:val="clear" w:color="auto" w:fill="D9D9D9"/>
            <w:vAlign w:val="center"/>
          </w:tcPr>
          <w:p>
            <w:pPr>
              <w:jc w:val="center"/>
              <w:rPr>
                <w:b/>
                <w:szCs w:val="21"/>
                <w:lang w:eastAsia="zh-CN"/>
              </w:rPr>
            </w:pPr>
            <w:r>
              <w:rPr>
                <w:rFonts w:hint="eastAsia"/>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360" w:lineRule="auto"/>
              <w:jc w:val="both"/>
              <w:rPr>
                <w:szCs w:val="21"/>
                <w:lang w:eastAsia="zh-CN"/>
              </w:rPr>
            </w:pPr>
            <w:r>
              <w:rPr>
                <w:szCs w:val="21"/>
                <w:lang w:eastAsia="zh-CN"/>
              </w:rPr>
              <w:t xml:space="preserve"> </w:t>
            </w:r>
            <w:r>
              <w:rPr>
                <w:rFonts w:hint="eastAsia"/>
                <w:szCs w:val="21"/>
                <w:lang w:eastAsia="zh-CN"/>
              </w:rPr>
              <w:t>整机（包括计算机化系统）运行及维护手册应为中文，纸质文件至少一式三份，</w:t>
            </w:r>
            <w:r>
              <w:rPr>
                <w:rFonts w:hint="eastAsia" w:hAnsi="宋体"/>
                <w:sz w:val="24"/>
                <w:u w:color="333333"/>
                <w:lang w:eastAsia="zh-CN"/>
              </w:rPr>
              <w:t>电子版</w:t>
            </w:r>
            <w:r>
              <w:rPr>
                <w:rFonts w:hint="eastAsia"/>
                <w:szCs w:val="21"/>
                <w:lang w:eastAsia="zh-CN"/>
              </w:rPr>
              <w:t>至少一份</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ascii="宋体" w:hAnsi="宋体" w:cs="宋体"/>
                <w:szCs w:val="21"/>
                <w:lang w:eastAsia="zh-CN"/>
              </w:rPr>
              <w:t>投标文件（必须包含性能确认报告）、合同、订单及</w:t>
            </w:r>
            <w:r>
              <w:rPr>
                <w:rFonts w:hint="eastAsia" w:ascii="宋体" w:hAnsi="宋体" w:cs="宋体"/>
                <w:szCs w:val="21"/>
                <w:u w:color="333333"/>
                <w:lang w:val="zh-TW" w:eastAsia="zh-TW"/>
              </w:rPr>
              <w:t>设备交付计划表</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szCs w:val="21"/>
                <w:lang w:eastAsia="zh-CN"/>
              </w:rPr>
              <w:t xml:space="preserve">FAT </w:t>
            </w:r>
            <w:r>
              <w:rPr>
                <w:rFonts w:hint="eastAsia"/>
                <w:szCs w:val="21"/>
                <w:lang w:eastAsia="zh-CN"/>
              </w:rPr>
              <w:t>工厂测试文件</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生产商发运清单及所有单元配件及其组合的检验报告和证书标识等</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hAnsi="宋体"/>
                <w:szCs w:val="21"/>
                <w:u w:color="333333"/>
                <w:lang w:val="zh-TW" w:eastAsia="zh-TW"/>
              </w:rPr>
              <w:t>设计选型文件：软硬件</w:t>
            </w:r>
            <w:r>
              <w:rPr>
                <w:rFonts w:hint="eastAsia" w:hAnsi="宋体"/>
                <w:szCs w:val="21"/>
                <w:u w:color="333333"/>
                <w:lang w:val="zh-TW" w:eastAsia="zh-CN"/>
              </w:rPr>
              <w:t>功能</w:t>
            </w:r>
            <w:r>
              <w:rPr>
                <w:rFonts w:hint="eastAsia" w:hAnsi="宋体"/>
                <w:szCs w:val="21"/>
                <w:u w:color="333333"/>
                <w:lang w:val="zh-TW" w:eastAsia="zh-TW"/>
              </w:rPr>
              <w:t>说明</w:t>
            </w:r>
            <w:r>
              <w:rPr>
                <w:rFonts w:hint="eastAsia" w:hAnsi="宋体"/>
                <w:szCs w:val="21"/>
                <w:u w:color="333333"/>
                <w:lang w:val="zh-TW" w:eastAsia="zh-CN"/>
              </w:rPr>
              <w:t>、</w:t>
            </w:r>
            <w:r>
              <w:rPr>
                <w:rFonts w:hint="eastAsia" w:hAnsi="宋体"/>
                <w:szCs w:val="21"/>
                <w:u w:color="333333"/>
                <w:lang w:val="zh-TW" w:eastAsia="zh-TW"/>
              </w:rPr>
              <w:t>设计说明</w:t>
            </w:r>
            <w:r>
              <w:rPr>
                <w:rFonts w:hint="eastAsia" w:hAnsi="宋体"/>
                <w:szCs w:val="21"/>
                <w:u w:color="333333"/>
                <w:lang w:val="zh-TW" w:eastAsia="zh-CN"/>
              </w:rPr>
              <w:t>、</w:t>
            </w:r>
            <w:r>
              <w:rPr>
                <w:rFonts w:hint="eastAsia" w:hAnsi="宋体"/>
                <w:szCs w:val="21"/>
                <w:u w:color="333333"/>
                <w:lang w:val="zh-TW" w:eastAsia="zh-TW"/>
              </w:rPr>
              <w:t>配置清单与说明</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360" w:lineRule="auto"/>
              <w:jc w:val="both"/>
              <w:rPr>
                <w:szCs w:val="21"/>
                <w:lang w:eastAsia="zh-CN"/>
              </w:rPr>
            </w:pPr>
            <w:r>
              <w:rPr>
                <w:rFonts w:hint="eastAsia"/>
                <w:szCs w:val="21"/>
                <w:lang w:eastAsia="zh-CN"/>
              </w:rPr>
              <w:t>图纸：实物图；各种验证、维修等活动所需的电子版及打印版设备布局图、设备尺寸图、设备局部图（与功能相关的细节图）、安装图、</w:t>
            </w:r>
            <w:r>
              <w:rPr>
                <w:szCs w:val="21"/>
                <w:lang w:eastAsia="zh-CN"/>
              </w:rPr>
              <w:t>P&amp;ID</w:t>
            </w:r>
            <w:r>
              <w:rPr>
                <w:rFonts w:hint="eastAsia"/>
                <w:szCs w:val="21"/>
                <w:lang w:eastAsia="zh-CN"/>
              </w:rPr>
              <w:t>图、控制原理图、其他计算机化系统相关图纸、图纸清单。提供设备及其零部件使用寿命清单。</w:t>
            </w:r>
            <w:r>
              <w:rPr>
                <w:rFonts w:hint="eastAsia" w:ascii="宋体" w:hAnsi="宋体"/>
                <w:lang w:eastAsia="zh-CN"/>
              </w:rPr>
              <w:t>提交时限：设备开箱验收</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360" w:lineRule="auto"/>
              <w:jc w:val="both"/>
              <w:rPr>
                <w:szCs w:val="21"/>
                <w:lang w:eastAsia="zh-CN"/>
              </w:rPr>
            </w:pPr>
            <w:r>
              <w:rPr>
                <w:rFonts w:hint="eastAsia"/>
                <w:szCs w:val="21"/>
                <w:lang w:eastAsia="zh-CN"/>
              </w:rPr>
              <w:t>组件清单、易损件清单、备件、消耗品清单：包括名称、编号、对应厂家名称、生产地、规格、使用寿命及必要说明。</w:t>
            </w:r>
            <w:r>
              <w:rPr>
                <w:rFonts w:hint="eastAsia" w:ascii="宋体" w:hAnsi="宋体"/>
                <w:lang w:eastAsia="zh-CN"/>
              </w:rPr>
              <w:t>提交时限：设备开箱验收</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360" w:lineRule="auto"/>
              <w:jc w:val="both"/>
              <w:rPr>
                <w:szCs w:val="21"/>
                <w:lang w:eastAsia="zh-CN"/>
              </w:rPr>
            </w:pPr>
            <w:r>
              <w:rPr>
                <w:rFonts w:hint="eastAsia" w:hAnsi="宋体"/>
                <w:szCs w:val="21"/>
                <w:u w:color="333333"/>
                <w:lang w:val="zh-TW" w:eastAsia="zh-TW"/>
              </w:rPr>
              <w:t>设备操作手册（</w:t>
            </w:r>
            <w:r>
              <w:rPr>
                <w:szCs w:val="21"/>
                <w:u w:color="333333"/>
                <w:lang w:eastAsia="zh-CN"/>
              </w:rPr>
              <w:t>SOP</w:t>
            </w:r>
            <w:r>
              <w:rPr>
                <w:rFonts w:hint="eastAsia" w:hAnsi="宋体"/>
                <w:szCs w:val="21"/>
                <w:u w:color="333333"/>
                <w:lang w:val="zh-TW" w:eastAsia="zh-TW"/>
              </w:rPr>
              <w:t>）：语言为中文，应说明设备维护内容、校准周期，并能提供校准服务。</w:t>
            </w:r>
            <w:r>
              <w:rPr>
                <w:rFonts w:hint="eastAsia" w:ascii="宋体" w:hAnsi="宋体"/>
                <w:lang w:eastAsia="zh-CN"/>
              </w:rPr>
              <w:t>提交时限：设备开箱验收</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360" w:lineRule="auto"/>
              <w:jc w:val="both"/>
              <w:rPr>
                <w:szCs w:val="21"/>
                <w:lang w:eastAsia="zh-CN"/>
              </w:rPr>
            </w:pPr>
            <w:r>
              <w:rPr>
                <w:rFonts w:hint="eastAsia" w:hAnsi="宋体"/>
                <w:szCs w:val="21"/>
                <w:u w:color="333333"/>
                <w:lang w:eastAsia="zh-TW"/>
              </w:rPr>
              <w:t>有资质的第三方检测机构出具的</w:t>
            </w:r>
            <w:r>
              <w:rPr>
                <w:rFonts w:hint="eastAsia" w:hAnsi="宋体"/>
                <w:szCs w:val="21"/>
                <w:u w:color="333333"/>
                <w:lang w:val="zh-TW" w:eastAsia="zh-TW"/>
              </w:rPr>
              <w:t>首次校验报告及计量证书</w:t>
            </w:r>
            <w:r>
              <w:rPr>
                <w:rFonts w:hint="eastAsia" w:hAnsi="宋体"/>
                <w:szCs w:val="21"/>
                <w:u w:color="333333"/>
                <w:lang w:eastAsia="zh-TW"/>
              </w:rPr>
              <w:t>，设备到厂验收时有效期不得少于</w:t>
            </w:r>
            <w:r>
              <w:rPr>
                <w:rFonts w:hAnsi="宋体"/>
                <w:szCs w:val="21"/>
                <w:u w:color="333333"/>
                <w:lang w:eastAsia="zh-TW"/>
              </w:rPr>
              <w:t>6</w:t>
            </w:r>
            <w:r>
              <w:rPr>
                <w:rFonts w:hint="eastAsia" w:hAnsi="宋体"/>
                <w:szCs w:val="21"/>
                <w:u w:color="333333"/>
                <w:lang w:eastAsia="zh-TW"/>
              </w:rPr>
              <w:t>个月。</w:t>
            </w:r>
            <w:r>
              <w:rPr>
                <w:rFonts w:hint="eastAsia" w:ascii="宋体" w:hAnsi="宋体"/>
                <w:lang w:eastAsia="zh-CN"/>
              </w:rPr>
              <w:t>提交时限：设备开箱验收</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jc w:val="both"/>
              <w:rPr>
                <w:rFonts w:hAnsi="宋体"/>
                <w:szCs w:val="21"/>
                <w:u w:color="333333"/>
                <w:lang w:eastAsia="zh-TW"/>
              </w:rPr>
            </w:pPr>
            <w:r>
              <w:rPr>
                <w:rFonts w:hint="eastAsia" w:hAnsi="宋体"/>
                <w:szCs w:val="21"/>
                <w:u w:color="333333"/>
                <w:lang w:val="zh-TW" w:eastAsia="zh-TW"/>
              </w:rPr>
              <w:t>安全报告。</w:t>
            </w:r>
            <w:r>
              <w:rPr>
                <w:rFonts w:hint="eastAsia"/>
                <w:szCs w:val="21"/>
                <w:lang w:eastAsia="zh-CN"/>
              </w:rPr>
              <w:t>提交时限：设备开箱验收</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jc w:val="both"/>
              <w:rPr>
                <w:rFonts w:hAnsi="宋体"/>
                <w:szCs w:val="21"/>
                <w:u w:color="333333"/>
                <w:lang w:val="zh-TW" w:eastAsia="zh-TW"/>
              </w:rPr>
            </w:pPr>
            <w:r>
              <w:rPr>
                <w:rFonts w:hint="eastAsia" w:hAnsi="宋体"/>
                <w:szCs w:val="21"/>
                <w:u w:color="333333"/>
                <w:lang w:val="zh-TW" w:eastAsia="zh-TW"/>
              </w:rPr>
              <w:t>材质证书（写明材料有效期）。</w:t>
            </w:r>
            <w:r>
              <w:rPr>
                <w:rFonts w:hint="eastAsia" w:ascii="宋体" w:hAnsi="宋体"/>
                <w:lang w:eastAsia="zh-CN"/>
              </w:rPr>
              <w:t>提交时限：设备开箱验收</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360" w:lineRule="auto"/>
              <w:jc w:val="both"/>
              <w:rPr>
                <w:rFonts w:hAnsi="宋体"/>
                <w:szCs w:val="21"/>
                <w:u w:color="333333"/>
                <w:lang w:val="zh-TW" w:eastAsia="zh-TW"/>
              </w:rPr>
            </w:pPr>
            <w:r>
              <w:rPr>
                <w:rFonts w:hint="eastAsia" w:hAnsi="宋体"/>
                <w:szCs w:val="21"/>
                <w:u w:color="333333"/>
                <w:lang w:eastAsia="zh-TW"/>
              </w:rPr>
              <w:t>现场验收测试</w:t>
            </w:r>
            <w:r>
              <w:rPr>
                <w:rFonts w:hint="eastAsia" w:hAnsi="宋体"/>
                <w:szCs w:val="21"/>
                <w:u w:color="333333"/>
                <w:lang w:eastAsia="zh-CN"/>
              </w:rPr>
              <w:t>（</w:t>
            </w:r>
            <w:r>
              <w:rPr>
                <w:rFonts w:hAnsi="宋体"/>
                <w:szCs w:val="21"/>
                <w:u w:color="333333"/>
                <w:lang w:eastAsia="zh-CN"/>
              </w:rPr>
              <w:t>SAT</w:t>
            </w:r>
            <w:r>
              <w:rPr>
                <w:rFonts w:hint="eastAsia" w:hAnsi="宋体"/>
                <w:szCs w:val="21"/>
                <w:u w:color="333333"/>
                <w:lang w:eastAsia="zh-CN"/>
              </w:rPr>
              <w:t>）报告。</w:t>
            </w:r>
            <w:r>
              <w:rPr>
                <w:rFonts w:hint="eastAsia" w:ascii="宋体" w:hAnsi="宋体"/>
                <w:lang w:eastAsia="zh-CN"/>
              </w:rPr>
              <w:t>提交时限：SAT在设备安装调试后IQ开始前完成审批并提交</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360" w:lineRule="auto"/>
              <w:jc w:val="both"/>
              <w:rPr>
                <w:rFonts w:hAnsi="宋体"/>
                <w:szCs w:val="21"/>
                <w:u w:color="333333"/>
                <w:lang w:val="zh-TW" w:eastAsia="zh-TW"/>
              </w:rPr>
            </w:pPr>
            <w:r>
              <w:rPr>
                <w:rFonts w:hint="eastAsia" w:ascii="宋体" w:hAnsi="宋体"/>
                <w:szCs w:val="21"/>
                <w:lang w:eastAsia="zh-CN"/>
              </w:rPr>
              <w:t>设备厂家文件：</w:t>
            </w:r>
            <w:r>
              <w:rPr>
                <w:rFonts w:hint="eastAsia" w:ascii="宋体" w:hAnsi="宋体" w:cs="宋体"/>
                <w:szCs w:val="21"/>
                <w:lang w:eastAsia="zh-CN"/>
              </w:rPr>
              <w:t>出厂测试合格证、说明书、</w:t>
            </w:r>
            <w:r>
              <w:rPr>
                <w:rFonts w:hint="eastAsia" w:ascii="宋体" w:hAnsi="宋体"/>
                <w:szCs w:val="21"/>
                <w:lang w:eastAsia="zh-CN"/>
              </w:rPr>
              <w:t>相关检测报告、各种标示。</w:t>
            </w:r>
            <w:r>
              <w:rPr>
                <w:rFonts w:hint="eastAsia" w:ascii="宋体" w:hAnsi="宋体"/>
                <w:lang w:eastAsia="zh-CN"/>
              </w:rPr>
              <w:t>提交时限：设备开箱验收</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360" w:lineRule="auto"/>
              <w:jc w:val="both"/>
              <w:rPr>
                <w:rFonts w:hAnsi="宋体"/>
                <w:szCs w:val="21"/>
                <w:u w:color="333333"/>
                <w:lang w:val="zh-TW" w:eastAsia="zh-TW"/>
              </w:rPr>
            </w:pPr>
            <w:r>
              <w:rPr>
                <w:rFonts w:hint="eastAsia" w:hAnsi="宋体"/>
                <w:szCs w:val="21"/>
                <w:u w:color="333333"/>
                <w:lang w:val="zh-TW" w:eastAsia="zh-TW"/>
              </w:rPr>
              <w:t>调试文件：调试计划（调试说明、调试清单、现场验收测试、保修信息、培训计划等），总测试计划，检查计划，检测清单，各测试结果，调试总结报告等。</w:t>
            </w:r>
            <w:r>
              <w:rPr>
                <w:rFonts w:hint="eastAsia"/>
                <w:szCs w:val="21"/>
                <w:lang w:eastAsia="zh-CN"/>
              </w:rPr>
              <w:t>提交时限：不晚于IQ开始前</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360" w:lineRule="auto"/>
              <w:rPr>
                <w:szCs w:val="21"/>
                <w:u w:color="333333"/>
                <w:lang w:eastAsia="zh-CN"/>
              </w:rPr>
            </w:pPr>
            <w:r>
              <w:rPr>
                <w:rFonts w:hint="eastAsia" w:hAnsi="宋体"/>
                <w:szCs w:val="21"/>
                <w:u w:color="333333"/>
                <w:lang w:val="zh-TW" w:eastAsia="zh-TW"/>
              </w:rPr>
              <w:t>验证文件：</w:t>
            </w:r>
            <w:r>
              <w:rPr>
                <w:rFonts w:hint="eastAsia" w:hAnsi="宋体"/>
                <w:szCs w:val="21"/>
                <w:u w:color="333333"/>
                <w:lang w:eastAsia="zh-TW"/>
              </w:rPr>
              <w:t>应在合同签订后设备发运前交付审核</w:t>
            </w:r>
          </w:p>
          <w:p>
            <w:pPr>
              <w:spacing w:line="360" w:lineRule="auto"/>
              <w:rPr>
                <w:szCs w:val="21"/>
                <w:lang w:eastAsia="zh-CN"/>
              </w:rPr>
            </w:pPr>
            <w:r>
              <w:rPr>
                <w:rFonts w:hint="eastAsia"/>
                <w:szCs w:val="21"/>
                <w:lang w:eastAsia="zh-CN"/>
              </w:rPr>
              <w:t>（</w:t>
            </w:r>
            <w:r>
              <w:rPr>
                <w:szCs w:val="21"/>
                <w:lang w:eastAsia="zh-CN"/>
              </w:rPr>
              <w:t>1</w:t>
            </w:r>
            <w:r>
              <w:rPr>
                <w:rFonts w:hint="eastAsia"/>
                <w:szCs w:val="21"/>
                <w:lang w:eastAsia="zh-CN"/>
              </w:rPr>
              <w:t>）验证计划。提交时限：设计阶段，设计确认开始前</w:t>
            </w:r>
          </w:p>
          <w:p>
            <w:pPr>
              <w:widowControl w:val="0"/>
              <w:overflowPunct/>
              <w:autoSpaceDE/>
              <w:autoSpaceDN/>
              <w:adjustRightInd/>
              <w:spacing w:line="360" w:lineRule="auto"/>
              <w:jc w:val="both"/>
              <w:textAlignment w:val="auto"/>
              <w:rPr>
                <w:szCs w:val="21"/>
                <w:lang w:eastAsia="zh-CN"/>
              </w:rPr>
            </w:pPr>
            <w:r>
              <w:rPr>
                <w:rFonts w:hint="eastAsia"/>
                <w:szCs w:val="21"/>
                <w:lang w:eastAsia="zh-CN"/>
              </w:rPr>
              <w:t>（</w:t>
            </w:r>
            <w:r>
              <w:rPr>
                <w:szCs w:val="21"/>
                <w:lang w:eastAsia="zh-CN"/>
              </w:rPr>
              <w:t>2</w:t>
            </w:r>
            <w:r>
              <w:rPr>
                <w:rFonts w:hint="eastAsia"/>
                <w:szCs w:val="21"/>
                <w:lang w:eastAsia="zh-CN"/>
              </w:rPr>
              <w:t>）满足</w:t>
            </w:r>
            <w:r>
              <w:rPr>
                <w:szCs w:val="21"/>
                <w:lang w:eastAsia="zh-CN"/>
              </w:rPr>
              <w:t>GMP</w:t>
            </w:r>
            <w:r>
              <w:rPr>
                <w:rFonts w:hint="eastAsia"/>
                <w:szCs w:val="21"/>
                <w:lang w:eastAsia="zh-CN"/>
              </w:rPr>
              <w:t>和</w:t>
            </w:r>
            <w:r>
              <w:rPr>
                <w:szCs w:val="21"/>
                <w:lang w:eastAsia="zh-CN"/>
              </w:rPr>
              <w:t>GAMP5</w:t>
            </w:r>
            <w:r>
              <w:rPr>
                <w:rFonts w:hint="eastAsia"/>
                <w:szCs w:val="21"/>
                <w:lang w:eastAsia="zh-CN"/>
              </w:rPr>
              <w:t>等相关法规的评估文件。提交时限：系统影响性评估、计算机化系统影响性评估在DQ开始前</w:t>
            </w:r>
          </w:p>
          <w:p>
            <w:pPr>
              <w:widowControl w:val="0"/>
              <w:overflowPunct/>
              <w:autoSpaceDE/>
              <w:autoSpaceDN/>
              <w:adjustRightInd/>
              <w:spacing w:line="360" w:lineRule="auto"/>
              <w:jc w:val="both"/>
              <w:textAlignment w:val="auto"/>
              <w:rPr>
                <w:szCs w:val="21"/>
                <w:lang w:eastAsia="zh-CN"/>
              </w:rPr>
            </w:pPr>
            <w:r>
              <w:rPr>
                <w:rFonts w:hint="eastAsia"/>
                <w:szCs w:val="21"/>
                <w:lang w:eastAsia="zh-CN"/>
              </w:rPr>
              <w:t>（</w:t>
            </w:r>
            <w:r>
              <w:rPr>
                <w:szCs w:val="21"/>
                <w:lang w:eastAsia="zh-CN"/>
              </w:rPr>
              <w:t>3</w:t>
            </w:r>
            <w:r>
              <w:rPr>
                <w:rFonts w:hint="eastAsia"/>
                <w:szCs w:val="21"/>
                <w:lang w:eastAsia="zh-CN"/>
              </w:rPr>
              <w:t>）设计确认及文件（</w:t>
            </w:r>
            <w:r>
              <w:rPr>
                <w:szCs w:val="21"/>
                <w:lang w:eastAsia="zh-CN"/>
              </w:rPr>
              <w:t>DQ</w:t>
            </w:r>
            <w:r>
              <w:rPr>
                <w:rFonts w:hint="eastAsia"/>
                <w:szCs w:val="21"/>
                <w:lang w:eastAsia="zh-CN"/>
              </w:rPr>
              <w:t>），提交时限：设计完成后，制造及安装开始前完成审批并提交</w:t>
            </w:r>
          </w:p>
          <w:p>
            <w:pPr>
              <w:widowControl w:val="0"/>
              <w:overflowPunct/>
              <w:autoSpaceDE/>
              <w:autoSpaceDN/>
              <w:adjustRightInd/>
              <w:spacing w:line="360" w:lineRule="auto"/>
              <w:jc w:val="both"/>
              <w:textAlignment w:val="auto"/>
              <w:rPr>
                <w:szCs w:val="21"/>
                <w:lang w:eastAsia="zh-CN"/>
              </w:rPr>
            </w:pPr>
            <w:r>
              <w:rPr>
                <w:rFonts w:hint="eastAsia"/>
                <w:szCs w:val="21"/>
                <w:lang w:eastAsia="zh-CN"/>
              </w:rPr>
              <w:t>（</w:t>
            </w:r>
            <w:r>
              <w:rPr>
                <w:szCs w:val="21"/>
                <w:lang w:eastAsia="zh-CN"/>
              </w:rPr>
              <w:t>4</w:t>
            </w:r>
            <w:r>
              <w:rPr>
                <w:rFonts w:hint="eastAsia"/>
                <w:szCs w:val="21"/>
                <w:lang w:eastAsia="zh-CN"/>
              </w:rPr>
              <w:t>）安装确认及文件（</w:t>
            </w:r>
            <w:r>
              <w:rPr>
                <w:szCs w:val="21"/>
                <w:lang w:eastAsia="zh-CN"/>
              </w:rPr>
              <w:t>IQ</w:t>
            </w:r>
            <w:r>
              <w:rPr>
                <w:rFonts w:hint="eastAsia"/>
                <w:szCs w:val="21"/>
                <w:lang w:eastAsia="zh-CN"/>
              </w:rPr>
              <w:t>）；提交时限：SAT批准后开始执行，OQ开始前完成审批并提交</w:t>
            </w:r>
          </w:p>
          <w:p>
            <w:pPr>
              <w:spacing w:line="360" w:lineRule="auto"/>
              <w:rPr>
                <w:szCs w:val="21"/>
                <w:lang w:eastAsia="zh-CN"/>
              </w:rPr>
            </w:pPr>
            <w:r>
              <w:rPr>
                <w:rFonts w:hint="eastAsia"/>
                <w:szCs w:val="21"/>
                <w:lang w:eastAsia="zh-CN"/>
              </w:rPr>
              <w:t>（</w:t>
            </w:r>
            <w:r>
              <w:rPr>
                <w:szCs w:val="21"/>
                <w:lang w:eastAsia="zh-CN"/>
              </w:rPr>
              <w:t>5</w:t>
            </w:r>
            <w:r>
              <w:rPr>
                <w:rFonts w:hint="eastAsia"/>
                <w:szCs w:val="21"/>
                <w:lang w:eastAsia="zh-CN"/>
              </w:rPr>
              <w:t>）运行确认及文件（</w:t>
            </w:r>
            <w:r>
              <w:rPr>
                <w:szCs w:val="21"/>
                <w:lang w:eastAsia="zh-CN"/>
              </w:rPr>
              <w:t>OQ</w:t>
            </w:r>
            <w:r>
              <w:rPr>
                <w:rFonts w:hint="eastAsia"/>
                <w:szCs w:val="21"/>
                <w:lang w:eastAsia="zh-CN"/>
              </w:rPr>
              <w:t>）；提交时限：IQ批准后开始执行并提交</w:t>
            </w:r>
          </w:p>
          <w:p>
            <w:pPr>
              <w:spacing w:line="360" w:lineRule="auto"/>
              <w:rPr>
                <w:szCs w:val="21"/>
                <w:lang w:eastAsia="zh-CN"/>
              </w:rPr>
            </w:pPr>
            <w:r>
              <w:rPr>
                <w:rFonts w:hint="eastAsia"/>
                <w:szCs w:val="21"/>
                <w:lang w:eastAsia="zh-CN"/>
              </w:rPr>
              <w:t>（</w:t>
            </w:r>
            <w:r>
              <w:rPr>
                <w:szCs w:val="21"/>
                <w:lang w:eastAsia="zh-CN"/>
              </w:rPr>
              <w:t>6</w:t>
            </w:r>
            <w:r>
              <w:rPr>
                <w:rFonts w:hint="eastAsia"/>
                <w:szCs w:val="21"/>
                <w:lang w:eastAsia="zh-CN"/>
              </w:rPr>
              <w:t>）验证总结报告（</w:t>
            </w:r>
            <w:r>
              <w:rPr>
                <w:szCs w:val="21"/>
                <w:lang w:eastAsia="zh-CN"/>
              </w:rPr>
              <w:t>VSR</w:t>
            </w:r>
            <w:r>
              <w:rPr>
                <w:rFonts w:hint="eastAsia"/>
                <w:szCs w:val="21"/>
                <w:lang w:eastAsia="zh-CN"/>
              </w:rPr>
              <w:t>），提交时限：最终验收前提交</w:t>
            </w:r>
          </w:p>
          <w:p>
            <w:pPr>
              <w:spacing w:line="360" w:lineRule="auto"/>
              <w:jc w:val="both"/>
              <w:rPr>
                <w:rFonts w:hAnsi="宋体"/>
                <w:szCs w:val="21"/>
                <w:u w:color="333333"/>
                <w:lang w:val="zh-TW" w:eastAsia="zh-TW"/>
              </w:rPr>
            </w:pPr>
            <w:r>
              <w:rPr>
                <w:rFonts w:hint="eastAsia"/>
                <w:szCs w:val="21"/>
                <w:lang w:eastAsia="zh-CN"/>
              </w:rPr>
              <w:t>（</w:t>
            </w:r>
            <w:r>
              <w:rPr>
                <w:szCs w:val="21"/>
                <w:lang w:eastAsia="zh-CN"/>
              </w:rPr>
              <w:t>7</w:t>
            </w:r>
            <w:r>
              <w:rPr>
                <w:rFonts w:hint="eastAsia"/>
                <w:szCs w:val="21"/>
                <w:lang w:eastAsia="zh-CN"/>
              </w:rPr>
              <w:t>）设备生产商负责制定设备验证计划、评估文件、</w:t>
            </w:r>
            <w:r>
              <w:rPr>
                <w:szCs w:val="21"/>
                <w:lang w:eastAsia="zh-CN"/>
              </w:rPr>
              <w:t>DQ/IQ/OQ</w:t>
            </w:r>
            <w:r>
              <w:rPr>
                <w:rFonts w:hint="eastAsia"/>
                <w:szCs w:val="21"/>
                <w:lang w:eastAsia="zh-CN"/>
              </w:rPr>
              <w:t>验证文件、追溯矩阵、验证总结报告，并负责验证工作的实施，该验证文件作为设备必备文件。</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hAnsi="宋体"/>
                <w:szCs w:val="21"/>
                <w:u w:color="333333"/>
                <w:lang w:val="zh-TW" w:eastAsia="zh-CN"/>
              </w:rPr>
              <w:t>现场验收报告，</w:t>
            </w:r>
            <w:r>
              <w:rPr>
                <w:rFonts w:hint="eastAsia"/>
                <w:szCs w:val="21"/>
                <w:lang w:eastAsia="zh-CN"/>
              </w:rPr>
              <w:t>提交时限：最终验收前提交</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360" w:lineRule="auto"/>
              <w:rPr>
                <w:szCs w:val="21"/>
                <w:u w:color="333333"/>
                <w:lang w:eastAsia="zh-CN"/>
              </w:rPr>
            </w:pPr>
            <w:r>
              <w:rPr>
                <w:rFonts w:hint="eastAsia" w:hAnsi="宋体"/>
                <w:szCs w:val="21"/>
                <w:u w:color="333333"/>
                <w:lang w:val="zh-TW" w:eastAsia="zh-TW"/>
              </w:rPr>
              <w:t>文件具体要求：</w:t>
            </w:r>
          </w:p>
          <w:p>
            <w:pPr>
              <w:spacing w:line="360" w:lineRule="auto"/>
              <w:rPr>
                <w:szCs w:val="21"/>
                <w:u w:color="333333"/>
                <w:lang w:eastAsia="zh-CN"/>
              </w:rPr>
            </w:pPr>
            <w:r>
              <w:rPr>
                <w:rFonts w:hint="eastAsia" w:hAnsi="宋体"/>
                <w:szCs w:val="21"/>
                <w:u w:color="333333"/>
                <w:lang w:val="zh-TW" w:eastAsia="zh-TW"/>
              </w:rPr>
              <w:t>（</w:t>
            </w:r>
            <w:r>
              <w:rPr>
                <w:szCs w:val="21"/>
                <w:u w:color="333333"/>
                <w:lang w:eastAsia="zh-CN"/>
              </w:rPr>
              <w:t>1</w:t>
            </w:r>
            <w:r>
              <w:rPr>
                <w:rFonts w:hint="eastAsia" w:hAnsi="宋体"/>
                <w:szCs w:val="21"/>
                <w:u w:color="333333"/>
                <w:lang w:val="zh-TW" w:eastAsia="zh-TW"/>
              </w:rPr>
              <w:t>）系统相关方案中，应明确本系统的配置、规格，并且通过分析阐述每一个系统环节的必要性；</w:t>
            </w:r>
          </w:p>
          <w:p>
            <w:pPr>
              <w:spacing w:line="360" w:lineRule="auto"/>
              <w:rPr>
                <w:rFonts w:hAnsi="宋体"/>
                <w:szCs w:val="21"/>
                <w:u w:color="333333"/>
                <w:lang w:val="zh-TW" w:eastAsia="zh-TW"/>
              </w:rPr>
            </w:pPr>
            <w:r>
              <w:rPr>
                <w:rFonts w:hint="eastAsia" w:hAnsi="宋体"/>
                <w:szCs w:val="21"/>
                <w:u w:color="333333"/>
                <w:lang w:val="zh-TW" w:eastAsia="zh-TW"/>
              </w:rPr>
              <w:t>（</w:t>
            </w:r>
            <w:r>
              <w:rPr>
                <w:szCs w:val="21"/>
                <w:u w:color="333333"/>
                <w:lang w:eastAsia="zh-CN"/>
              </w:rPr>
              <w:t>2</w:t>
            </w:r>
            <w:r>
              <w:rPr>
                <w:rFonts w:hint="eastAsia" w:hAnsi="宋体"/>
                <w:szCs w:val="21"/>
                <w:u w:color="333333"/>
                <w:lang w:val="zh-TW" w:eastAsia="zh-TW"/>
              </w:rPr>
              <w:t>）标书中明确系统所有组件的品牌、材质、型号，并且注明每一个组件的保修期；</w:t>
            </w:r>
          </w:p>
          <w:p>
            <w:pPr>
              <w:spacing w:line="360" w:lineRule="auto"/>
              <w:jc w:val="both"/>
              <w:rPr>
                <w:szCs w:val="21"/>
                <w:lang w:eastAsia="zh-CN"/>
              </w:rPr>
            </w:pPr>
            <w:r>
              <w:rPr>
                <w:rFonts w:hint="eastAsia" w:hAnsi="宋体"/>
                <w:szCs w:val="21"/>
                <w:u w:color="333333"/>
                <w:lang w:eastAsia="zh-TW"/>
              </w:rPr>
              <w:t>（</w:t>
            </w:r>
            <w:r>
              <w:rPr>
                <w:rFonts w:hAnsi="宋体"/>
                <w:szCs w:val="21"/>
                <w:u w:color="333333"/>
                <w:lang w:eastAsia="zh-TW"/>
              </w:rPr>
              <w:t>3</w:t>
            </w:r>
            <w:r>
              <w:rPr>
                <w:rFonts w:hint="eastAsia" w:hAnsi="宋体"/>
                <w:szCs w:val="21"/>
                <w:u w:color="333333"/>
                <w:lang w:eastAsia="zh-TW"/>
              </w:rPr>
              <w:t>）除另有约定外，上述文件中方案或计划类文件应在合同签订后设备发运前交付审核</w:t>
            </w:r>
          </w:p>
        </w:tc>
        <w:tc>
          <w:tcPr>
            <w:tcW w:w="2125" w:type="dxa"/>
            <w:vAlign w:val="center"/>
          </w:tcPr>
          <w:p>
            <w:pPr>
              <w:jc w:val="both"/>
              <w:rPr>
                <w:szCs w:val="21"/>
                <w:lang w:eastAsia="zh-CN"/>
              </w:rPr>
            </w:pPr>
            <w:r>
              <w:rPr>
                <w:rFonts w:hint="eastAsia"/>
                <w:szCs w:val="21"/>
                <w:lang w:eastAsia="zh-CN"/>
              </w:rPr>
              <w:t>关键</w:t>
            </w:r>
          </w:p>
        </w:tc>
      </w:tr>
    </w:tbl>
    <w:p>
      <w:pPr>
        <w:rPr>
          <w:szCs w:val="21"/>
          <w:lang w:eastAsia="zh-CN"/>
        </w:rPr>
      </w:pPr>
    </w:p>
    <w:p>
      <w:pPr>
        <w:pStyle w:val="44"/>
        <w:numPr>
          <w:ilvl w:val="0"/>
          <w:numId w:val="3"/>
        </w:numPr>
        <w:spacing w:after="158" w:afterLines="50"/>
        <w:ind w:left="426" w:hanging="426" w:hangingChars="202"/>
        <w:outlineLvl w:val="0"/>
        <w:rPr>
          <w:rFonts w:ascii="Times New Roman" w:hAnsi="Times New Roman"/>
          <w:b/>
        </w:rPr>
      </w:pPr>
      <w:bookmarkStart w:id="44" w:name="_Toc522716125"/>
      <w:r>
        <w:rPr>
          <w:rFonts w:hint="eastAsia" w:ascii="Times New Roman" w:hAnsi="Times New Roman"/>
          <w:b/>
          <w:szCs w:val="21"/>
        </w:rPr>
        <w:t>服务要求</w:t>
      </w:r>
      <w:bookmarkEnd w:id="44"/>
    </w:p>
    <w:tbl>
      <w:tblPr>
        <w:tblStyle w:val="19"/>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rFonts w:hint="eastAsia"/>
                <w:b/>
                <w:szCs w:val="21"/>
              </w:rPr>
              <w:t>编号</w:t>
            </w:r>
          </w:p>
        </w:tc>
        <w:tc>
          <w:tcPr>
            <w:tcW w:w="7128" w:type="dxa"/>
            <w:shd w:val="clear" w:color="auto" w:fill="D9D9D9"/>
            <w:vAlign w:val="center"/>
          </w:tcPr>
          <w:p>
            <w:pPr>
              <w:jc w:val="center"/>
              <w:rPr>
                <w:b/>
                <w:szCs w:val="21"/>
                <w:lang w:eastAsia="zh-CN"/>
              </w:rPr>
            </w:pPr>
            <w:r>
              <w:rPr>
                <w:rFonts w:hint="eastAsia"/>
                <w:b/>
                <w:szCs w:val="21"/>
                <w:lang w:eastAsia="zh-CN"/>
              </w:rPr>
              <w:t>需求</w:t>
            </w:r>
          </w:p>
        </w:tc>
        <w:tc>
          <w:tcPr>
            <w:tcW w:w="2125" w:type="dxa"/>
            <w:shd w:val="clear" w:color="auto" w:fill="D9D9D9"/>
            <w:vAlign w:val="center"/>
          </w:tcPr>
          <w:p>
            <w:pPr>
              <w:jc w:val="center"/>
              <w:rPr>
                <w:b/>
                <w:szCs w:val="21"/>
                <w:lang w:eastAsia="zh-CN"/>
              </w:rPr>
            </w:pPr>
            <w:r>
              <w:rPr>
                <w:rFonts w:hint="eastAsia"/>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w:t>
            </w:r>
            <w:r>
              <w:rPr>
                <w:rFonts w:hint="eastAsia"/>
                <w:szCs w:val="21"/>
                <w:lang w:eastAsia="zh-CN"/>
              </w:rPr>
              <w:t>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360" w:lineRule="auto"/>
              <w:jc w:val="both"/>
              <w:rPr>
                <w:rFonts w:hAnsi="宋体"/>
                <w:szCs w:val="21"/>
                <w:u w:color="333333"/>
                <w:lang w:eastAsia="zh-CN"/>
              </w:rPr>
            </w:pPr>
            <w:r>
              <w:rPr>
                <w:rFonts w:hint="eastAsia" w:hAnsi="宋体"/>
                <w:szCs w:val="21"/>
                <w:u w:color="333333"/>
                <w:lang w:eastAsia="zh-CN"/>
              </w:rPr>
              <w:t>设备供应商应免费对设备使用方人员进行全面培训，包括对检定操作人员及设备维护、维修人员，并填写培训记录。</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360" w:lineRule="auto"/>
              <w:jc w:val="both"/>
              <w:rPr>
                <w:rFonts w:hAnsi="宋体"/>
                <w:szCs w:val="21"/>
                <w:u w:color="333333"/>
                <w:lang w:eastAsia="zh-CN"/>
              </w:rPr>
            </w:pPr>
            <w:r>
              <w:rPr>
                <w:rFonts w:hint="eastAsia" w:hAnsi="宋体"/>
                <w:szCs w:val="21"/>
                <w:u w:color="333333"/>
                <w:lang w:eastAsia="zh-CN"/>
              </w:rPr>
              <w:t>检定操作人员培训包括设备结构原理、性能、操作、清洗消毒、故障排除等基本知识。合格标准为用户参加培训人员能够独立正确操作设备，会排除常见故障。</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360" w:lineRule="auto"/>
              <w:rPr>
                <w:rFonts w:ascii="宋体" w:hAnsi="宋体"/>
                <w:szCs w:val="21"/>
                <w:lang w:eastAsia="zh-CN"/>
              </w:rPr>
            </w:pPr>
            <w:r>
              <w:rPr>
                <w:rFonts w:hint="eastAsia" w:ascii="宋体" w:hAnsi="宋体"/>
                <w:szCs w:val="21"/>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440" w:lineRule="exact"/>
              <w:rPr>
                <w:rFonts w:ascii="宋体" w:hAnsi="宋体"/>
                <w:szCs w:val="21"/>
                <w:lang w:eastAsia="zh-CN"/>
              </w:rPr>
            </w:pPr>
            <w:r>
              <w:rPr>
                <w:rFonts w:hint="eastAsia" w:ascii="宋体" w:hAnsi="宋体"/>
                <w:szCs w:val="21"/>
                <w:lang w:eastAsia="zh-CN"/>
              </w:rPr>
              <w:t>设备运输在运输途中需做好防护措施，不得有任何损伤。</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440" w:lineRule="exact"/>
              <w:rPr>
                <w:rFonts w:hint="default" w:ascii="Times New Roman" w:hAnsi="Times New Roman" w:cs="Times New Roman"/>
                <w:i/>
                <w:szCs w:val="21"/>
                <w:lang w:eastAsia="zh-CN"/>
              </w:rPr>
            </w:pPr>
            <w:r>
              <w:rPr>
                <w:rFonts w:hint="default" w:ascii="Times New Roman" w:hAnsi="Times New Roman" w:cs="Times New Roman"/>
                <w:szCs w:val="21"/>
                <w:lang w:eastAsia="zh-CN"/>
              </w:rPr>
              <w:t>验证包括验证计划、系统评估、计算机化系统评估、风险评估、DQ、FAT、SAT、IQ、OQ、RTM、VSR文件与服务，供应商必须派出具备该类系统验证经验，且熟悉验证相关文件编写及验证工作实施的验证工程师开展验证工作。</w:t>
            </w:r>
            <w:r>
              <w:rPr>
                <w:rFonts w:hint="default" w:ascii="Times New Roman" w:hAnsi="Times New Roman" w:cs="Times New Roman"/>
                <w:szCs w:val="21"/>
              </w:rPr>
              <w:t>供应商协助完成PQ。</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360" w:lineRule="auto"/>
              <w:jc w:val="both"/>
              <w:rPr>
                <w:rFonts w:hint="default" w:ascii="Times New Roman" w:hAnsi="Times New Roman" w:cs="Times New Roman"/>
                <w:szCs w:val="21"/>
                <w:lang w:eastAsia="zh-CN"/>
              </w:rPr>
            </w:pPr>
            <w:r>
              <w:rPr>
                <w:rFonts w:hint="default" w:ascii="Times New Roman" w:hAnsi="Times New Roman" w:cs="Times New Roman"/>
                <w:szCs w:val="21"/>
                <w:lang w:eastAsia="zh-CN"/>
              </w:rPr>
              <w:t>投标方按GMP和GAMP5规范完成所有验证工作，</w:t>
            </w:r>
            <w:r>
              <w:rPr>
                <w:rFonts w:hint="default" w:ascii="Times New Roman" w:hAnsi="Times New Roman" w:cs="Times New Roman"/>
                <w:szCs w:val="21"/>
                <w:u w:color="333333"/>
                <w:lang w:val="zh-TW" w:eastAsia="zh-TW"/>
              </w:rPr>
              <w:t>各验证工作开始前验证方案需经过本公司相关部门审核，并经质量保证部批准</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360" w:lineRule="auto"/>
              <w:jc w:val="both"/>
              <w:rPr>
                <w:szCs w:val="21"/>
                <w:lang w:eastAsia="zh-CN"/>
              </w:rPr>
            </w:pPr>
            <w:r>
              <w:rPr>
                <w:rFonts w:hint="eastAsia" w:hAnsi="宋体"/>
                <w:szCs w:val="21"/>
                <w:u w:color="333333"/>
                <w:lang w:val="zh-TW" w:eastAsia="zh-TW"/>
              </w:rPr>
              <w:t>验证工作应按时保质完成，供应商需提供验证工作计划表</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360" w:lineRule="auto"/>
              <w:jc w:val="both"/>
              <w:rPr>
                <w:szCs w:val="21"/>
                <w:lang w:eastAsia="zh-CN"/>
              </w:rPr>
            </w:pPr>
            <w:r>
              <w:rPr>
                <w:rFonts w:hint="eastAsia" w:hAnsi="宋体"/>
                <w:szCs w:val="21"/>
                <w:u w:color="333333"/>
                <w:lang w:val="zh-TW" w:eastAsia="zh-TW"/>
              </w:rPr>
              <w:t>验证项目应包含法规要求的测试项目，以及本公司提出的测试项目。</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360" w:lineRule="auto"/>
              <w:jc w:val="both"/>
              <w:rPr>
                <w:szCs w:val="21"/>
                <w:lang w:eastAsia="zh-CN"/>
              </w:rPr>
            </w:pPr>
            <w:r>
              <w:rPr>
                <w:rFonts w:hint="eastAsia" w:hAnsi="宋体"/>
                <w:szCs w:val="21"/>
                <w:u w:color="333333"/>
                <w:lang w:val="zh-TW" w:eastAsia="zh-TW"/>
              </w:rPr>
              <w:t>验证工作完成后，验证记录经本公司相关部门审核，并经质量保证部批准。</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360" w:lineRule="auto"/>
              <w:jc w:val="both"/>
              <w:rPr>
                <w:szCs w:val="21"/>
                <w:lang w:eastAsia="zh-CN"/>
              </w:rPr>
            </w:pPr>
            <w:r>
              <w:rPr>
                <w:rFonts w:hint="eastAsia" w:hAnsi="宋体"/>
                <w:szCs w:val="21"/>
                <w:u w:color="333333"/>
                <w:lang w:val="zh-TW" w:eastAsia="zh-TW"/>
              </w:rPr>
              <w:t>验收前，验证工作已成功完成，验证最终报告已经本公司相关部门审核，并经质量保证部批准</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360" w:lineRule="auto"/>
              <w:jc w:val="both"/>
              <w:rPr>
                <w:szCs w:val="21"/>
                <w:lang w:eastAsia="zh-CN"/>
              </w:rPr>
            </w:pPr>
            <w:r>
              <w:rPr>
                <w:rFonts w:hint="eastAsia"/>
                <w:szCs w:val="21"/>
                <w:lang w:eastAsia="zh-CN"/>
              </w:rPr>
              <w:t>仪器</w:t>
            </w:r>
            <w:r>
              <w:rPr>
                <w:rFonts w:hint="eastAsia" w:hAnsi="宋体"/>
                <w:szCs w:val="21"/>
                <w:u w:color="333333"/>
                <w:lang w:val="zh-TW" w:eastAsia="zh-TW"/>
              </w:rPr>
              <w:t>保质期从确认验收的阶段就开始计算</w:t>
            </w:r>
            <w:r>
              <w:rPr>
                <w:rFonts w:hint="eastAsia" w:hAnsi="宋体"/>
                <w:szCs w:val="21"/>
                <w:u w:color="333333"/>
                <w:lang w:eastAsia="zh-TW"/>
              </w:rPr>
              <w:t>，整机</w:t>
            </w:r>
            <w:r>
              <w:rPr>
                <w:rFonts w:hint="eastAsia" w:hAnsi="宋体"/>
                <w:szCs w:val="21"/>
                <w:u w:color="333333"/>
                <w:lang w:val="zh-TW" w:eastAsia="zh-TW"/>
              </w:rPr>
              <w:t>保期为一年，一年内免费保修，一年后应提供良好的售后服务</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360" w:lineRule="auto"/>
              <w:jc w:val="both"/>
              <w:rPr>
                <w:rFonts w:hint="default" w:eastAsia="宋体"/>
                <w:szCs w:val="21"/>
                <w:lang w:val="en-US" w:eastAsia="zh-CN"/>
              </w:rPr>
            </w:pPr>
            <w:r>
              <w:rPr>
                <w:rFonts w:hint="eastAsia" w:hAnsi="宋体"/>
                <w:szCs w:val="21"/>
                <w:u w:color="333333"/>
                <w:lang w:val="en-US" w:eastAsia="zh-CN"/>
              </w:rPr>
              <w:t>厂家需提供明确的返修途径，联系人电话及地址</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360" w:lineRule="auto"/>
              <w:jc w:val="both"/>
              <w:rPr>
                <w:szCs w:val="21"/>
                <w:lang w:eastAsia="zh-CN"/>
              </w:rPr>
            </w:pPr>
            <w:r>
              <w:rPr>
                <w:rFonts w:hint="eastAsia" w:ascii="宋体" w:hAnsi="宋体" w:cs="宋体"/>
                <w:szCs w:val="21"/>
                <w:u w:color="333333"/>
                <w:lang w:val="zh-TW" w:eastAsia="zh-TW"/>
              </w:rPr>
              <w:t>售后服务必须响应及时，要求设备出现须厂家维修的故障后，应在</w:t>
            </w:r>
            <w:r>
              <w:rPr>
                <w:rFonts w:ascii="宋体" w:hAnsi="宋体" w:cs="宋体"/>
                <w:szCs w:val="21"/>
                <w:u w:color="333333"/>
                <w:lang w:eastAsia="zh-CN"/>
              </w:rPr>
              <w:t>4</w:t>
            </w:r>
            <w:r>
              <w:rPr>
                <w:rFonts w:hint="eastAsia" w:ascii="宋体" w:hAnsi="宋体" w:cs="宋体"/>
                <w:szCs w:val="21"/>
                <w:u w:color="333333"/>
                <w:lang w:val="zh-TW" w:eastAsia="zh-TW"/>
              </w:rPr>
              <w:t>小时内明确答复，当电话沟通无法解决时，须</w:t>
            </w:r>
            <w:r>
              <w:rPr>
                <w:rFonts w:ascii="宋体" w:hAnsi="宋体" w:cs="宋体"/>
                <w:szCs w:val="21"/>
                <w:u w:color="333333"/>
                <w:lang w:eastAsia="zh-CN"/>
              </w:rPr>
              <w:t>24</w:t>
            </w:r>
            <w:r>
              <w:rPr>
                <w:rFonts w:hint="eastAsia" w:ascii="宋体" w:hAnsi="宋体" w:cs="宋体"/>
                <w:szCs w:val="21"/>
                <w:u w:color="333333"/>
                <w:lang w:val="zh-TW" w:eastAsia="zh-TW"/>
              </w:rPr>
              <w:t>小时内派人至现场解决。</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360" w:lineRule="auto"/>
              <w:jc w:val="both"/>
              <w:rPr>
                <w:szCs w:val="21"/>
                <w:lang w:eastAsia="zh-CN"/>
              </w:rPr>
            </w:pPr>
            <w:r>
              <w:rPr>
                <w:rFonts w:hint="eastAsia" w:hAnsi="宋体"/>
                <w:szCs w:val="21"/>
                <w:u w:color="333333"/>
                <w:lang w:val="zh-TW" w:eastAsia="zh-TW"/>
              </w:rPr>
              <w:t>一年免费保修期后，</w:t>
            </w:r>
            <w:r>
              <w:rPr>
                <w:rFonts w:hint="eastAsia" w:hAnsi="宋体"/>
                <w:szCs w:val="21"/>
                <w:u w:color="333333"/>
                <w:lang w:eastAsia="zh-TW"/>
              </w:rPr>
              <w:t>供应商</w:t>
            </w:r>
            <w:r>
              <w:rPr>
                <w:rFonts w:hint="eastAsia" w:hAnsi="宋体"/>
                <w:szCs w:val="21"/>
                <w:u w:color="333333"/>
                <w:lang w:val="zh-TW" w:eastAsia="zh-TW"/>
              </w:rPr>
              <w:t>应终生提供及时的维修、维护，</w:t>
            </w:r>
            <w:r>
              <w:rPr>
                <w:rFonts w:hint="eastAsia" w:hAnsi="宋体"/>
                <w:szCs w:val="21"/>
                <w:u w:color="333333"/>
                <w:lang w:eastAsia="zh-TW"/>
              </w:rPr>
              <w:t>供应商</w:t>
            </w:r>
            <w:r>
              <w:rPr>
                <w:rFonts w:hint="eastAsia" w:hAnsi="宋体"/>
                <w:szCs w:val="21"/>
                <w:u w:color="333333"/>
                <w:lang w:val="zh-TW" w:eastAsia="zh-TW"/>
              </w:rPr>
              <w:t>应定期回访，解决设备运行当中可能出现的疑问，排除潜在故障，使设备保持良好工作状态。</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360" w:lineRule="auto"/>
              <w:rPr>
                <w:szCs w:val="21"/>
                <w:u w:color="333333"/>
                <w:lang w:eastAsia="zh-CN"/>
              </w:rPr>
            </w:pPr>
            <w:r>
              <w:rPr>
                <w:rFonts w:hint="eastAsia" w:hAnsi="宋体"/>
                <w:szCs w:val="21"/>
                <w:u w:color="333333"/>
                <w:lang w:eastAsia="zh-TW"/>
              </w:rPr>
              <w:t>供应商</w:t>
            </w:r>
            <w:r>
              <w:rPr>
                <w:rFonts w:hint="eastAsia" w:hAnsi="宋体"/>
                <w:szCs w:val="21"/>
                <w:u w:color="333333"/>
                <w:lang w:val="zh-TW" w:eastAsia="zh-TW"/>
              </w:rPr>
              <w:t>应提供合格的备件</w:t>
            </w:r>
            <w:r>
              <w:rPr>
                <w:rFonts w:hint="eastAsia" w:hAnsi="宋体"/>
                <w:szCs w:val="21"/>
                <w:u w:color="333333"/>
                <w:lang w:val="en-US" w:eastAsia="zh-CN"/>
              </w:rPr>
              <w:t>及备件清单</w:t>
            </w:r>
            <w:r>
              <w:rPr>
                <w:rFonts w:hint="eastAsia" w:hAnsi="宋体"/>
                <w:szCs w:val="21"/>
                <w:u w:color="333333"/>
                <w:lang w:val="zh-TW" w:eastAsia="zh-TW"/>
              </w:rPr>
              <w:t>，用于设备相应部件的维修、更换。</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hAnsi="宋体"/>
                <w:szCs w:val="21"/>
                <w:u w:color="333333"/>
                <w:lang w:val="zh-TW" w:eastAsia="zh-TW"/>
              </w:rPr>
              <w:t>货物到达买方使用现场后，由买卖双方共同验收，卖方工程师免费为买方提供调试。</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hAnsi="宋体"/>
                <w:szCs w:val="21"/>
                <w:u w:color="333333"/>
                <w:lang w:val="zh-TW" w:eastAsia="zh-TW"/>
              </w:rPr>
              <w:t>供应商进厂施工需遵守安全和施工规定。确认验收合格后，买卖双方签订验收报告</w:t>
            </w:r>
            <w:r>
              <w:rPr>
                <w:rFonts w:hint="eastAsia" w:hAnsi="宋体"/>
                <w:szCs w:val="21"/>
                <w:u w:color="333333"/>
                <w:lang w:val="zh-TW" w:eastAsia="zh-CN"/>
              </w:rPr>
              <w:t>。</w:t>
            </w:r>
          </w:p>
        </w:tc>
        <w:tc>
          <w:tcPr>
            <w:tcW w:w="2125" w:type="dxa"/>
            <w:vAlign w:val="center"/>
          </w:tcPr>
          <w:p>
            <w:pPr>
              <w:jc w:val="both"/>
              <w:rPr>
                <w:szCs w:val="21"/>
                <w:lang w:eastAsia="zh-CN"/>
              </w:rPr>
            </w:pPr>
            <w:r>
              <w:rPr>
                <w:rFonts w:hint="eastAsia"/>
                <w:szCs w:val="21"/>
                <w:lang w:eastAsia="zh-CN"/>
              </w:rPr>
              <w:t>关键</w:t>
            </w:r>
          </w:p>
        </w:tc>
      </w:tr>
    </w:tbl>
    <w:p/>
    <w:p>
      <w:pPr>
        <w:pStyle w:val="44"/>
        <w:numPr>
          <w:ilvl w:val="0"/>
          <w:numId w:val="3"/>
        </w:numPr>
        <w:spacing w:after="158" w:afterLines="50"/>
        <w:ind w:left="426" w:hanging="426" w:hangingChars="202"/>
        <w:outlineLvl w:val="0"/>
        <w:rPr>
          <w:rFonts w:ascii="Times New Roman" w:hAnsi="Times New Roman"/>
          <w:b/>
        </w:rPr>
      </w:pPr>
      <w:bookmarkStart w:id="45" w:name="_Toc522716126"/>
      <w:bookmarkStart w:id="46" w:name="_Toc522107746"/>
      <w:r>
        <w:rPr>
          <w:rFonts w:hint="eastAsia" w:ascii="Times New Roman" w:hAnsi="Times New Roman"/>
          <w:b/>
        </w:rPr>
        <w:t>附件</w:t>
      </w:r>
      <w:bookmarkEnd w:id="45"/>
      <w:bookmarkEnd w:id="46"/>
    </w:p>
    <w:bookmarkEnd w:id="29"/>
    <w:bookmarkEnd w:id="30"/>
    <w:bookmarkEnd w:id="31"/>
    <w:bookmarkEnd w:id="32"/>
    <w:bookmarkEnd w:id="33"/>
    <w:bookmarkEnd w:id="34"/>
    <w:bookmarkEnd w:id="35"/>
    <w:bookmarkEnd w:id="36"/>
    <w:bookmarkEnd w:id="37"/>
    <w:bookmarkEnd w:id="38"/>
    <w:bookmarkEnd w:id="39"/>
    <w:bookmarkEnd w:id="40"/>
    <w:p>
      <w:pPr>
        <w:pStyle w:val="53"/>
        <w:spacing w:before="0" w:line="360" w:lineRule="auto"/>
        <w:ind w:left="357"/>
        <w:jc w:val="left"/>
        <w:rPr>
          <w:rFonts w:hAnsi="宋体"/>
          <w:sz w:val="21"/>
          <w:szCs w:val="21"/>
          <w:u w:color="333333"/>
          <w:lang w:val="zh-TW" w:eastAsia="zh-CN"/>
        </w:rPr>
      </w:pPr>
      <w:r>
        <w:rPr>
          <w:rFonts w:hint="eastAsia" w:hAnsi="宋体"/>
          <w:sz w:val="21"/>
          <w:szCs w:val="21"/>
          <w:u w:color="333333"/>
          <w:lang w:val="zh-TW" w:eastAsia="zh-CN"/>
        </w:rPr>
        <w:t>不适用</w:t>
      </w:r>
    </w:p>
    <w:sectPr>
      <w:footerReference r:id="rId3"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PMingLiUfalt">
    <w:altName w:val="MingLiU-ExtB"/>
    <w:panose1 w:val="00000000000000000000"/>
    <w:charset w:val="88"/>
    <w:family w:val="roman"/>
    <w:pitch w:val="default"/>
    <w:sig w:usb0="00000000" w:usb1="00000000" w:usb2="00000010" w:usb3="00000000" w:csb0="00100000" w:csb1="00000000"/>
  </w:font>
  <w:font w:name="FZZDXJW--GB1-0">
    <w:altName w:val="Cambria"/>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right" w:pos="9356"/>
        <w:tab w:val="clear" w:pos="8640"/>
      </w:tabs>
      <w:ind w:right="-285"/>
      <w:rPr>
        <w:sz w:val="18"/>
        <w:szCs w:val="18"/>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2689A"/>
    <w:multiLevelType w:val="multilevel"/>
    <w:tmpl w:val="0892689A"/>
    <w:lvl w:ilvl="0" w:tentative="0">
      <w:start w:val="1"/>
      <w:numFmt w:val="decimal"/>
      <w:lvlText w:val="6.%1"/>
      <w:lvlJc w:val="left"/>
      <w:pPr>
        <w:ind w:left="10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
    <w:nsid w:val="08FC583D"/>
    <w:multiLevelType w:val="multilevel"/>
    <w:tmpl w:val="08FC583D"/>
    <w:lvl w:ilvl="0" w:tentative="0">
      <w:start w:val="1"/>
      <w:numFmt w:val="decimal"/>
      <w:pStyle w:val="2"/>
      <w:lvlText w:val="%1."/>
      <w:lvlJc w:val="left"/>
      <w:pPr>
        <w:tabs>
          <w:tab w:val="left" w:pos="425"/>
        </w:tabs>
        <w:ind w:left="425" w:hanging="425"/>
      </w:pPr>
      <w:rPr>
        <w:rFonts w:hint="default" w:cs="Times New Roman"/>
        <w:sz w:val="22"/>
      </w:rPr>
    </w:lvl>
    <w:lvl w:ilvl="1" w:tentative="0">
      <w:start w:val="1"/>
      <w:numFmt w:val="decimal"/>
      <w:lvlText w:val="%1.%2."/>
      <w:lvlJc w:val="left"/>
      <w:pPr>
        <w:tabs>
          <w:tab w:val="left" w:pos="567"/>
        </w:tabs>
        <w:ind w:left="567" w:hanging="567"/>
      </w:pPr>
      <w:rPr>
        <w:rFonts w:hint="default" w:cs="Times New Roman"/>
        <w:sz w:val="22"/>
      </w:rPr>
    </w:lvl>
    <w:lvl w:ilvl="2" w:tentative="0">
      <w:start w:val="1"/>
      <w:numFmt w:val="decimal"/>
      <w:lvlText w:val="%1.%2.%3."/>
      <w:lvlJc w:val="left"/>
      <w:pPr>
        <w:tabs>
          <w:tab w:val="left" w:pos="709"/>
        </w:tabs>
        <w:ind w:left="709" w:hanging="709"/>
      </w:pPr>
      <w:rPr>
        <w:rFonts w:hint="default" w:cs="Times New Roman"/>
      </w:rPr>
    </w:lvl>
    <w:lvl w:ilvl="3" w:tentative="0">
      <w:start w:val="1"/>
      <w:numFmt w:val="decimal"/>
      <w:lvlText w:val="%1.%2.%3.%4."/>
      <w:lvlJc w:val="left"/>
      <w:pPr>
        <w:tabs>
          <w:tab w:val="left" w:pos="851"/>
        </w:tabs>
        <w:ind w:left="851" w:hanging="851"/>
      </w:pPr>
      <w:rPr>
        <w:rFonts w:hint="default" w:cs="Times New Roman"/>
      </w:rPr>
    </w:lvl>
    <w:lvl w:ilvl="4" w:tentative="0">
      <w:start w:val="1"/>
      <w:numFmt w:val="decimal"/>
      <w:lvlText w:val="%1.%2.%3.%4.%5."/>
      <w:lvlJc w:val="left"/>
      <w:pPr>
        <w:tabs>
          <w:tab w:val="left" w:pos="992"/>
        </w:tabs>
        <w:ind w:left="992" w:hanging="992"/>
      </w:pPr>
      <w:rPr>
        <w:rFonts w:hint="default" w:cs="Times New Roman"/>
      </w:rPr>
    </w:lvl>
    <w:lvl w:ilvl="5" w:tentative="0">
      <w:start w:val="1"/>
      <w:numFmt w:val="decimal"/>
      <w:lvlText w:val="%1.%2.%3.%4.%5.%6."/>
      <w:lvlJc w:val="left"/>
      <w:pPr>
        <w:tabs>
          <w:tab w:val="left" w:pos="1134"/>
        </w:tabs>
        <w:ind w:left="1134" w:hanging="1134"/>
      </w:pPr>
      <w:rPr>
        <w:rFonts w:hint="default" w:cs="Times New Roman"/>
      </w:rPr>
    </w:lvl>
    <w:lvl w:ilvl="6" w:tentative="0">
      <w:start w:val="1"/>
      <w:numFmt w:val="decimal"/>
      <w:lvlText w:val="%1.%2.%3.%4.%5.%6.%7."/>
      <w:lvlJc w:val="left"/>
      <w:pPr>
        <w:tabs>
          <w:tab w:val="left" w:pos="1276"/>
        </w:tabs>
        <w:ind w:left="1276" w:hanging="1276"/>
      </w:pPr>
      <w:rPr>
        <w:rFonts w:hint="default" w:cs="Times New Roman"/>
      </w:rPr>
    </w:lvl>
    <w:lvl w:ilvl="7" w:tentative="0">
      <w:start w:val="1"/>
      <w:numFmt w:val="decimal"/>
      <w:lvlText w:val="%1.%2.%3.%4.%5.%6.%7.%8."/>
      <w:lvlJc w:val="left"/>
      <w:pPr>
        <w:tabs>
          <w:tab w:val="left" w:pos="1418"/>
        </w:tabs>
        <w:ind w:left="1418" w:hanging="1418"/>
      </w:pPr>
      <w:rPr>
        <w:rFonts w:hint="default" w:cs="Times New Roman"/>
      </w:rPr>
    </w:lvl>
    <w:lvl w:ilvl="8" w:tentative="0">
      <w:start w:val="1"/>
      <w:numFmt w:val="decimal"/>
      <w:lvlText w:val="%1.%2.%3.%4.%5.%6.%7.%8.%9."/>
      <w:lvlJc w:val="left"/>
      <w:pPr>
        <w:tabs>
          <w:tab w:val="left" w:pos="1559"/>
        </w:tabs>
        <w:ind w:left="1559" w:hanging="1559"/>
      </w:pPr>
      <w:rPr>
        <w:rFonts w:hint="default" w:cs="Times New Roman"/>
      </w:rPr>
    </w:lvl>
  </w:abstractNum>
  <w:abstractNum w:abstractNumId="2">
    <w:nsid w:val="0BB07E03"/>
    <w:multiLevelType w:val="multilevel"/>
    <w:tmpl w:val="0BB07E03"/>
    <w:lvl w:ilvl="0" w:tentative="0">
      <w:start w:val="1"/>
      <w:numFmt w:val="decimal"/>
      <w:lvlText w:val="9.%1"/>
      <w:lvlJc w:val="left"/>
      <w:pPr>
        <w:ind w:left="10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11273409"/>
    <w:multiLevelType w:val="multilevel"/>
    <w:tmpl w:val="11273409"/>
    <w:lvl w:ilvl="0" w:tentative="0">
      <w:start w:val="1"/>
      <w:numFmt w:val="decimal"/>
      <w:lvlText w:val="7.%1"/>
      <w:lvlJc w:val="left"/>
      <w:pPr>
        <w:ind w:left="10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
    <w:nsid w:val="16D341CC"/>
    <w:multiLevelType w:val="multilevel"/>
    <w:tmpl w:val="16D341CC"/>
    <w:lvl w:ilvl="0" w:tentative="0">
      <w:start w:val="1"/>
      <w:numFmt w:val="decimal"/>
      <w:lvlText w:val="URS %1"/>
      <w:lvlJc w:val="left"/>
      <w:pPr>
        <w:ind w:left="846" w:hanging="420"/>
      </w:pPr>
      <w:rPr>
        <w:rFonts w:hint="eastAsia" w:cs="Times New Roman"/>
      </w:rPr>
    </w:lvl>
    <w:lvl w:ilvl="1" w:tentative="0">
      <w:start w:val="1"/>
      <w:numFmt w:val="lowerLetter"/>
      <w:lvlText w:val="%2)"/>
      <w:lvlJc w:val="left"/>
      <w:pPr>
        <w:ind w:left="1440" w:hanging="420"/>
      </w:pPr>
      <w:rPr>
        <w:rFonts w:cs="Times New Roman"/>
      </w:rPr>
    </w:lvl>
    <w:lvl w:ilvl="2" w:tentative="0">
      <w:start w:val="1"/>
      <w:numFmt w:val="lowerRoman"/>
      <w:lvlText w:val="%3."/>
      <w:lvlJc w:val="right"/>
      <w:pPr>
        <w:ind w:left="1860" w:hanging="420"/>
      </w:pPr>
      <w:rPr>
        <w:rFonts w:cs="Times New Roman"/>
      </w:rPr>
    </w:lvl>
    <w:lvl w:ilvl="3" w:tentative="0">
      <w:start w:val="1"/>
      <w:numFmt w:val="decimal"/>
      <w:lvlText w:val="%4."/>
      <w:lvlJc w:val="left"/>
      <w:pPr>
        <w:ind w:left="2280" w:hanging="420"/>
      </w:pPr>
      <w:rPr>
        <w:rFonts w:cs="Times New Roman"/>
      </w:rPr>
    </w:lvl>
    <w:lvl w:ilvl="4" w:tentative="0">
      <w:start w:val="1"/>
      <w:numFmt w:val="lowerLetter"/>
      <w:lvlText w:val="%5)"/>
      <w:lvlJc w:val="left"/>
      <w:pPr>
        <w:ind w:left="2700" w:hanging="420"/>
      </w:pPr>
      <w:rPr>
        <w:rFonts w:cs="Times New Roman"/>
      </w:rPr>
    </w:lvl>
    <w:lvl w:ilvl="5" w:tentative="0">
      <w:start w:val="1"/>
      <w:numFmt w:val="lowerRoman"/>
      <w:lvlText w:val="%6."/>
      <w:lvlJc w:val="right"/>
      <w:pPr>
        <w:ind w:left="3120" w:hanging="420"/>
      </w:pPr>
      <w:rPr>
        <w:rFonts w:cs="Times New Roman"/>
      </w:rPr>
    </w:lvl>
    <w:lvl w:ilvl="6" w:tentative="0">
      <w:start w:val="1"/>
      <w:numFmt w:val="decimal"/>
      <w:lvlText w:val="%7."/>
      <w:lvlJc w:val="left"/>
      <w:pPr>
        <w:ind w:left="3540" w:hanging="420"/>
      </w:pPr>
      <w:rPr>
        <w:rFonts w:cs="Times New Roman"/>
      </w:rPr>
    </w:lvl>
    <w:lvl w:ilvl="7" w:tentative="0">
      <w:start w:val="1"/>
      <w:numFmt w:val="lowerLetter"/>
      <w:lvlText w:val="%8)"/>
      <w:lvlJc w:val="left"/>
      <w:pPr>
        <w:ind w:left="3960" w:hanging="420"/>
      </w:pPr>
      <w:rPr>
        <w:rFonts w:cs="Times New Roman"/>
      </w:rPr>
    </w:lvl>
    <w:lvl w:ilvl="8" w:tentative="0">
      <w:start w:val="1"/>
      <w:numFmt w:val="lowerRoman"/>
      <w:lvlText w:val="%9."/>
      <w:lvlJc w:val="right"/>
      <w:pPr>
        <w:ind w:left="4380" w:hanging="420"/>
      </w:pPr>
      <w:rPr>
        <w:rFonts w:cs="Times New Roman"/>
      </w:rPr>
    </w:lvl>
  </w:abstractNum>
  <w:abstractNum w:abstractNumId="5">
    <w:nsid w:val="1E85127E"/>
    <w:multiLevelType w:val="multilevel"/>
    <w:tmpl w:val="1E85127E"/>
    <w:lvl w:ilvl="0" w:tentative="0">
      <w:start w:val="1"/>
      <w:numFmt w:val="bullet"/>
      <w:lvlText w:val=""/>
      <w:lvlJc w:val="left"/>
      <w:pPr>
        <w:ind w:left="914" w:hanging="420"/>
      </w:pPr>
      <w:rPr>
        <w:rFonts w:hint="default" w:ascii="Wingdings" w:hAnsi="Wingdings"/>
        <w:color w:val="000000"/>
      </w:rPr>
    </w:lvl>
    <w:lvl w:ilvl="1" w:tentative="0">
      <w:start w:val="1"/>
      <w:numFmt w:val="bullet"/>
      <w:lvlText w:val=""/>
      <w:lvlJc w:val="left"/>
      <w:pPr>
        <w:ind w:left="1126" w:hanging="420"/>
      </w:pPr>
      <w:rPr>
        <w:rFonts w:hint="default" w:ascii="Wingdings" w:hAnsi="Wingdings"/>
      </w:rPr>
    </w:lvl>
    <w:lvl w:ilvl="2" w:tentative="0">
      <w:start w:val="1"/>
      <w:numFmt w:val="bullet"/>
      <w:lvlText w:val=""/>
      <w:lvlJc w:val="left"/>
      <w:pPr>
        <w:ind w:left="1546" w:hanging="420"/>
      </w:pPr>
      <w:rPr>
        <w:rFonts w:hint="default" w:ascii="Wingdings" w:hAnsi="Wingdings"/>
      </w:rPr>
    </w:lvl>
    <w:lvl w:ilvl="3" w:tentative="0">
      <w:start w:val="1"/>
      <w:numFmt w:val="bullet"/>
      <w:lvlText w:val=""/>
      <w:lvlJc w:val="left"/>
      <w:pPr>
        <w:ind w:left="1966" w:hanging="420"/>
      </w:pPr>
      <w:rPr>
        <w:rFonts w:hint="default" w:ascii="Wingdings" w:hAnsi="Wingdings"/>
      </w:rPr>
    </w:lvl>
    <w:lvl w:ilvl="4" w:tentative="0">
      <w:start w:val="1"/>
      <w:numFmt w:val="bullet"/>
      <w:lvlText w:val=""/>
      <w:lvlJc w:val="left"/>
      <w:pPr>
        <w:ind w:left="2386" w:hanging="420"/>
      </w:pPr>
      <w:rPr>
        <w:rFonts w:hint="default" w:ascii="Wingdings" w:hAnsi="Wingdings"/>
      </w:rPr>
    </w:lvl>
    <w:lvl w:ilvl="5" w:tentative="0">
      <w:start w:val="1"/>
      <w:numFmt w:val="bullet"/>
      <w:lvlText w:val=""/>
      <w:lvlJc w:val="left"/>
      <w:pPr>
        <w:ind w:left="2806" w:hanging="420"/>
      </w:pPr>
      <w:rPr>
        <w:rFonts w:hint="default" w:ascii="Wingdings" w:hAnsi="Wingdings"/>
      </w:rPr>
    </w:lvl>
    <w:lvl w:ilvl="6" w:tentative="0">
      <w:start w:val="1"/>
      <w:numFmt w:val="bullet"/>
      <w:lvlText w:val=""/>
      <w:lvlJc w:val="left"/>
      <w:pPr>
        <w:ind w:left="3226" w:hanging="420"/>
      </w:pPr>
      <w:rPr>
        <w:rFonts w:hint="default" w:ascii="Wingdings" w:hAnsi="Wingdings"/>
      </w:rPr>
    </w:lvl>
    <w:lvl w:ilvl="7" w:tentative="0">
      <w:start w:val="1"/>
      <w:numFmt w:val="bullet"/>
      <w:lvlText w:val=""/>
      <w:lvlJc w:val="left"/>
      <w:pPr>
        <w:ind w:left="3646" w:hanging="420"/>
      </w:pPr>
      <w:rPr>
        <w:rFonts w:hint="default" w:ascii="Wingdings" w:hAnsi="Wingdings"/>
      </w:rPr>
    </w:lvl>
    <w:lvl w:ilvl="8" w:tentative="0">
      <w:start w:val="1"/>
      <w:numFmt w:val="bullet"/>
      <w:lvlText w:val=""/>
      <w:lvlJc w:val="left"/>
      <w:pPr>
        <w:ind w:left="4066" w:hanging="420"/>
      </w:pPr>
      <w:rPr>
        <w:rFonts w:hint="default" w:ascii="Wingdings" w:hAnsi="Wingdings"/>
      </w:rPr>
    </w:lvl>
  </w:abstractNum>
  <w:abstractNum w:abstractNumId="6">
    <w:nsid w:val="23693724"/>
    <w:multiLevelType w:val="multilevel"/>
    <w:tmpl w:val="23693724"/>
    <w:lvl w:ilvl="0" w:tentative="0">
      <w:start w:val="1"/>
      <w:numFmt w:val="decimal"/>
      <w:lvlText w:val="%1"/>
      <w:lvlJc w:val="left"/>
      <w:pPr>
        <w:ind w:left="425" w:hanging="425"/>
      </w:pPr>
      <w:rPr>
        <w:rFonts w:cs="Times New Roman"/>
      </w:rPr>
    </w:lvl>
    <w:lvl w:ilvl="1" w:tentative="0">
      <w:start w:val="1"/>
      <w:numFmt w:val="decimal"/>
      <w:lvlText w:val="%1.%2"/>
      <w:lvlJc w:val="left"/>
      <w:pPr>
        <w:ind w:left="992" w:hanging="567"/>
      </w:pPr>
      <w:rPr>
        <w:rFonts w:cs="Times New Roman"/>
      </w:rPr>
    </w:lvl>
    <w:lvl w:ilvl="2" w:tentative="0">
      <w:start w:val="1"/>
      <w:numFmt w:val="decimal"/>
      <w:lvlText w:val="%1.%2.%3"/>
      <w:lvlJc w:val="left"/>
      <w:pPr>
        <w:ind w:left="1418" w:hanging="567"/>
      </w:pPr>
      <w:rPr>
        <w:rFonts w:cs="Times New Roman"/>
      </w:rPr>
    </w:lvl>
    <w:lvl w:ilvl="3" w:tentative="0">
      <w:start w:val="1"/>
      <w:numFmt w:val="decimal"/>
      <w:lvlText w:val="%1.%2.%3.%4"/>
      <w:lvlJc w:val="left"/>
      <w:pPr>
        <w:ind w:left="1984" w:hanging="708"/>
      </w:pPr>
      <w:rPr>
        <w:rFonts w:cs="Times New Roman"/>
      </w:rPr>
    </w:lvl>
    <w:lvl w:ilvl="4" w:tentative="0">
      <w:start w:val="1"/>
      <w:numFmt w:val="decimal"/>
      <w:lvlText w:val="%1.%2.%3.%4.%5"/>
      <w:lvlJc w:val="left"/>
      <w:pPr>
        <w:ind w:left="2551" w:hanging="850"/>
      </w:pPr>
      <w:rPr>
        <w:rFonts w:cs="Times New Roman"/>
      </w:rPr>
    </w:lvl>
    <w:lvl w:ilvl="5" w:tentative="0">
      <w:start w:val="1"/>
      <w:numFmt w:val="decimal"/>
      <w:lvlText w:val="%1.%2.%3.%4.%5.%6"/>
      <w:lvlJc w:val="left"/>
      <w:pPr>
        <w:ind w:left="3260" w:hanging="1134"/>
      </w:pPr>
      <w:rPr>
        <w:rFonts w:cs="Times New Roman"/>
      </w:rPr>
    </w:lvl>
    <w:lvl w:ilvl="6" w:tentative="0">
      <w:start w:val="1"/>
      <w:numFmt w:val="decimal"/>
      <w:lvlText w:val="%1.%2.%3.%4.%5.%6.%7"/>
      <w:lvlJc w:val="left"/>
      <w:pPr>
        <w:ind w:left="3827" w:hanging="1276"/>
      </w:pPr>
      <w:rPr>
        <w:rFonts w:cs="Times New Roman"/>
      </w:rPr>
    </w:lvl>
    <w:lvl w:ilvl="7" w:tentative="0">
      <w:start w:val="1"/>
      <w:numFmt w:val="decimal"/>
      <w:lvlText w:val="%1.%2.%3.%4.%5.%6.%7.%8"/>
      <w:lvlJc w:val="left"/>
      <w:pPr>
        <w:ind w:left="4394" w:hanging="1418"/>
      </w:pPr>
      <w:rPr>
        <w:rFonts w:cs="Times New Roman"/>
      </w:rPr>
    </w:lvl>
    <w:lvl w:ilvl="8" w:tentative="0">
      <w:start w:val="1"/>
      <w:numFmt w:val="decimal"/>
      <w:lvlText w:val="%1.%2.%3.%4.%5.%6.%7.%8.%9"/>
      <w:lvlJc w:val="left"/>
      <w:pPr>
        <w:ind w:left="5102" w:hanging="1700"/>
      </w:pPr>
      <w:rPr>
        <w:rFonts w:cs="Times New Roman"/>
      </w:rPr>
    </w:lvl>
  </w:abstractNum>
  <w:abstractNum w:abstractNumId="7">
    <w:nsid w:val="320B1F6D"/>
    <w:multiLevelType w:val="multilevel"/>
    <w:tmpl w:val="320B1F6D"/>
    <w:lvl w:ilvl="0" w:tentative="0">
      <w:start w:val="1"/>
      <w:numFmt w:val="decimal"/>
      <w:lvlText w:val="8.%1"/>
      <w:lvlJc w:val="left"/>
      <w:pPr>
        <w:ind w:left="777"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decimal"/>
      <w:lvlText w:val="8.%3"/>
      <w:lvlJc w:val="right"/>
      <w:pPr>
        <w:ind w:left="1260" w:hanging="420"/>
      </w:pPr>
      <w:rPr>
        <w:rFonts w:hint="eastAsia"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8">
    <w:nsid w:val="549A640C"/>
    <w:multiLevelType w:val="multilevel"/>
    <w:tmpl w:val="549A640C"/>
    <w:lvl w:ilvl="0" w:tentative="0">
      <w:start w:val="1"/>
      <w:numFmt w:val="decimal"/>
      <w:lvlText w:val="12.%1"/>
      <w:lvlJc w:val="left"/>
      <w:pPr>
        <w:ind w:left="846"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9">
    <w:nsid w:val="629402F4"/>
    <w:multiLevelType w:val="multilevel"/>
    <w:tmpl w:val="629402F4"/>
    <w:lvl w:ilvl="0" w:tentative="0">
      <w:start w:val="1"/>
      <w:numFmt w:val="decimal"/>
      <w:lvlText w:val="3.%1"/>
      <w:lvlJc w:val="left"/>
      <w:pPr>
        <w:ind w:left="777"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0">
    <w:nsid w:val="686546ED"/>
    <w:multiLevelType w:val="multilevel"/>
    <w:tmpl w:val="686546ED"/>
    <w:lvl w:ilvl="0" w:tentative="0">
      <w:start w:val="1"/>
      <w:numFmt w:val="decimal"/>
      <w:pStyle w:val="49"/>
      <w:lvlText w:val="%1)"/>
      <w:lvlJc w:val="left"/>
      <w:pPr>
        <w:ind w:left="720" w:hanging="360"/>
      </w:pPr>
      <w:rPr>
        <w:rFonts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num w:numId="1">
    <w:abstractNumId w:val="1"/>
  </w:num>
  <w:num w:numId="2">
    <w:abstractNumId w:val="10"/>
  </w:num>
  <w:num w:numId="3">
    <w:abstractNumId w:val="6"/>
  </w:num>
  <w:num w:numId="4">
    <w:abstractNumId w:val="9"/>
  </w:num>
  <w:num w:numId="5">
    <w:abstractNumId w:val="5"/>
  </w:num>
  <w:num w:numId="6">
    <w:abstractNumId w:val="0"/>
  </w:num>
  <w:num w:numId="7">
    <w:abstractNumId w:val="4"/>
  </w:num>
  <w:num w:numId="8">
    <w:abstractNumId w:val="3"/>
  </w:num>
  <w:num w:numId="9">
    <w:abstractNumId w:val="7"/>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0"/>
  <w:bordersDoNotSurroundFooter w:val="0"/>
  <w:documentProtection w:edit="trackedChanges" w:enforcement="0"/>
  <w:defaultTabStop w:val="720"/>
  <w:drawingGridHorizontalSpacing w:val="120"/>
  <w:drawingGridVerticalSpacing w:val="158"/>
  <w:displayHorizontalDrawingGridEvery w:val="1"/>
  <w:displayVerticalDrawingGridEvery w:val="1"/>
  <w:noPunctuationKerning w:val="1"/>
  <w:characterSpacingControl w:val="doNotCompress"/>
  <w:noLineBreaksAfter w:lang="zh-CN" w:val="$([{£¥·‘“〈《「『【〔〖〝﹙﹛﹝＄（．［｛￡￥"/>
  <w:noLineBreaksBefore w:lang="zh-CN" w:val="!%),.:;&gt;?]}¢¨°·ˇˉ―‖’”…‰′″›℃∶、。〃〉》」』】〕〗〞︶︺︾﹀﹄﹚﹜﹞！＂％＇），．：；？］｀｜｝～￠"/>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YzYjA2ODcxOTJhOGZlMTU3OWFlZTg2MTFlN2YxYWUifQ=="/>
  </w:docVars>
  <w:rsids>
    <w:rsidRoot w:val="00391016"/>
    <w:rsid w:val="00001AE0"/>
    <w:rsid w:val="000021A6"/>
    <w:rsid w:val="00002F06"/>
    <w:rsid w:val="000038A4"/>
    <w:rsid w:val="0000520B"/>
    <w:rsid w:val="000059AD"/>
    <w:rsid w:val="00005CB9"/>
    <w:rsid w:val="00005E76"/>
    <w:rsid w:val="00006273"/>
    <w:rsid w:val="00006FD5"/>
    <w:rsid w:val="0001160E"/>
    <w:rsid w:val="000117C7"/>
    <w:rsid w:val="000169DD"/>
    <w:rsid w:val="00020FEA"/>
    <w:rsid w:val="00022818"/>
    <w:rsid w:val="000233DE"/>
    <w:rsid w:val="00023B07"/>
    <w:rsid w:val="00023CAD"/>
    <w:rsid w:val="0002457E"/>
    <w:rsid w:val="000275E7"/>
    <w:rsid w:val="000303D0"/>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673E"/>
    <w:rsid w:val="00077AE1"/>
    <w:rsid w:val="000818AC"/>
    <w:rsid w:val="00082C13"/>
    <w:rsid w:val="00083D58"/>
    <w:rsid w:val="000844A8"/>
    <w:rsid w:val="00084F90"/>
    <w:rsid w:val="00086CA0"/>
    <w:rsid w:val="00087002"/>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B7D33"/>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B6E"/>
    <w:rsid w:val="00112DD4"/>
    <w:rsid w:val="00112F30"/>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2F4C"/>
    <w:rsid w:val="00134C68"/>
    <w:rsid w:val="00135FD6"/>
    <w:rsid w:val="001374CF"/>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1486"/>
    <w:rsid w:val="0016194A"/>
    <w:rsid w:val="00161F7F"/>
    <w:rsid w:val="0016230C"/>
    <w:rsid w:val="00162A78"/>
    <w:rsid w:val="00163A08"/>
    <w:rsid w:val="00164CDC"/>
    <w:rsid w:val="00164E0D"/>
    <w:rsid w:val="00166311"/>
    <w:rsid w:val="00166478"/>
    <w:rsid w:val="00167B0E"/>
    <w:rsid w:val="00171A51"/>
    <w:rsid w:val="001746E7"/>
    <w:rsid w:val="001757AB"/>
    <w:rsid w:val="001769A8"/>
    <w:rsid w:val="00176C1F"/>
    <w:rsid w:val="001814FA"/>
    <w:rsid w:val="001815A9"/>
    <w:rsid w:val="00182A27"/>
    <w:rsid w:val="00184DDD"/>
    <w:rsid w:val="00184FFD"/>
    <w:rsid w:val="00185449"/>
    <w:rsid w:val="00186314"/>
    <w:rsid w:val="00187B04"/>
    <w:rsid w:val="00190000"/>
    <w:rsid w:val="001929C2"/>
    <w:rsid w:val="00192B8F"/>
    <w:rsid w:val="00193D66"/>
    <w:rsid w:val="00194BB7"/>
    <w:rsid w:val="001A1DE7"/>
    <w:rsid w:val="001A3BB0"/>
    <w:rsid w:val="001A4947"/>
    <w:rsid w:val="001A64C0"/>
    <w:rsid w:val="001A685F"/>
    <w:rsid w:val="001A7EB6"/>
    <w:rsid w:val="001A7FE4"/>
    <w:rsid w:val="001B0278"/>
    <w:rsid w:val="001B28C8"/>
    <w:rsid w:val="001B4654"/>
    <w:rsid w:val="001C017B"/>
    <w:rsid w:val="001C239E"/>
    <w:rsid w:val="001C2D7E"/>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FE7"/>
    <w:rsid w:val="001F25DD"/>
    <w:rsid w:val="001F3552"/>
    <w:rsid w:val="001F473D"/>
    <w:rsid w:val="001F4BFD"/>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20D9"/>
    <w:rsid w:val="00234C07"/>
    <w:rsid w:val="002355FF"/>
    <w:rsid w:val="002367A6"/>
    <w:rsid w:val="00236BE9"/>
    <w:rsid w:val="00237E6C"/>
    <w:rsid w:val="00240317"/>
    <w:rsid w:val="00240A09"/>
    <w:rsid w:val="00240B1E"/>
    <w:rsid w:val="00241437"/>
    <w:rsid w:val="00245088"/>
    <w:rsid w:val="00253242"/>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547B"/>
    <w:rsid w:val="002A588E"/>
    <w:rsid w:val="002A7980"/>
    <w:rsid w:val="002B0A7C"/>
    <w:rsid w:val="002B0F0E"/>
    <w:rsid w:val="002B14F3"/>
    <w:rsid w:val="002B480A"/>
    <w:rsid w:val="002B67A2"/>
    <w:rsid w:val="002B6854"/>
    <w:rsid w:val="002C1817"/>
    <w:rsid w:val="002C1DAB"/>
    <w:rsid w:val="002C4FCF"/>
    <w:rsid w:val="002C527C"/>
    <w:rsid w:val="002D0253"/>
    <w:rsid w:val="002D03CD"/>
    <w:rsid w:val="002D2477"/>
    <w:rsid w:val="002D2AAB"/>
    <w:rsid w:val="002D691F"/>
    <w:rsid w:val="002D6A50"/>
    <w:rsid w:val="002D6D1C"/>
    <w:rsid w:val="002E1D21"/>
    <w:rsid w:val="002E3B36"/>
    <w:rsid w:val="002E59BF"/>
    <w:rsid w:val="002E63F6"/>
    <w:rsid w:val="002E69A1"/>
    <w:rsid w:val="002F1C5E"/>
    <w:rsid w:val="002F1D63"/>
    <w:rsid w:val="002F340E"/>
    <w:rsid w:val="002F4392"/>
    <w:rsid w:val="002F4641"/>
    <w:rsid w:val="002F4B22"/>
    <w:rsid w:val="00302176"/>
    <w:rsid w:val="00302AF8"/>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695C"/>
    <w:rsid w:val="00341B2F"/>
    <w:rsid w:val="00342915"/>
    <w:rsid w:val="00344B04"/>
    <w:rsid w:val="00345847"/>
    <w:rsid w:val="00347576"/>
    <w:rsid w:val="00347772"/>
    <w:rsid w:val="00347A51"/>
    <w:rsid w:val="00347B19"/>
    <w:rsid w:val="003531FA"/>
    <w:rsid w:val="0035416F"/>
    <w:rsid w:val="003549FE"/>
    <w:rsid w:val="00355AAC"/>
    <w:rsid w:val="00355D7D"/>
    <w:rsid w:val="003604F2"/>
    <w:rsid w:val="003647CA"/>
    <w:rsid w:val="00370514"/>
    <w:rsid w:val="0037056A"/>
    <w:rsid w:val="003726DF"/>
    <w:rsid w:val="0037345A"/>
    <w:rsid w:val="00373FFA"/>
    <w:rsid w:val="0037455F"/>
    <w:rsid w:val="00376C31"/>
    <w:rsid w:val="00380EB7"/>
    <w:rsid w:val="003810F5"/>
    <w:rsid w:val="00381C39"/>
    <w:rsid w:val="00381C75"/>
    <w:rsid w:val="00381CF6"/>
    <w:rsid w:val="0038326A"/>
    <w:rsid w:val="0038367F"/>
    <w:rsid w:val="00387B81"/>
    <w:rsid w:val="00391016"/>
    <w:rsid w:val="00393529"/>
    <w:rsid w:val="00393B6A"/>
    <w:rsid w:val="003946C3"/>
    <w:rsid w:val="00395CE1"/>
    <w:rsid w:val="00395D47"/>
    <w:rsid w:val="00396425"/>
    <w:rsid w:val="003970BE"/>
    <w:rsid w:val="00397C18"/>
    <w:rsid w:val="003A04A8"/>
    <w:rsid w:val="003A1311"/>
    <w:rsid w:val="003A28F3"/>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21DF"/>
    <w:rsid w:val="003D2243"/>
    <w:rsid w:val="003D3C09"/>
    <w:rsid w:val="003D464A"/>
    <w:rsid w:val="003D4EFF"/>
    <w:rsid w:val="003D5F4A"/>
    <w:rsid w:val="003D662C"/>
    <w:rsid w:val="003D77E5"/>
    <w:rsid w:val="003E49F8"/>
    <w:rsid w:val="003E5109"/>
    <w:rsid w:val="003E60EE"/>
    <w:rsid w:val="003E6B48"/>
    <w:rsid w:val="003E748F"/>
    <w:rsid w:val="003F3F47"/>
    <w:rsid w:val="003F45C1"/>
    <w:rsid w:val="003F6E0C"/>
    <w:rsid w:val="004003A8"/>
    <w:rsid w:val="0040240E"/>
    <w:rsid w:val="00402756"/>
    <w:rsid w:val="00405B3A"/>
    <w:rsid w:val="004074DC"/>
    <w:rsid w:val="004111CC"/>
    <w:rsid w:val="004122A3"/>
    <w:rsid w:val="0041425F"/>
    <w:rsid w:val="00416E8B"/>
    <w:rsid w:val="00420273"/>
    <w:rsid w:val="00420AA0"/>
    <w:rsid w:val="0042116C"/>
    <w:rsid w:val="00422D19"/>
    <w:rsid w:val="00422DFE"/>
    <w:rsid w:val="00424D83"/>
    <w:rsid w:val="00424E29"/>
    <w:rsid w:val="00427D22"/>
    <w:rsid w:val="00427E2D"/>
    <w:rsid w:val="00432568"/>
    <w:rsid w:val="00436C7C"/>
    <w:rsid w:val="00437440"/>
    <w:rsid w:val="00440378"/>
    <w:rsid w:val="00442B53"/>
    <w:rsid w:val="00443256"/>
    <w:rsid w:val="00444D2D"/>
    <w:rsid w:val="004510B1"/>
    <w:rsid w:val="00451C5D"/>
    <w:rsid w:val="00451D74"/>
    <w:rsid w:val="00452E73"/>
    <w:rsid w:val="004565EF"/>
    <w:rsid w:val="00457FF9"/>
    <w:rsid w:val="004601ED"/>
    <w:rsid w:val="00460711"/>
    <w:rsid w:val="0046108B"/>
    <w:rsid w:val="00466F5B"/>
    <w:rsid w:val="00467AE6"/>
    <w:rsid w:val="00467EC9"/>
    <w:rsid w:val="0047089B"/>
    <w:rsid w:val="00474DE3"/>
    <w:rsid w:val="00477791"/>
    <w:rsid w:val="00480286"/>
    <w:rsid w:val="00480C3B"/>
    <w:rsid w:val="00480FE3"/>
    <w:rsid w:val="00481C94"/>
    <w:rsid w:val="00484A8D"/>
    <w:rsid w:val="00486A4E"/>
    <w:rsid w:val="00486B09"/>
    <w:rsid w:val="0049139F"/>
    <w:rsid w:val="00494F07"/>
    <w:rsid w:val="00496116"/>
    <w:rsid w:val="004965A0"/>
    <w:rsid w:val="00497335"/>
    <w:rsid w:val="004A05A7"/>
    <w:rsid w:val="004A3F98"/>
    <w:rsid w:val="004A5532"/>
    <w:rsid w:val="004A5958"/>
    <w:rsid w:val="004A76DF"/>
    <w:rsid w:val="004B0A75"/>
    <w:rsid w:val="004B2190"/>
    <w:rsid w:val="004B69B2"/>
    <w:rsid w:val="004B7507"/>
    <w:rsid w:val="004B7DC4"/>
    <w:rsid w:val="004B7F85"/>
    <w:rsid w:val="004C0695"/>
    <w:rsid w:val="004C099B"/>
    <w:rsid w:val="004C42AE"/>
    <w:rsid w:val="004C49B0"/>
    <w:rsid w:val="004C4F53"/>
    <w:rsid w:val="004C4F7F"/>
    <w:rsid w:val="004C592E"/>
    <w:rsid w:val="004D050F"/>
    <w:rsid w:val="004D0E3A"/>
    <w:rsid w:val="004D1A73"/>
    <w:rsid w:val="004D354F"/>
    <w:rsid w:val="004D48C2"/>
    <w:rsid w:val="004D67B1"/>
    <w:rsid w:val="004D7128"/>
    <w:rsid w:val="004D751D"/>
    <w:rsid w:val="004E05C2"/>
    <w:rsid w:val="004E0B02"/>
    <w:rsid w:val="004E0C0D"/>
    <w:rsid w:val="004E255F"/>
    <w:rsid w:val="004E4C2D"/>
    <w:rsid w:val="004F0539"/>
    <w:rsid w:val="004F10A4"/>
    <w:rsid w:val="004F342E"/>
    <w:rsid w:val="004F4C63"/>
    <w:rsid w:val="004F5AE6"/>
    <w:rsid w:val="004F5C19"/>
    <w:rsid w:val="004F7B6A"/>
    <w:rsid w:val="004F7ED9"/>
    <w:rsid w:val="0050090F"/>
    <w:rsid w:val="0050208D"/>
    <w:rsid w:val="0050284B"/>
    <w:rsid w:val="00502C34"/>
    <w:rsid w:val="00502F99"/>
    <w:rsid w:val="00504B71"/>
    <w:rsid w:val="00507991"/>
    <w:rsid w:val="00507C94"/>
    <w:rsid w:val="00507EB2"/>
    <w:rsid w:val="00510111"/>
    <w:rsid w:val="00511AB4"/>
    <w:rsid w:val="00512690"/>
    <w:rsid w:val="00512806"/>
    <w:rsid w:val="00512A4E"/>
    <w:rsid w:val="00514EA4"/>
    <w:rsid w:val="00516BB4"/>
    <w:rsid w:val="00517A5D"/>
    <w:rsid w:val="00517E1E"/>
    <w:rsid w:val="005217E8"/>
    <w:rsid w:val="005220FE"/>
    <w:rsid w:val="005247DE"/>
    <w:rsid w:val="00530B8F"/>
    <w:rsid w:val="00531434"/>
    <w:rsid w:val="00531754"/>
    <w:rsid w:val="00534840"/>
    <w:rsid w:val="00534D08"/>
    <w:rsid w:val="00536973"/>
    <w:rsid w:val="00536C6B"/>
    <w:rsid w:val="00537954"/>
    <w:rsid w:val="00541C7D"/>
    <w:rsid w:val="00544652"/>
    <w:rsid w:val="00545C1A"/>
    <w:rsid w:val="0054625B"/>
    <w:rsid w:val="00551539"/>
    <w:rsid w:val="00552EFE"/>
    <w:rsid w:val="00554ABB"/>
    <w:rsid w:val="0055552D"/>
    <w:rsid w:val="00555668"/>
    <w:rsid w:val="0055679E"/>
    <w:rsid w:val="0056090D"/>
    <w:rsid w:val="00561E9C"/>
    <w:rsid w:val="00565C7A"/>
    <w:rsid w:val="00567E14"/>
    <w:rsid w:val="005705A7"/>
    <w:rsid w:val="0057277E"/>
    <w:rsid w:val="00572F0E"/>
    <w:rsid w:val="00574D60"/>
    <w:rsid w:val="00575318"/>
    <w:rsid w:val="00577142"/>
    <w:rsid w:val="005773E5"/>
    <w:rsid w:val="00581AD5"/>
    <w:rsid w:val="00581C4E"/>
    <w:rsid w:val="00582313"/>
    <w:rsid w:val="00582DB0"/>
    <w:rsid w:val="00584B8E"/>
    <w:rsid w:val="00586EFD"/>
    <w:rsid w:val="00587AC1"/>
    <w:rsid w:val="00587DE8"/>
    <w:rsid w:val="00590694"/>
    <w:rsid w:val="00590AA6"/>
    <w:rsid w:val="00591A70"/>
    <w:rsid w:val="00592624"/>
    <w:rsid w:val="00593AF8"/>
    <w:rsid w:val="00593EC9"/>
    <w:rsid w:val="005964B1"/>
    <w:rsid w:val="00596544"/>
    <w:rsid w:val="005965FD"/>
    <w:rsid w:val="00597FCC"/>
    <w:rsid w:val="005A132A"/>
    <w:rsid w:val="005A337C"/>
    <w:rsid w:val="005A34B0"/>
    <w:rsid w:val="005A3ECF"/>
    <w:rsid w:val="005A6821"/>
    <w:rsid w:val="005B2393"/>
    <w:rsid w:val="005B750A"/>
    <w:rsid w:val="005C296B"/>
    <w:rsid w:val="005C2B89"/>
    <w:rsid w:val="005C2FA7"/>
    <w:rsid w:val="005C386F"/>
    <w:rsid w:val="005C42AC"/>
    <w:rsid w:val="005C4D05"/>
    <w:rsid w:val="005C506B"/>
    <w:rsid w:val="005C71BF"/>
    <w:rsid w:val="005C723D"/>
    <w:rsid w:val="005C7601"/>
    <w:rsid w:val="005D1094"/>
    <w:rsid w:val="005D3394"/>
    <w:rsid w:val="005D3989"/>
    <w:rsid w:val="005D42FF"/>
    <w:rsid w:val="005E2725"/>
    <w:rsid w:val="005E65FA"/>
    <w:rsid w:val="005F19CE"/>
    <w:rsid w:val="005F28F4"/>
    <w:rsid w:val="005F43BB"/>
    <w:rsid w:val="005F503E"/>
    <w:rsid w:val="005F6CB3"/>
    <w:rsid w:val="005F7612"/>
    <w:rsid w:val="005F7663"/>
    <w:rsid w:val="005F7D63"/>
    <w:rsid w:val="00607170"/>
    <w:rsid w:val="00607408"/>
    <w:rsid w:val="00610AEE"/>
    <w:rsid w:val="00616BAC"/>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6987"/>
    <w:rsid w:val="006506CF"/>
    <w:rsid w:val="00650A76"/>
    <w:rsid w:val="00650CD0"/>
    <w:rsid w:val="00650DA4"/>
    <w:rsid w:val="00651DA5"/>
    <w:rsid w:val="00652D22"/>
    <w:rsid w:val="00656797"/>
    <w:rsid w:val="006571EC"/>
    <w:rsid w:val="0066086B"/>
    <w:rsid w:val="00660A8C"/>
    <w:rsid w:val="006632B2"/>
    <w:rsid w:val="00663F7E"/>
    <w:rsid w:val="00664084"/>
    <w:rsid w:val="0066445E"/>
    <w:rsid w:val="00667045"/>
    <w:rsid w:val="00670A00"/>
    <w:rsid w:val="00670C23"/>
    <w:rsid w:val="00672B86"/>
    <w:rsid w:val="00673031"/>
    <w:rsid w:val="00673EB3"/>
    <w:rsid w:val="00680BE8"/>
    <w:rsid w:val="006838CB"/>
    <w:rsid w:val="00686409"/>
    <w:rsid w:val="00686D19"/>
    <w:rsid w:val="0068777F"/>
    <w:rsid w:val="00693018"/>
    <w:rsid w:val="006A0059"/>
    <w:rsid w:val="006A7425"/>
    <w:rsid w:val="006B058A"/>
    <w:rsid w:val="006B1299"/>
    <w:rsid w:val="006B26D9"/>
    <w:rsid w:val="006B310C"/>
    <w:rsid w:val="006B664C"/>
    <w:rsid w:val="006C1125"/>
    <w:rsid w:val="006C1C83"/>
    <w:rsid w:val="006C3E78"/>
    <w:rsid w:val="006C54E6"/>
    <w:rsid w:val="006C5762"/>
    <w:rsid w:val="006C690D"/>
    <w:rsid w:val="006D149F"/>
    <w:rsid w:val="006D3396"/>
    <w:rsid w:val="006D5AFF"/>
    <w:rsid w:val="006E050C"/>
    <w:rsid w:val="006E152B"/>
    <w:rsid w:val="006E36D1"/>
    <w:rsid w:val="006E4002"/>
    <w:rsid w:val="006E4DB6"/>
    <w:rsid w:val="006E622E"/>
    <w:rsid w:val="006E7938"/>
    <w:rsid w:val="006E79FB"/>
    <w:rsid w:val="006F229A"/>
    <w:rsid w:val="006F3BB9"/>
    <w:rsid w:val="006F4AA6"/>
    <w:rsid w:val="007007FA"/>
    <w:rsid w:val="007036CA"/>
    <w:rsid w:val="007041CB"/>
    <w:rsid w:val="00705090"/>
    <w:rsid w:val="00705102"/>
    <w:rsid w:val="00705DDB"/>
    <w:rsid w:val="0070675E"/>
    <w:rsid w:val="0070680A"/>
    <w:rsid w:val="00706A0E"/>
    <w:rsid w:val="00710573"/>
    <w:rsid w:val="00710808"/>
    <w:rsid w:val="007116CB"/>
    <w:rsid w:val="0071211E"/>
    <w:rsid w:val="00712B1B"/>
    <w:rsid w:val="007148C6"/>
    <w:rsid w:val="0071622D"/>
    <w:rsid w:val="007168CC"/>
    <w:rsid w:val="007176BB"/>
    <w:rsid w:val="00717811"/>
    <w:rsid w:val="00720A17"/>
    <w:rsid w:val="00720D4B"/>
    <w:rsid w:val="00723A0F"/>
    <w:rsid w:val="00726CB6"/>
    <w:rsid w:val="00727255"/>
    <w:rsid w:val="0072779B"/>
    <w:rsid w:val="00727CCF"/>
    <w:rsid w:val="0073446D"/>
    <w:rsid w:val="007349FF"/>
    <w:rsid w:val="00734B45"/>
    <w:rsid w:val="00736FFB"/>
    <w:rsid w:val="00737107"/>
    <w:rsid w:val="00740080"/>
    <w:rsid w:val="00741A30"/>
    <w:rsid w:val="007504DC"/>
    <w:rsid w:val="0075142F"/>
    <w:rsid w:val="0075173F"/>
    <w:rsid w:val="00751965"/>
    <w:rsid w:val="007524EF"/>
    <w:rsid w:val="00752689"/>
    <w:rsid w:val="00756608"/>
    <w:rsid w:val="00756D1D"/>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746F"/>
    <w:rsid w:val="007775FE"/>
    <w:rsid w:val="00780A5F"/>
    <w:rsid w:val="007812C4"/>
    <w:rsid w:val="00784913"/>
    <w:rsid w:val="00785B90"/>
    <w:rsid w:val="0078639C"/>
    <w:rsid w:val="007913D3"/>
    <w:rsid w:val="00791DD5"/>
    <w:rsid w:val="0079790C"/>
    <w:rsid w:val="007A102A"/>
    <w:rsid w:val="007A15E6"/>
    <w:rsid w:val="007A194B"/>
    <w:rsid w:val="007A4BCD"/>
    <w:rsid w:val="007A5714"/>
    <w:rsid w:val="007A5EFA"/>
    <w:rsid w:val="007A6821"/>
    <w:rsid w:val="007A75EF"/>
    <w:rsid w:val="007A783B"/>
    <w:rsid w:val="007B00D7"/>
    <w:rsid w:val="007B03B6"/>
    <w:rsid w:val="007B1257"/>
    <w:rsid w:val="007B33CC"/>
    <w:rsid w:val="007B4133"/>
    <w:rsid w:val="007B49F4"/>
    <w:rsid w:val="007B7AB4"/>
    <w:rsid w:val="007C2405"/>
    <w:rsid w:val="007C2A54"/>
    <w:rsid w:val="007C2B69"/>
    <w:rsid w:val="007C2DC1"/>
    <w:rsid w:val="007C3B05"/>
    <w:rsid w:val="007C3D25"/>
    <w:rsid w:val="007C4998"/>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3532"/>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CA7"/>
    <w:rsid w:val="0081636E"/>
    <w:rsid w:val="0082112E"/>
    <w:rsid w:val="00822C36"/>
    <w:rsid w:val="00822F2B"/>
    <w:rsid w:val="00823D9A"/>
    <w:rsid w:val="00827EA4"/>
    <w:rsid w:val="008301D6"/>
    <w:rsid w:val="008305B7"/>
    <w:rsid w:val="00830C78"/>
    <w:rsid w:val="00830FB9"/>
    <w:rsid w:val="00834968"/>
    <w:rsid w:val="00834B53"/>
    <w:rsid w:val="00840298"/>
    <w:rsid w:val="00841BE4"/>
    <w:rsid w:val="00845A53"/>
    <w:rsid w:val="00847E8C"/>
    <w:rsid w:val="008505E1"/>
    <w:rsid w:val="00850B19"/>
    <w:rsid w:val="00852488"/>
    <w:rsid w:val="0085405E"/>
    <w:rsid w:val="008571DD"/>
    <w:rsid w:val="0085772E"/>
    <w:rsid w:val="00860344"/>
    <w:rsid w:val="00860E2C"/>
    <w:rsid w:val="00864BC6"/>
    <w:rsid w:val="00865EE6"/>
    <w:rsid w:val="00870D23"/>
    <w:rsid w:val="00872B72"/>
    <w:rsid w:val="00873022"/>
    <w:rsid w:val="00876468"/>
    <w:rsid w:val="008767E1"/>
    <w:rsid w:val="00876CC7"/>
    <w:rsid w:val="008823E4"/>
    <w:rsid w:val="00883388"/>
    <w:rsid w:val="008837C4"/>
    <w:rsid w:val="008849F3"/>
    <w:rsid w:val="00884E78"/>
    <w:rsid w:val="0088673B"/>
    <w:rsid w:val="00887265"/>
    <w:rsid w:val="00887500"/>
    <w:rsid w:val="00887DCD"/>
    <w:rsid w:val="008905AD"/>
    <w:rsid w:val="008920F2"/>
    <w:rsid w:val="0089348A"/>
    <w:rsid w:val="00894E9F"/>
    <w:rsid w:val="00895424"/>
    <w:rsid w:val="00896CEC"/>
    <w:rsid w:val="008A06BC"/>
    <w:rsid w:val="008A0AA3"/>
    <w:rsid w:val="008A0EAA"/>
    <w:rsid w:val="008A149F"/>
    <w:rsid w:val="008A19FD"/>
    <w:rsid w:val="008A1A25"/>
    <w:rsid w:val="008A4E05"/>
    <w:rsid w:val="008A56DB"/>
    <w:rsid w:val="008A6CFC"/>
    <w:rsid w:val="008B2125"/>
    <w:rsid w:val="008B25D4"/>
    <w:rsid w:val="008B38E5"/>
    <w:rsid w:val="008B58C4"/>
    <w:rsid w:val="008B6CD2"/>
    <w:rsid w:val="008B72DD"/>
    <w:rsid w:val="008C050B"/>
    <w:rsid w:val="008C1132"/>
    <w:rsid w:val="008C302A"/>
    <w:rsid w:val="008C3E42"/>
    <w:rsid w:val="008C4B72"/>
    <w:rsid w:val="008C5279"/>
    <w:rsid w:val="008C527D"/>
    <w:rsid w:val="008C5C9F"/>
    <w:rsid w:val="008C6773"/>
    <w:rsid w:val="008C72BB"/>
    <w:rsid w:val="008D140C"/>
    <w:rsid w:val="008D2BAE"/>
    <w:rsid w:val="008D2C9E"/>
    <w:rsid w:val="008D41F5"/>
    <w:rsid w:val="008D521F"/>
    <w:rsid w:val="008D5C06"/>
    <w:rsid w:val="008D6227"/>
    <w:rsid w:val="008D7A8B"/>
    <w:rsid w:val="008E41D3"/>
    <w:rsid w:val="008E43F1"/>
    <w:rsid w:val="008E594F"/>
    <w:rsid w:val="008E7312"/>
    <w:rsid w:val="008F297F"/>
    <w:rsid w:val="008F447E"/>
    <w:rsid w:val="00904BA9"/>
    <w:rsid w:val="00904E7E"/>
    <w:rsid w:val="0091086B"/>
    <w:rsid w:val="00911129"/>
    <w:rsid w:val="00912EA3"/>
    <w:rsid w:val="00914B6E"/>
    <w:rsid w:val="009156A2"/>
    <w:rsid w:val="0091579A"/>
    <w:rsid w:val="0091615D"/>
    <w:rsid w:val="00923F7E"/>
    <w:rsid w:val="00924C96"/>
    <w:rsid w:val="00925030"/>
    <w:rsid w:val="00925B32"/>
    <w:rsid w:val="00930A64"/>
    <w:rsid w:val="00930BE5"/>
    <w:rsid w:val="00931403"/>
    <w:rsid w:val="00934991"/>
    <w:rsid w:val="009351A7"/>
    <w:rsid w:val="00941DCA"/>
    <w:rsid w:val="009426B9"/>
    <w:rsid w:val="00944E85"/>
    <w:rsid w:val="0094634C"/>
    <w:rsid w:val="009463AB"/>
    <w:rsid w:val="00950239"/>
    <w:rsid w:val="00950332"/>
    <w:rsid w:val="00955899"/>
    <w:rsid w:val="00955A03"/>
    <w:rsid w:val="00956A2D"/>
    <w:rsid w:val="0096203D"/>
    <w:rsid w:val="0096224A"/>
    <w:rsid w:val="00963289"/>
    <w:rsid w:val="00964A78"/>
    <w:rsid w:val="009656B4"/>
    <w:rsid w:val="00966CA0"/>
    <w:rsid w:val="00966D74"/>
    <w:rsid w:val="00967F9D"/>
    <w:rsid w:val="00970256"/>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5320"/>
    <w:rsid w:val="00997844"/>
    <w:rsid w:val="009978C2"/>
    <w:rsid w:val="009A345F"/>
    <w:rsid w:val="009A4AE5"/>
    <w:rsid w:val="009A5218"/>
    <w:rsid w:val="009A6806"/>
    <w:rsid w:val="009B13EA"/>
    <w:rsid w:val="009B1717"/>
    <w:rsid w:val="009B22D2"/>
    <w:rsid w:val="009B2839"/>
    <w:rsid w:val="009B4C17"/>
    <w:rsid w:val="009B5BF6"/>
    <w:rsid w:val="009C1C79"/>
    <w:rsid w:val="009C339C"/>
    <w:rsid w:val="009C33B8"/>
    <w:rsid w:val="009D07A0"/>
    <w:rsid w:val="009D107D"/>
    <w:rsid w:val="009D1871"/>
    <w:rsid w:val="009D2985"/>
    <w:rsid w:val="009D3033"/>
    <w:rsid w:val="009D5770"/>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20A2"/>
    <w:rsid w:val="00A0297B"/>
    <w:rsid w:val="00A0358E"/>
    <w:rsid w:val="00A049F9"/>
    <w:rsid w:val="00A0529B"/>
    <w:rsid w:val="00A0766F"/>
    <w:rsid w:val="00A10187"/>
    <w:rsid w:val="00A10713"/>
    <w:rsid w:val="00A1252C"/>
    <w:rsid w:val="00A13B8B"/>
    <w:rsid w:val="00A151B7"/>
    <w:rsid w:val="00A21225"/>
    <w:rsid w:val="00A2139C"/>
    <w:rsid w:val="00A218F9"/>
    <w:rsid w:val="00A21E37"/>
    <w:rsid w:val="00A22FC7"/>
    <w:rsid w:val="00A23314"/>
    <w:rsid w:val="00A235BB"/>
    <w:rsid w:val="00A23F10"/>
    <w:rsid w:val="00A23F72"/>
    <w:rsid w:val="00A26AB8"/>
    <w:rsid w:val="00A3146D"/>
    <w:rsid w:val="00A322BF"/>
    <w:rsid w:val="00A335BD"/>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96E"/>
    <w:rsid w:val="00A70D88"/>
    <w:rsid w:val="00A71142"/>
    <w:rsid w:val="00A72895"/>
    <w:rsid w:val="00A74589"/>
    <w:rsid w:val="00A74E1B"/>
    <w:rsid w:val="00A7513A"/>
    <w:rsid w:val="00A75AC9"/>
    <w:rsid w:val="00A75B25"/>
    <w:rsid w:val="00A767CC"/>
    <w:rsid w:val="00A76AEE"/>
    <w:rsid w:val="00A801B4"/>
    <w:rsid w:val="00A80C9D"/>
    <w:rsid w:val="00A82075"/>
    <w:rsid w:val="00A82192"/>
    <w:rsid w:val="00A857AB"/>
    <w:rsid w:val="00A90009"/>
    <w:rsid w:val="00A927A4"/>
    <w:rsid w:val="00A94CC0"/>
    <w:rsid w:val="00A9534A"/>
    <w:rsid w:val="00A957FA"/>
    <w:rsid w:val="00A968DC"/>
    <w:rsid w:val="00A977BA"/>
    <w:rsid w:val="00AA0C31"/>
    <w:rsid w:val="00AA1A89"/>
    <w:rsid w:val="00AA346E"/>
    <w:rsid w:val="00AA3770"/>
    <w:rsid w:val="00AA3CFA"/>
    <w:rsid w:val="00AA41C3"/>
    <w:rsid w:val="00AA423C"/>
    <w:rsid w:val="00AA53E2"/>
    <w:rsid w:val="00AA73FD"/>
    <w:rsid w:val="00AB08B1"/>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E6F"/>
    <w:rsid w:val="00AE1BD8"/>
    <w:rsid w:val="00AE2817"/>
    <w:rsid w:val="00AE304B"/>
    <w:rsid w:val="00AE3D3E"/>
    <w:rsid w:val="00AE46C9"/>
    <w:rsid w:val="00AE49B2"/>
    <w:rsid w:val="00AE6BEB"/>
    <w:rsid w:val="00AE7789"/>
    <w:rsid w:val="00AF32EA"/>
    <w:rsid w:val="00AF3DED"/>
    <w:rsid w:val="00AF48B1"/>
    <w:rsid w:val="00AF4FB8"/>
    <w:rsid w:val="00AF5217"/>
    <w:rsid w:val="00AF6713"/>
    <w:rsid w:val="00AF6BD6"/>
    <w:rsid w:val="00AF753A"/>
    <w:rsid w:val="00B021ED"/>
    <w:rsid w:val="00B0250D"/>
    <w:rsid w:val="00B032B1"/>
    <w:rsid w:val="00B03F46"/>
    <w:rsid w:val="00B059B8"/>
    <w:rsid w:val="00B07418"/>
    <w:rsid w:val="00B11547"/>
    <w:rsid w:val="00B11EF0"/>
    <w:rsid w:val="00B1226C"/>
    <w:rsid w:val="00B14F05"/>
    <w:rsid w:val="00B15D01"/>
    <w:rsid w:val="00B20EBF"/>
    <w:rsid w:val="00B24F44"/>
    <w:rsid w:val="00B25428"/>
    <w:rsid w:val="00B25556"/>
    <w:rsid w:val="00B255BB"/>
    <w:rsid w:val="00B25E24"/>
    <w:rsid w:val="00B2609A"/>
    <w:rsid w:val="00B301B1"/>
    <w:rsid w:val="00B353E7"/>
    <w:rsid w:val="00B35759"/>
    <w:rsid w:val="00B3619A"/>
    <w:rsid w:val="00B365B7"/>
    <w:rsid w:val="00B40BCA"/>
    <w:rsid w:val="00B4308D"/>
    <w:rsid w:val="00B440DA"/>
    <w:rsid w:val="00B4415A"/>
    <w:rsid w:val="00B503CD"/>
    <w:rsid w:val="00B548AB"/>
    <w:rsid w:val="00B54BBE"/>
    <w:rsid w:val="00B553F8"/>
    <w:rsid w:val="00B560B6"/>
    <w:rsid w:val="00B5630E"/>
    <w:rsid w:val="00B62FB6"/>
    <w:rsid w:val="00B635BF"/>
    <w:rsid w:val="00B7050A"/>
    <w:rsid w:val="00B70904"/>
    <w:rsid w:val="00B70A42"/>
    <w:rsid w:val="00B71DDA"/>
    <w:rsid w:val="00B74791"/>
    <w:rsid w:val="00B76AF9"/>
    <w:rsid w:val="00B8115B"/>
    <w:rsid w:val="00B81AE2"/>
    <w:rsid w:val="00B82D30"/>
    <w:rsid w:val="00B87F62"/>
    <w:rsid w:val="00B914A4"/>
    <w:rsid w:val="00B92497"/>
    <w:rsid w:val="00B92D41"/>
    <w:rsid w:val="00B93679"/>
    <w:rsid w:val="00B9422D"/>
    <w:rsid w:val="00B95A1D"/>
    <w:rsid w:val="00B9634B"/>
    <w:rsid w:val="00B9725A"/>
    <w:rsid w:val="00BA5072"/>
    <w:rsid w:val="00BA5B65"/>
    <w:rsid w:val="00BA7BFE"/>
    <w:rsid w:val="00BB0ECA"/>
    <w:rsid w:val="00BB246B"/>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296F"/>
    <w:rsid w:val="00BD337A"/>
    <w:rsid w:val="00BD558D"/>
    <w:rsid w:val="00BD5CC3"/>
    <w:rsid w:val="00BE1F47"/>
    <w:rsid w:val="00BE24AD"/>
    <w:rsid w:val="00BE2787"/>
    <w:rsid w:val="00BE363F"/>
    <w:rsid w:val="00BE51BB"/>
    <w:rsid w:val="00BE7ECD"/>
    <w:rsid w:val="00BF1682"/>
    <w:rsid w:val="00BF241A"/>
    <w:rsid w:val="00BF3AFB"/>
    <w:rsid w:val="00BF3DD2"/>
    <w:rsid w:val="00BF4344"/>
    <w:rsid w:val="00BF6970"/>
    <w:rsid w:val="00BF69C6"/>
    <w:rsid w:val="00C005D8"/>
    <w:rsid w:val="00C02F31"/>
    <w:rsid w:val="00C04DA5"/>
    <w:rsid w:val="00C050FC"/>
    <w:rsid w:val="00C05D40"/>
    <w:rsid w:val="00C11905"/>
    <w:rsid w:val="00C14462"/>
    <w:rsid w:val="00C144C2"/>
    <w:rsid w:val="00C16542"/>
    <w:rsid w:val="00C22382"/>
    <w:rsid w:val="00C2355B"/>
    <w:rsid w:val="00C274A6"/>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4FC6"/>
    <w:rsid w:val="00C56F88"/>
    <w:rsid w:val="00C57B7E"/>
    <w:rsid w:val="00C60217"/>
    <w:rsid w:val="00C6275E"/>
    <w:rsid w:val="00C66D15"/>
    <w:rsid w:val="00C671D0"/>
    <w:rsid w:val="00C70449"/>
    <w:rsid w:val="00C7071B"/>
    <w:rsid w:val="00C73904"/>
    <w:rsid w:val="00C73BAE"/>
    <w:rsid w:val="00C73F7B"/>
    <w:rsid w:val="00C74055"/>
    <w:rsid w:val="00C7421D"/>
    <w:rsid w:val="00C76481"/>
    <w:rsid w:val="00C76812"/>
    <w:rsid w:val="00C83D88"/>
    <w:rsid w:val="00C84961"/>
    <w:rsid w:val="00C84B06"/>
    <w:rsid w:val="00C87100"/>
    <w:rsid w:val="00C87CAC"/>
    <w:rsid w:val="00C913A1"/>
    <w:rsid w:val="00C950D6"/>
    <w:rsid w:val="00C97646"/>
    <w:rsid w:val="00C97672"/>
    <w:rsid w:val="00CA55BD"/>
    <w:rsid w:val="00CB0837"/>
    <w:rsid w:val="00CB2BFA"/>
    <w:rsid w:val="00CB3888"/>
    <w:rsid w:val="00CB400E"/>
    <w:rsid w:val="00CB48F6"/>
    <w:rsid w:val="00CB5F04"/>
    <w:rsid w:val="00CB67F1"/>
    <w:rsid w:val="00CB7DC8"/>
    <w:rsid w:val="00CC0EC0"/>
    <w:rsid w:val="00CC34DB"/>
    <w:rsid w:val="00CC51AC"/>
    <w:rsid w:val="00CC609D"/>
    <w:rsid w:val="00CC7044"/>
    <w:rsid w:val="00CD11FF"/>
    <w:rsid w:val="00CD15E7"/>
    <w:rsid w:val="00CE07A9"/>
    <w:rsid w:val="00CE0C35"/>
    <w:rsid w:val="00CE1012"/>
    <w:rsid w:val="00CE419E"/>
    <w:rsid w:val="00CE5011"/>
    <w:rsid w:val="00CE574A"/>
    <w:rsid w:val="00CE5DC5"/>
    <w:rsid w:val="00CE629E"/>
    <w:rsid w:val="00CE66CE"/>
    <w:rsid w:val="00CE77AA"/>
    <w:rsid w:val="00CE7B59"/>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5D83"/>
    <w:rsid w:val="00D16580"/>
    <w:rsid w:val="00D20E20"/>
    <w:rsid w:val="00D21C3A"/>
    <w:rsid w:val="00D228DA"/>
    <w:rsid w:val="00D22E01"/>
    <w:rsid w:val="00D238A5"/>
    <w:rsid w:val="00D24621"/>
    <w:rsid w:val="00D2600F"/>
    <w:rsid w:val="00D30EEA"/>
    <w:rsid w:val="00D31534"/>
    <w:rsid w:val="00D32C1F"/>
    <w:rsid w:val="00D33FC2"/>
    <w:rsid w:val="00D37394"/>
    <w:rsid w:val="00D46699"/>
    <w:rsid w:val="00D47345"/>
    <w:rsid w:val="00D5073F"/>
    <w:rsid w:val="00D51573"/>
    <w:rsid w:val="00D5399A"/>
    <w:rsid w:val="00D5444F"/>
    <w:rsid w:val="00D54E0D"/>
    <w:rsid w:val="00D54F7D"/>
    <w:rsid w:val="00D57528"/>
    <w:rsid w:val="00D602CA"/>
    <w:rsid w:val="00D60DD8"/>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3B2F"/>
    <w:rsid w:val="00DA4731"/>
    <w:rsid w:val="00DA5040"/>
    <w:rsid w:val="00DA7D5F"/>
    <w:rsid w:val="00DB053E"/>
    <w:rsid w:val="00DB11B2"/>
    <w:rsid w:val="00DB161E"/>
    <w:rsid w:val="00DB31B5"/>
    <w:rsid w:val="00DB5BBA"/>
    <w:rsid w:val="00DC03DB"/>
    <w:rsid w:val="00DC1206"/>
    <w:rsid w:val="00DC2BE8"/>
    <w:rsid w:val="00DC2BEC"/>
    <w:rsid w:val="00DC3256"/>
    <w:rsid w:val="00DC35A6"/>
    <w:rsid w:val="00DD090A"/>
    <w:rsid w:val="00DD2421"/>
    <w:rsid w:val="00DD3222"/>
    <w:rsid w:val="00DD3D81"/>
    <w:rsid w:val="00DD571C"/>
    <w:rsid w:val="00DD64E1"/>
    <w:rsid w:val="00DE039A"/>
    <w:rsid w:val="00DE0403"/>
    <w:rsid w:val="00DE4811"/>
    <w:rsid w:val="00DE5458"/>
    <w:rsid w:val="00DE5EE6"/>
    <w:rsid w:val="00DE77EA"/>
    <w:rsid w:val="00DF0ABA"/>
    <w:rsid w:val="00DF1EEE"/>
    <w:rsid w:val="00DF6C58"/>
    <w:rsid w:val="00E001C1"/>
    <w:rsid w:val="00E039F3"/>
    <w:rsid w:val="00E03C30"/>
    <w:rsid w:val="00E05051"/>
    <w:rsid w:val="00E078BD"/>
    <w:rsid w:val="00E078F8"/>
    <w:rsid w:val="00E1142B"/>
    <w:rsid w:val="00E11F10"/>
    <w:rsid w:val="00E157E4"/>
    <w:rsid w:val="00E15950"/>
    <w:rsid w:val="00E16522"/>
    <w:rsid w:val="00E1750C"/>
    <w:rsid w:val="00E178A6"/>
    <w:rsid w:val="00E20545"/>
    <w:rsid w:val="00E223C6"/>
    <w:rsid w:val="00E2443D"/>
    <w:rsid w:val="00E24789"/>
    <w:rsid w:val="00E26615"/>
    <w:rsid w:val="00E26F37"/>
    <w:rsid w:val="00E33928"/>
    <w:rsid w:val="00E33C90"/>
    <w:rsid w:val="00E34D15"/>
    <w:rsid w:val="00E35E86"/>
    <w:rsid w:val="00E36B45"/>
    <w:rsid w:val="00E37BF1"/>
    <w:rsid w:val="00E37FD8"/>
    <w:rsid w:val="00E428B3"/>
    <w:rsid w:val="00E44D19"/>
    <w:rsid w:val="00E51372"/>
    <w:rsid w:val="00E51CAF"/>
    <w:rsid w:val="00E51E95"/>
    <w:rsid w:val="00E51F9D"/>
    <w:rsid w:val="00E5202F"/>
    <w:rsid w:val="00E5211A"/>
    <w:rsid w:val="00E53A9F"/>
    <w:rsid w:val="00E549AF"/>
    <w:rsid w:val="00E555EE"/>
    <w:rsid w:val="00E60540"/>
    <w:rsid w:val="00E61C74"/>
    <w:rsid w:val="00E63D8F"/>
    <w:rsid w:val="00E706B6"/>
    <w:rsid w:val="00E76FF1"/>
    <w:rsid w:val="00E774FE"/>
    <w:rsid w:val="00E809A0"/>
    <w:rsid w:val="00E80AF7"/>
    <w:rsid w:val="00E84407"/>
    <w:rsid w:val="00E85E54"/>
    <w:rsid w:val="00E86146"/>
    <w:rsid w:val="00E86A76"/>
    <w:rsid w:val="00E87A90"/>
    <w:rsid w:val="00E904D1"/>
    <w:rsid w:val="00E92425"/>
    <w:rsid w:val="00E92AD3"/>
    <w:rsid w:val="00E959EA"/>
    <w:rsid w:val="00E96237"/>
    <w:rsid w:val="00E965D7"/>
    <w:rsid w:val="00E96D30"/>
    <w:rsid w:val="00EA1327"/>
    <w:rsid w:val="00EA623C"/>
    <w:rsid w:val="00EA6395"/>
    <w:rsid w:val="00EB044B"/>
    <w:rsid w:val="00EB067C"/>
    <w:rsid w:val="00EB3C66"/>
    <w:rsid w:val="00EB4B03"/>
    <w:rsid w:val="00EB5DEE"/>
    <w:rsid w:val="00EB64CB"/>
    <w:rsid w:val="00EB6D46"/>
    <w:rsid w:val="00EC07F3"/>
    <w:rsid w:val="00EC3194"/>
    <w:rsid w:val="00EC518D"/>
    <w:rsid w:val="00EC71D3"/>
    <w:rsid w:val="00ED02FE"/>
    <w:rsid w:val="00ED1EC9"/>
    <w:rsid w:val="00ED3737"/>
    <w:rsid w:val="00ED3856"/>
    <w:rsid w:val="00ED3E2E"/>
    <w:rsid w:val="00ED4CC8"/>
    <w:rsid w:val="00ED547D"/>
    <w:rsid w:val="00ED6A08"/>
    <w:rsid w:val="00EE05EE"/>
    <w:rsid w:val="00EE0AE2"/>
    <w:rsid w:val="00EE35B4"/>
    <w:rsid w:val="00EE5643"/>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3B2E"/>
    <w:rsid w:val="00F176A0"/>
    <w:rsid w:val="00F20174"/>
    <w:rsid w:val="00F22098"/>
    <w:rsid w:val="00F223BC"/>
    <w:rsid w:val="00F23780"/>
    <w:rsid w:val="00F26185"/>
    <w:rsid w:val="00F3178C"/>
    <w:rsid w:val="00F33DE5"/>
    <w:rsid w:val="00F34B8F"/>
    <w:rsid w:val="00F36D7F"/>
    <w:rsid w:val="00F37186"/>
    <w:rsid w:val="00F42FCF"/>
    <w:rsid w:val="00F44A83"/>
    <w:rsid w:val="00F51743"/>
    <w:rsid w:val="00F529D4"/>
    <w:rsid w:val="00F54F27"/>
    <w:rsid w:val="00F55FC8"/>
    <w:rsid w:val="00F5740A"/>
    <w:rsid w:val="00F604E3"/>
    <w:rsid w:val="00F610E6"/>
    <w:rsid w:val="00F61FCC"/>
    <w:rsid w:val="00F66036"/>
    <w:rsid w:val="00F6689D"/>
    <w:rsid w:val="00F67E23"/>
    <w:rsid w:val="00F702A8"/>
    <w:rsid w:val="00F71601"/>
    <w:rsid w:val="00F72C75"/>
    <w:rsid w:val="00F74033"/>
    <w:rsid w:val="00F759EB"/>
    <w:rsid w:val="00F772F7"/>
    <w:rsid w:val="00F81334"/>
    <w:rsid w:val="00F81A81"/>
    <w:rsid w:val="00F81CC5"/>
    <w:rsid w:val="00F8760D"/>
    <w:rsid w:val="00F87AAD"/>
    <w:rsid w:val="00F9174C"/>
    <w:rsid w:val="00F91D5C"/>
    <w:rsid w:val="00F92097"/>
    <w:rsid w:val="00F94DFC"/>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01077636"/>
    <w:rsid w:val="0444017A"/>
    <w:rsid w:val="065511F4"/>
    <w:rsid w:val="070C26A4"/>
    <w:rsid w:val="074B28A4"/>
    <w:rsid w:val="076E13EB"/>
    <w:rsid w:val="07C62086"/>
    <w:rsid w:val="09E01037"/>
    <w:rsid w:val="0AE94B37"/>
    <w:rsid w:val="0C1F7208"/>
    <w:rsid w:val="0C436BC9"/>
    <w:rsid w:val="0C513E99"/>
    <w:rsid w:val="0D030185"/>
    <w:rsid w:val="0D4C7E82"/>
    <w:rsid w:val="0FB67285"/>
    <w:rsid w:val="10C16EB7"/>
    <w:rsid w:val="12430184"/>
    <w:rsid w:val="1477016C"/>
    <w:rsid w:val="149511CE"/>
    <w:rsid w:val="14F5622F"/>
    <w:rsid w:val="17D67D47"/>
    <w:rsid w:val="18A47503"/>
    <w:rsid w:val="1AA56983"/>
    <w:rsid w:val="1B0D17EF"/>
    <w:rsid w:val="1DA96F07"/>
    <w:rsid w:val="1E0D2285"/>
    <w:rsid w:val="211645C6"/>
    <w:rsid w:val="22231F38"/>
    <w:rsid w:val="223B4FDD"/>
    <w:rsid w:val="226517C9"/>
    <w:rsid w:val="290F3DA7"/>
    <w:rsid w:val="2B616801"/>
    <w:rsid w:val="2C3B46E3"/>
    <w:rsid w:val="2D9C518F"/>
    <w:rsid w:val="314F6788"/>
    <w:rsid w:val="32534043"/>
    <w:rsid w:val="343C0DE9"/>
    <w:rsid w:val="344F14B0"/>
    <w:rsid w:val="365420B9"/>
    <w:rsid w:val="36C23BC9"/>
    <w:rsid w:val="3AAE3AFA"/>
    <w:rsid w:val="3CB63496"/>
    <w:rsid w:val="3DEF7C05"/>
    <w:rsid w:val="3E7172F0"/>
    <w:rsid w:val="3FAC49F1"/>
    <w:rsid w:val="402A7270"/>
    <w:rsid w:val="42A140CD"/>
    <w:rsid w:val="43C36238"/>
    <w:rsid w:val="44164DAE"/>
    <w:rsid w:val="45F50632"/>
    <w:rsid w:val="47632780"/>
    <w:rsid w:val="47E8188E"/>
    <w:rsid w:val="48C0792F"/>
    <w:rsid w:val="4B8C7D94"/>
    <w:rsid w:val="4DB57604"/>
    <w:rsid w:val="4F030A2B"/>
    <w:rsid w:val="4F7C2C0E"/>
    <w:rsid w:val="50E33DA8"/>
    <w:rsid w:val="527A551C"/>
    <w:rsid w:val="55E651AA"/>
    <w:rsid w:val="55F708FD"/>
    <w:rsid w:val="57B35854"/>
    <w:rsid w:val="5AB66B90"/>
    <w:rsid w:val="5B4F5173"/>
    <w:rsid w:val="5C7C23BF"/>
    <w:rsid w:val="5CBF4D24"/>
    <w:rsid w:val="5D7455FD"/>
    <w:rsid w:val="5E417F2A"/>
    <w:rsid w:val="633A681D"/>
    <w:rsid w:val="65FF54A6"/>
    <w:rsid w:val="689E00D7"/>
    <w:rsid w:val="68A95260"/>
    <w:rsid w:val="69DF67AE"/>
    <w:rsid w:val="6A5C7C2A"/>
    <w:rsid w:val="6C9C2D37"/>
    <w:rsid w:val="6E570C89"/>
    <w:rsid w:val="6E90591D"/>
    <w:rsid w:val="6E945F4C"/>
    <w:rsid w:val="736633EF"/>
    <w:rsid w:val="767E2F22"/>
    <w:rsid w:val="773B25EF"/>
    <w:rsid w:val="77CA6A96"/>
    <w:rsid w:val="7C5F3DCC"/>
    <w:rsid w:val="7CF627B2"/>
    <w:rsid w:val="7F6F420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ocked="1"/>
    <w:lsdException w:qFormat="1" w:unhideWhenUsed="0" w:uiPriority="20" w:semiHidden="0" w:name="Emphasis" w:locked="1"/>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val="en-GB" w:eastAsia="en-US" w:bidi="ar-SA"/>
    </w:rPr>
  </w:style>
  <w:style w:type="paragraph" w:styleId="2">
    <w:name w:val="heading 1"/>
    <w:basedOn w:val="1"/>
    <w:next w:val="1"/>
    <w:link w:val="25"/>
    <w:qFormat/>
    <w:uiPriority w:val="99"/>
    <w:pPr>
      <w:keepNext/>
      <w:keepLines/>
      <w:numPr>
        <w:ilvl w:val="0"/>
        <w:numId w:val="1"/>
      </w:numPr>
      <w:spacing w:line="360" w:lineRule="auto"/>
      <w:outlineLvl w:val="0"/>
    </w:pPr>
    <w:rPr>
      <w:b/>
      <w:bCs/>
      <w:kern w:val="44"/>
      <w:sz w:val="22"/>
      <w:szCs w:val="44"/>
    </w:rPr>
  </w:style>
  <w:style w:type="paragraph" w:styleId="3">
    <w:name w:val="heading 2"/>
    <w:basedOn w:val="1"/>
    <w:next w:val="1"/>
    <w:link w:val="26"/>
    <w:qFormat/>
    <w:uiPriority w:val="99"/>
    <w:pPr>
      <w:keepNext/>
      <w:keepLines/>
      <w:spacing w:line="360" w:lineRule="auto"/>
      <w:outlineLvl w:val="1"/>
    </w:pPr>
    <w:rPr>
      <w:bCs/>
      <w:sz w:val="22"/>
      <w:szCs w:val="32"/>
    </w:rPr>
  </w:style>
  <w:style w:type="paragraph" w:styleId="4">
    <w:name w:val="heading 3"/>
    <w:basedOn w:val="1"/>
    <w:next w:val="1"/>
    <w:link w:val="27"/>
    <w:qFormat/>
    <w:uiPriority w:val="99"/>
    <w:pPr>
      <w:keepNext/>
      <w:spacing w:line="360" w:lineRule="auto"/>
      <w:outlineLvl w:val="2"/>
    </w:pPr>
    <w:rPr>
      <w:sz w:val="22"/>
    </w:rPr>
  </w:style>
  <w:style w:type="paragraph" w:styleId="5">
    <w:name w:val="heading 4"/>
    <w:basedOn w:val="1"/>
    <w:next w:val="1"/>
    <w:link w:val="28"/>
    <w:qFormat/>
    <w:uiPriority w:val="99"/>
    <w:pPr>
      <w:keepNext/>
      <w:spacing w:before="240" w:after="60"/>
      <w:outlineLvl w:val="3"/>
    </w:pPr>
    <w:rPr>
      <w:b/>
      <w:i/>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9"/>
    <w:semiHidden/>
    <w:qFormat/>
    <w:uiPriority w:val="99"/>
    <w:rPr>
      <w:sz w:val="24"/>
    </w:rPr>
  </w:style>
  <w:style w:type="paragraph" w:styleId="7">
    <w:name w:val="Body Text 3"/>
    <w:basedOn w:val="1"/>
    <w:link w:val="30"/>
    <w:qFormat/>
    <w:uiPriority w:val="99"/>
    <w:pPr>
      <w:spacing w:after="120"/>
    </w:pPr>
    <w:rPr>
      <w:sz w:val="16"/>
      <w:szCs w:val="16"/>
    </w:rPr>
  </w:style>
  <w:style w:type="paragraph" w:styleId="8">
    <w:name w:val="Body Text"/>
    <w:basedOn w:val="1"/>
    <w:link w:val="31"/>
    <w:qFormat/>
    <w:uiPriority w:val="99"/>
    <w:pPr>
      <w:ind w:right="56"/>
    </w:pPr>
    <w:rPr>
      <w:b/>
      <w:sz w:val="22"/>
    </w:rPr>
  </w:style>
  <w:style w:type="paragraph" w:styleId="9">
    <w:name w:val="Body Text Indent"/>
    <w:basedOn w:val="1"/>
    <w:link w:val="32"/>
    <w:qFormat/>
    <w:uiPriority w:val="99"/>
    <w:pPr>
      <w:spacing w:after="120"/>
      <w:ind w:left="420" w:leftChars="200"/>
    </w:pPr>
  </w:style>
  <w:style w:type="paragraph" w:styleId="10">
    <w:name w:val="toc 3"/>
    <w:basedOn w:val="1"/>
    <w:next w:val="1"/>
    <w:qFormat/>
    <w:uiPriority w:val="99"/>
    <w:pPr>
      <w:tabs>
        <w:tab w:val="right" w:leader="dot" w:pos="8302"/>
        <w:tab w:val="right" w:leader="dot" w:pos="8835"/>
      </w:tabs>
      <w:spacing w:line="360" w:lineRule="auto"/>
      <w:ind w:left="300" w:leftChars="300"/>
    </w:pPr>
    <w:rPr>
      <w:sz w:val="20"/>
    </w:rPr>
  </w:style>
  <w:style w:type="paragraph" w:styleId="11">
    <w:name w:val="Body Text Indent 2"/>
    <w:basedOn w:val="1"/>
    <w:link w:val="33"/>
    <w:qFormat/>
    <w:uiPriority w:val="99"/>
    <w:pPr>
      <w:spacing w:after="120" w:line="480" w:lineRule="auto"/>
      <w:ind w:left="420" w:leftChars="200"/>
    </w:pPr>
  </w:style>
  <w:style w:type="paragraph" w:styleId="12">
    <w:name w:val="Balloon Text"/>
    <w:basedOn w:val="1"/>
    <w:link w:val="34"/>
    <w:semiHidden/>
    <w:qFormat/>
    <w:uiPriority w:val="99"/>
    <w:rPr>
      <w:sz w:val="18"/>
      <w:szCs w:val="18"/>
    </w:rPr>
  </w:style>
  <w:style w:type="paragraph" w:styleId="13">
    <w:name w:val="footer"/>
    <w:basedOn w:val="1"/>
    <w:link w:val="46"/>
    <w:qFormat/>
    <w:uiPriority w:val="99"/>
    <w:pPr>
      <w:tabs>
        <w:tab w:val="center" w:pos="4320"/>
        <w:tab w:val="right" w:pos="8640"/>
      </w:tabs>
    </w:pPr>
    <w:rPr>
      <w:sz w:val="24"/>
    </w:rPr>
  </w:style>
  <w:style w:type="paragraph" w:styleId="14">
    <w:name w:val="header"/>
    <w:basedOn w:val="1"/>
    <w:link w:val="36"/>
    <w:qFormat/>
    <w:uiPriority w:val="99"/>
    <w:pPr>
      <w:tabs>
        <w:tab w:val="center" w:pos="4320"/>
        <w:tab w:val="right" w:pos="8640"/>
      </w:tabs>
    </w:pPr>
    <w:rPr>
      <w:sz w:val="24"/>
    </w:rPr>
  </w:style>
  <w:style w:type="paragraph" w:styleId="15">
    <w:name w:val="toc 1"/>
    <w:basedOn w:val="1"/>
    <w:next w:val="1"/>
    <w:qFormat/>
    <w:uiPriority w:val="99"/>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16">
    <w:name w:val="toc 2"/>
    <w:basedOn w:val="1"/>
    <w:next w:val="1"/>
    <w:qFormat/>
    <w:uiPriority w:val="99"/>
    <w:pPr>
      <w:widowControl w:val="0"/>
      <w:tabs>
        <w:tab w:val="right" w:leader="dot" w:pos="8302"/>
      </w:tabs>
      <w:overflowPunct/>
      <w:autoSpaceDE/>
      <w:autoSpaceDN/>
      <w:adjustRightInd/>
      <w:spacing w:line="360" w:lineRule="auto"/>
      <w:ind w:left="200" w:leftChars="200"/>
      <w:textAlignment w:val="auto"/>
    </w:pPr>
    <w:rPr>
      <w:kern w:val="2"/>
      <w:lang w:val="en-US" w:eastAsia="zh-CN"/>
    </w:rPr>
  </w:style>
  <w:style w:type="paragraph" w:styleId="17">
    <w:name w:val="Title"/>
    <w:basedOn w:val="1"/>
    <w:next w:val="1"/>
    <w:link w:val="37"/>
    <w:qFormat/>
    <w:uiPriority w:val="99"/>
    <w:pPr>
      <w:spacing w:before="240" w:after="60"/>
      <w:jc w:val="center"/>
      <w:outlineLvl w:val="0"/>
    </w:pPr>
    <w:rPr>
      <w:rFonts w:ascii="Calibri Light" w:hAnsi="Calibri Light"/>
      <w:b/>
      <w:bCs/>
      <w:sz w:val="32"/>
      <w:szCs w:val="32"/>
    </w:rPr>
  </w:style>
  <w:style w:type="paragraph" w:styleId="18">
    <w:name w:val="annotation subject"/>
    <w:basedOn w:val="6"/>
    <w:next w:val="6"/>
    <w:link w:val="38"/>
    <w:semiHidden/>
    <w:qFormat/>
    <w:uiPriority w:val="99"/>
    <w:rPr>
      <w:b/>
      <w:bCs/>
    </w:rPr>
  </w:style>
  <w:style w:type="table" w:styleId="20">
    <w:name w:val="Table Grid"/>
    <w:basedOn w:val="19"/>
    <w:qFormat/>
    <w:uiPriority w:val="99"/>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qFormat/>
    <w:uiPriority w:val="99"/>
    <w:rPr>
      <w:rFonts w:cs="Times New Roman"/>
    </w:rPr>
  </w:style>
  <w:style w:type="character" w:styleId="23">
    <w:name w:val="Hyperlink"/>
    <w:qFormat/>
    <w:uiPriority w:val="99"/>
    <w:rPr>
      <w:rFonts w:cs="Times New Roman"/>
      <w:color w:val="0000FF"/>
      <w:u w:val="single"/>
    </w:rPr>
  </w:style>
  <w:style w:type="character" w:styleId="24">
    <w:name w:val="annotation reference"/>
    <w:semiHidden/>
    <w:qFormat/>
    <w:uiPriority w:val="99"/>
    <w:rPr>
      <w:rFonts w:cs="Times New Roman"/>
      <w:sz w:val="21"/>
    </w:rPr>
  </w:style>
  <w:style w:type="character" w:customStyle="1" w:styleId="25">
    <w:name w:val="标题 1 字符"/>
    <w:link w:val="2"/>
    <w:qFormat/>
    <w:uiPriority w:val="9"/>
    <w:rPr>
      <w:b/>
      <w:bCs/>
      <w:kern w:val="44"/>
      <w:sz w:val="44"/>
      <w:szCs w:val="44"/>
      <w:lang w:val="en-GB" w:eastAsia="en-US"/>
    </w:rPr>
  </w:style>
  <w:style w:type="character" w:customStyle="1" w:styleId="26">
    <w:name w:val="标题 2 字符"/>
    <w:link w:val="3"/>
    <w:semiHidden/>
    <w:qFormat/>
    <w:uiPriority w:val="9"/>
    <w:rPr>
      <w:rFonts w:ascii="Cambria" w:hAnsi="Cambria" w:eastAsia="宋体" w:cs="Times New Roman"/>
      <w:b/>
      <w:bCs/>
      <w:kern w:val="0"/>
      <w:sz w:val="32"/>
      <w:szCs w:val="32"/>
      <w:lang w:val="en-GB" w:eastAsia="en-US"/>
    </w:rPr>
  </w:style>
  <w:style w:type="character" w:customStyle="1" w:styleId="27">
    <w:name w:val="标题 3 字符"/>
    <w:link w:val="4"/>
    <w:semiHidden/>
    <w:qFormat/>
    <w:uiPriority w:val="9"/>
    <w:rPr>
      <w:b/>
      <w:bCs/>
      <w:kern w:val="0"/>
      <w:sz w:val="32"/>
      <w:szCs w:val="32"/>
      <w:lang w:val="en-GB" w:eastAsia="en-US"/>
    </w:rPr>
  </w:style>
  <w:style w:type="character" w:customStyle="1" w:styleId="28">
    <w:name w:val="标题 4 字符"/>
    <w:link w:val="5"/>
    <w:semiHidden/>
    <w:qFormat/>
    <w:uiPriority w:val="9"/>
    <w:rPr>
      <w:rFonts w:ascii="Cambria" w:hAnsi="Cambria" w:eastAsia="宋体" w:cs="Times New Roman"/>
      <w:b/>
      <w:bCs/>
      <w:kern w:val="0"/>
      <w:sz w:val="28"/>
      <w:szCs w:val="28"/>
      <w:lang w:val="en-GB" w:eastAsia="en-US"/>
    </w:rPr>
  </w:style>
  <w:style w:type="character" w:customStyle="1" w:styleId="29">
    <w:name w:val="批注文字 字符"/>
    <w:link w:val="6"/>
    <w:semiHidden/>
    <w:qFormat/>
    <w:locked/>
    <w:uiPriority w:val="99"/>
    <w:rPr>
      <w:sz w:val="24"/>
      <w:lang w:val="en-GB" w:eastAsia="en-US"/>
    </w:rPr>
  </w:style>
  <w:style w:type="character" w:customStyle="1" w:styleId="30">
    <w:name w:val="正文文本 3 字符"/>
    <w:link w:val="7"/>
    <w:semiHidden/>
    <w:qFormat/>
    <w:uiPriority w:val="99"/>
    <w:rPr>
      <w:kern w:val="0"/>
      <w:sz w:val="16"/>
      <w:szCs w:val="16"/>
      <w:lang w:val="en-GB" w:eastAsia="en-US"/>
    </w:rPr>
  </w:style>
  <w:style w:type="character" w:customStyle="1" w:styleId="31">
    <w:name w:val="正文文本 字符"/>
    <w:link w:val="8"/>
    <w:semiHidden/>
    <w:qFormat/>
    <w:uiPriority w:val="99"/>
    <w:rPr>
      <w:kern w:val="0"/>
      <w:szCs w:val="20"/>
      <w:lang w:val="en-GB" w:eastAsia="en-US"/>
    </w:rPr>
  </w:style>
  <w:style w:type="character" w:customStyle="1" w:styleId="32">
    <w:name w:val="正文文本缩进 字符"/>
    <w:link w:val="9"/>
    <w:semiHidden/>
    <w:qFormat/>
    <w:uiPriority w:val="99"/>
    <w:rPr>
      <w:kern w:val="0"/>
      <w:szCs w:val="20"/>
      <w:lang w:val="en-GB" w:eastAsia="en-US"/>
    </w:rPr>
  </w:style>
  <w:style w:type="character" w:customStyle="1" w:styleId="33">
    <w:name w:val="正文文本缩进 2 字符"/>
    <w:link w:val="11"/>
    <w:semiHidden/>
    <w:qFormat/>
    <w:uiPriority w:val="99"/>
    <w:rPr>
      <w:kern w:val="0"/>
      <w:szCs w:val="20"/>
      <w:lang w:val="en-GB" w:eastAsia="en-US"/>
    </w:rPr>
  </w:style>
  <w:style w:type="character" w:customStyle="1" w:styleId="34">
    <w:name w:val="批注框文本 字符"/>
    <w:link w:val="12"/>
    <w:semiHidden/>
    <w:qFormat/>
    <w:uiPriority w:val="99"/>
    <w:rPr>
      <w:kern w:val="0"/>
      <w:sz w:val="0"/>
      <w:szCs w:val="0"/>
      <w:lang w:val="en-GB" w:eastAsia="en-US"/>
    </w:rPr>
  </w:style>
  <w:style w:type="character" w:customStyle="1" w:styleId="35">
    <w:name w:val="Footer Char"/>
    <w:semiHidden/>
    <w:qFormat/>
    <w:locked/>
    <w:uiPriority w:val="99"/>
    <w:rPr>
      <w:rFonts w:cs="Times New Roman"/>
      <w:sz w:val="18"/>
      <w:szCs w:val="18"/>
    </w:rPr>
  </w:style>
  <w:style w:type="character" w:customStyle="1" w:styleId="36">
    <w:name w:val="页眉 字符"/>
    <w:link w:val="14"/>
    <w:qFormat/>
    <w:locked/>
    <w:uiPriority w:val="99"/>
    <w:rPr>
      <w:rFonts w:eastAsia="宋体"/>
      <w:sz w:val="24"/>
      <w:lang w:val="en-GB" w:eastAsia="en-US"/>
    </w:rPr>
  </w:style>
  <w:style w:type="character" w:customStyle="1" w:styleId="37">
    <w:name w:val="标题 字符"/>
    <w:link w:val="17"/>
    <w:qFormat/>
    <w:locked/>
    <w:uiPriority w:val="99"/>
    <w:rPr>
      <w:rFonts w:ascii="Calibri Light" w:hAnsi="Calibri Light"/>
      <w:b/>
      <w:sz w:val="32"/>
      <w:lang w:val="en-GB" w:eastAsia="en-US"/>
    </w:rPr>
  </w:style>
  <w:style w:type="character" w:customStyle="1" w:styleId="38">
    <w:name w:val="批注主题 字符"/>
    <w:link w:val="18"/>
    <w:semiHidden/>
    <w:qFormat/>
    <w:uiPriority w:val="99"/>
    <w:rPr>
      <w:b/>
      <w:bCs/>
      <w:kern w:val="0"/>
      <w:sz w:val="24"/>
      <w:szCs w:val="20"/>
      <w:lang w:val="en-GB" w:eastAsia="en-US"/>
    </w:rPr>
  </w:style>
  <w:style w:type="paragraph" w:customStyle="1" w:styleId="39">
    <w:name w:val="Table"/>
    <w:basedOn w:val="1"/>
    <w:qFormat/>
    <w:uiPriority w:val="99"/>
    <w:pPr>
      <w:keepLines/>
      <w:tabs>
        <w:tab w:val="left" w:pos="284"/>
      </w:tabs>
      <w:overflowPunct/>
      <w:autoSpaceDE/>
      <w:autoSpaceDN/>
      <w:adjustRightInd/>
      <w:spacing w:before="40" w:after="20"/>
      <w:textAlignment w:val="auto"/>
    </w:pPr>
    <w:rPr>
      <w:rFonts w:ascii="Arial" w:hAnsi="Arial"/>
      <w:sz w:val="20"/>
      <w:lang w:val="en-US"/>
    </w:rPr>
  </w:style>
  <w:style w:type="paragraph" w:customStyle="1" w:styleId="40">
    <w:name w:val="Default Text"/>
    <w:basedOn w:val="1"/>
    <w:qFormat/>
    <w:uiPriority w:val="99"/>
    <w:pPr>
      <w:overflowPunct/>
      <w:textAlignment w:val="auto"/>
    </w:pPr>
    <w:rPr>
      <w:rFonts w:ascii="Arial" w:hAnsi="Arial"/>
      <w:szCs w:val="24"/>
      <w:lang w:val="en-US"/>
    </w:rPr>
  </w:style>
  <w:style w:type="paragraph" w:customStyle="1" w:styleId="41">
    <w:name w:val="Style"/>
    <w:basedOn w:val="1"/>
    <w:qFormat/>
    <w:uiPriority w:val="99"/>
    <w:pPr>
      <w:overflowPunct/>
      <w:textAlignment w:val="auto"/>
    </w:pPr>
    <w:rPr>
      <w:rFonts w:ascii="Arial" w:hAnsi="Arial"/>
      <w:szCs w:val="24"/>
      <w:lang w:val="en-US"/>
    </w:rPr>
  </w:style>
  <w:style w:type="paragraph" w:customStyle="1" w:styleId="42">
    <w:name w:val="正文1"/>
    <w:basedOn w:val="1"/>
    <w:qFormat/>
    <w:uiPriority w:val="99"/>
    <w:pPr>
      <w:overflowPunct/>
      <w:textAlignment w:val="auto"/>
    </w:pPr>
    <w:rPr>
      <w:rFonts w:ascii="Arial" w:hAnsi="Arial"/>
      <w:sz w:val="20"/>
      <w:lang w:val="en-US"/>
    </w:rPr>
  </w:style>
  <w:style w:type="paragraph" w:customStyle="1" w:styleId="43">
    <w:name w:val="Revision1"/>
    <w:hidden/>
    <w:semiHidden/>
    <w:qFormat/>
    <w:uiPriority w:val="99"/>
    <w:rPr>
      <w:rFonts w:ascii="Times New Roman" w:hAnsi="Times New Roman" w:eastAsia="宋体" w:cs="Times New Roman"/>
      <w:sz w:val="24"/>
      <w:lang w:val="en-GB" w:eastAsia="en-US" w:bidi="ar-SA"/>
    </w:rPr>
  </w:style>
  <w:style w:type="paragraph" w:styleId="44">
    <w:name w:val="List Paragraph"/>
    <w:basedOn w:val="1"/>
    <w:qFormat/>
    <w:uiPriority w:val="99"/>
    <w:pPr>
      <w:widowControl w:val="0"/>
      <w:overflowPunct/>
      <w:autoSpaceDE/>
      <w:autoSpaceDN/>
      <w:adjustRightInd/>
      <w:ind w:firstLine="420" w:firstLineChars="200"/>
      <w:jc w:val="both"/>
      <w:textAlignment w:val="auto"/>
    </w:pPr>
    <w:rPr>
      <w:rFonts w:ascii="Calibri" w:hAnsi="Calibri"/>
      <w:kern w:val="2"/>
      <w:szCs w:val="22"/>
      <w:lang w:val="en-US" w:eastAsia="zh-CN"/>
    </w:rPr>
  </w:style>
  <w:style w:type="paragraph" w:customStyle="1" w:styleId="45">
    <w:name w:val="TOC Heading1"/>
    <w:basedOn w:val="2"/>
    <w:next w:val="1"/>
    <w:qFormat/>
    <w:uiPriority w:val="99"/>
    <w:pPr>
      <w:numPr>
        <w:numId w:val="0"/>
      </w:numPr>
      <w:outlineLvl w:val="9"/>
    </w:pPr>
  </w:style>
  <w:style w:type="character" w:customStyle="1" w:styleId="46">
    <w:name w:val="页脚 字符"/>
    <w:link w:val="13"/>
    <w:qFormat/>
    <w:locked/>
    <w:uiPriority w:val="99"/>
    <w:rPr>
      <w:sz w:val="24"/>
      <w:lang w:val="en-GB" w:eastAsia="en-US"/>
    </w:rPr>
  </w:style>
  <w:style w:type="character" w:customStyle="1" w:styleId="47">
    <w:name w:val="instruction standard blue"/>
    <w:qFormat/>
    <w:uiPriority w:val="99"/>
    <w:rPr>
      <w:i/>
      <w:color w:val="0070C0"/>
    </w:rPr>
  </w:style>
  <w:style w:type="character" w:customStyle="1" w:styleId="48">
    <w:name w:val="keyword"/>
    <w:qFormat/>
    <w:uiPriority w:val="99"/>
    <w:rPr>
      <w:rFonts w:cs="Times New Roman"/>
    </w:rPr>
  </w:style>
  <w:style w:type="paragraph" w:customStyle="1" w:styleId="49">
    <w:name w:val="numbering blue"/>
    <w:basedOn w:val="1"/>
    <w:link w:val="50"/>
    <w:qFormat/>
    <w:uiPriority w:val="99"/>
    <w:pPr>
      <w:numPr>
        <w:ilvl w:val="0"/>
        <w:numId w:val="2"/>
      </w:numPr>
      <w:overflowPunct/>
      <w:autoSpaceDE/>
      <w:autoSpaceDN/>
      <w:adjustRightInd/>
      <w:spacing w:after="120"/>
      <w:ind w:left="357" w:hanging="357"/>
      <w:contextualSpacing/>
      <w:textAlignment w:val="auto"/>
    </w:pPr>
    <w:rPr>
      <w:rFonts w:ascii="Arial" w:hAnsi="Arial" w:eastAsia="PMingLiUfalt"/>
      <w:color w:val="0070C0"/>
      <w:sz w:val="20"/>
      <w:lang w:val="en-US" w:eastAsia="zh-TW"/>
    </w:rPr>
  </w:style>
  <w:style w:type="character" w:customStyle="1" w:styleId="50">
    <w:name w:val="numbering blue Zchn"/>
    <w:link w:val="49"/>
    <w:qFormat/>
    <w:locked/>
    <w:uiPriority w:val="99"/>
    <w:rPr>
      <w:rFonts w:ascii="Arial" w:hAnsi="Arial" w:eastAsia="PMingLiUfalt"/>
      <w:color w:val="0070C0"/>
      <w:lang w:eastAsia="zh-TW"/>
    </w:rPr>
  </w:style>
  <w:style w:type="paragraph" w:customStyle="1" w:styleId="51">
    <w:name w:val="Default"/>
    <w:qFormat/>
    <w:uiPriority w:val="99"/>
    <w:pPr>
      <w:widowControl w:val="0"/>
      <w:autoSpaceDE w:val="0"/>
      <w:autoSpaceDN w:val="0"/>
    </w:pPr>
    <w:rPr>
      <w:rFonts w:ascii="Arial" w:hAnsi="Arial" w:eastAsia="宋体" w:cs="Times New Roman"/>
      <w:color w:val="000000"/>
      <w:sz w:val="24"/>
      <w:lang w:val="en-US" w:eastAsia="zh-CN" w:bidi="ar-SA"/>
    </w:rPr>
  </w:style>
  <w:style w:type="character" w:customStyle="1" w:styleId="52">
    <w:name w:val="Text Char"/>
    <w:link w:val="53"/>
    <w:qFormat/>
    <w:locked/>
    <w:uiPriority w:val="99"/>
    <w:rPr>
      <w:sz w:val="24"/>
      <w:lang w:eastAsia="en-US"/>
    </w:rPr>
  </w:style>
  <w:style w:type="paragraph" w:customStyle="1" w:styleId="53">
    <w:name w:val="Text"/>
    <w:basedOn w:val="1"/>
    <w:link w:val="52"/>
    <w:qFormat/>
    <w:uiPriority w:val="99"/>
    <w:pPr>
      <w:overflowPunct/>
      <w:autoSpaceDE/>
      <w:autoSpaceDN/>
      <w:adjustRightInd/>
      <w:spacing w:before="120"/>
      <w:jc w:val="both"/>
      <w:textAlignment w:val="auto"/>
    </w:pPr>
    <w:rPr>
      <w:sz w:val="24"/>
      <w:lang w:val="en-US"/>
    </w:rPr>
  </w:style>
  <w:style w:type="character" w:customStyle="1" w:styleId="54">
    <w:name w:val="ordinary-span-edit2"/>
    <w:qFormat/>
    <w:uiPriority w:val="99"/>
  </w:style>
  <w:style w:type="character" w:customStyle="1" w:styleId="55">
    <w:name w:val="apple-converted-space"/>
    <w:qFormat/>
    <w:uiPriority w:val="99"/>
    <w:rPr>
      <w:rFonts w:cs="Times New Roman"/>
    </w:rPr>
  </w:style>
  <w:style w:type="paragraph" w:customStyle="1" w:styleId="56">
    <w:name w:val="Table text"/>
    <w:basedOn w:val="1"/>
    <w:qFormat/>
    <w:uiPriority w:val="99"/>
    <w:pPr>
      <w:overflowPunct/>
      <w:autoSpaceDE/>
      <w:autoSpaceDN/>
      <w:adjustRightInd/>
      <w:spacing w:before="120" w:after="120"/>
      <w:jc w:val="both"/>
      <w:textAlignment w:val="auto"/>
    </w:pPr>
    <w:rPr>
      <w:lang w:val="en-US"/>
    </w:rPr>
  </w:style>
  <w:style w:type="character" w:customStyle="1" w:styleId="57">
    <w:name w:val="fontstyle01"/>
    <w:qFormat/>
    <w:uiPriority w:val="0"/>
    <w:rPr>
      <w:rFonts w:hint="default" w:ascii="FZZDXJW--GB1-0" w:hAnsi="FZZDXJW--GB1-0"/>
      <w:color w:val="242021"/>
      <w:sz w:val="16"/>
      <w:szCs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4644</Words>
  <Characters>4948</Characters>
  <Lines>45</Lines>
  <Paragraphs>12</Paragraphs>
  <TotalTime>192</TotalTime>
  <ScaleCrop>false</ScaleCrop>
  <LinksUpToDate>false</LinksUpToDate>
  <CharactersWithSpaces>5031</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2021-03-14T13:27:00Z</dcterms:created>
  <dc:creator>Lilly</dc:creator>
  <cp:lastModifiedBy>汪洋</cp:lastModifiedBy>
  <cp:lastPrinted>2023-02-09T01:48:00Z</cp:lastPrinted>
  <dcterms:modified xsi:type="dcterms:W3CDTF">2023-03-17T01:45:29Z</dcterms:modified>
  <dc:title>生效期：</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635BCCB0177B4D9BB7586A9D30EE02F8</vt:lpwstr>
  </property>
</Properties>
</file>