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227223"/>
      <w:bookmarkStart w:id="2" w:name="_Toc483666358"/>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联合疫苗楼百日咳疫苗原液车间蠕动泵</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bookmarkStart w:id="5" w:name="OLE_LINK4"/>
      <w:bookmarkEnd w:id="5"/>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rPr>
        <w:t>1</w:t>
      </w:r>
      <w:r>
        <w:rPr>
          <w:rFonts w:hint="eastAsia"/>
        </w:rPr>
        <w:fldChar w:fldCharType="end"/>
      </w:r>
      <w:r>
        <w:rPr>
          <w:rFonts w:hint="eastAsia"/>
        </w:rPr>
        <w:t>3</w:t>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1702475"/>
      <w:bookmarkStart w:id="9" w:name="_Toc482370349"/>
      <w:bookmarkStart w:id="10" w:name="_Toc482370141"/>
      <w:bookmarkStart w:id="11" w:name="_Toc482369805"/>
      <w:bookmarkStart w:id="12" w:name="_Toc482370757"/>
      <w:bookmarkStart w:id="13" w:name="_Toc482370061"/>
      <w:bookmarkStart w:id="14" w:name="_Toc482360281"/>
      <w:bookmarkStart w:id="15" w:name="_Toc482359936"/>
      <w:bookmarkStart w:id="16" w:name="_Toc482625279"/>
      <w:r>
        <w:rPr>
          <w:szCs w:val="21"/>
          <w:lang w:eastAsia="zh-CN"/>
        </w:rPr>
        <w:t>本文件的目的是描述武汉生物制品研究所有限责任公司</w:t>
      </w:r>
      <w:permStart w:id="3" w:edGrp="everyone"/>
      <w:r>
        <w:rPr>
          <w:rFonts w:hint="eastAsia" w:ascii="宋体" w:hAnsi="宋体"/>
          <w:szCs w:val="21"/>
          <w:lang w:eastAsia="zh-CN"/>
        </w:rPr>
        <w:t>联合疫苗楼百日咳疫苗原液车间蠕动泵</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szCs w:val="21"/>
          <w:lang w:eastAsia="zh-CN"/>
        </w:rPr>
        <w:t>联合疫苗楼百日咳疫苗原液车间蠕动泵</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szCs w:val="21"/>
          <w:lang w:eastAsia="zh-CN"/>
        </w:rPr>
      </w:pPr>
      <w:permStart w:id="5" w:edGrp="everyone"/>
      <w:r>
        <w:rPr>
          <w:rFonts w:hint="eastAsia"/>
          <w:szCs w:val="21"/>
          <w:lang w:eastAsia="zh-CN"/>
        </w:rPr>
        <w:t>中国药典</w:t>
      </w:r>
      <w:r>
        <w:rPr>
          <w:szCs w:val="21"/>
        </w:rPr>
        <w:t>2020</w:t>
      </w:r>
      <w:r>
        <w:rPr>
          <w:rFonts w:hint="eastAsia"/>
          <w:szCs w:val="21"/>
        </w:rPr>
        <w:t>年版</w:t>
      </w:r>
    </w:p>
    <w:p>
      <w:pPr>
        <w:pStyle w:val="42"/>
        <w:numPr>
          <w:ilvl w:val="0"/>
          <w:numId w:val="5"/>
        </w:numPr>
        <w:spacing w:before="0" w:line="360" w:lineRule="auto"/>
        <w:ind w:left="777"/>
        <w:jc w:val="left"/>
        <w:rPr>
          <w:szCs w:val="21"/>
          <w:lang w:eastAsia="zh-CN"/>
        </w:rPr>
      </w:pPr>
      <w:r>
        <w:rPr>
          <w:rFonts w:hint="eastAsia"/>
          <w:szCs w:val="21"/>
          <w:lang w:eastAsia="zh-CN"/>
        </w:rPr>
        <w:t>《药品生产质量管理规范》（</w:t>
      </w:r>
      <w:r>
        <w:rPr>
          <w:szCs w:val="21"/>
          <w:lang w:eastAsia="zh-CN"/>
        </w:rPr>
        <w:t>2010</w:t>
      </w:r>
      <w:r>
        <w:rPr>
          <w:rFonts w:hint="eastAsia"/>
          <w:szCs w:val="21"/>
          <w:lang w:eastAsia="zh-CN"/>
        </w:rPr>
        <w:t>修订版）及附录</w:t>
      </w:r>
    </w:p>
    <w:p>
      <w:pPr>
        <w:pStyle w:val="42"/>
        <w:numPr>
          <w:ilvl w:val="0"/>
          <w:numId w:val="5"/>
        </w:numPr>
        <w:spacing w:before="0" w:line="360" w:lineRule="auto"/>
        <w:ind w:left="777"/>
        <w:jc w:val="left"/>
        <w:rPr>
          <w:szCs w:val="21"/>
          <w:lang w:eastAsia="zh-CN"/>
        </w:rPr>
      </w:pPr>
      <w:r>
        <w:rPr>
          <w:rFonts w:hint="eastAsia"/>
          <w:szCs w:val="21"/>
          <w:lang w:eastAsia="zh-CN"/>
        </w:rPr>
        <w:t>《中华人民共和国药品管理法》（2019年修订）</w:t>
      </w:r>
    </w:p>
    <w:p>
      <w:pPr>
        <w:pStyle w:val="42"/>
        <w:numPr>
          <w:ilvl w:val="0"/>
          <w:numId w:val="5"/>
        </w:numPr>
        <w:spacing w:before="0" w:line="360" w:lineRule="auto"/>
        <w:ind w:left="777"/>
        <w:jc w:val="left"/>
        <w:rPr>
          <w:szCs w:val="21"/>
          <w:lang w:eastAsia="zh-CN"/>
        </w:rPr>
      </w:pPr>
      <w:r>
        <w:rPr>
          <w:szCs w:val="21"/>
          <w:lang w:eastAsia="zh-CN"/>
        </w:rPr>
        <w:t>GMP</w:t>
      </w:r>
      <w:r>
        <w:rPr>
          <w:rFonts w:hint="eastAsia"/>
          <w:szCs w:val="21"/>
          <w:lang w:eastAsia="zh-CN"/>
        </w:rPr>
        <w:t>附件</w:t>
      </w:r>
      <w:r>
        <w:rPr>
          <w:szCs w:val="21"/>
          <w:lang w:eastAsia="zh-CN"/>
        </w:rPr>
        <w:t>2</w:t>
      </w:r>
      <w:r>
        <w:rPr>
          <w:rFonts w:hint="eastAsia"/>
          <w:szCs w:val="21"/>
          <w:lang w:eastAsia="zh-CN"/>
        </w:rPr>
        <w:t>《确认与验证》</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rFonts w:ascii="宋体" w:hAnsi="宋体" w:cs="宋体"/>
          <w:iCs/>
          <w:color w:val="000000"/>
          <w:szCs w:val="21"/>
          <w:lang w:eastAsia="zh-CN"/>
        </w:rPr>
      </w:pPr>
      <w:permStart w:id="6" w:edGrp="everyone"/>
      <w:r>
        <w:rPr>
          <w:rFonts w:hint="eastAsia" w:ascii="宋体" w:hAnsi="宋体" w:cs="宋体"/>
          <w:iCs/>
          <w:color w:val="000000"/>
          <w:szCs w:val="21"/>
          <w:lang w:eastAsia="zh-CN"/>
        </w:rPr>
        <w:t>电气安全应符合GB4793.1和GB4793.4的要求。</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Tj36-79工业企业设计卫生标准</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GB-52261-2002机械电气设备第一部分：通用技术条件</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GB-12265-90机械防护安全要求</w:t>
      </w:r>
    </w:p>
    <w:permEnd w:id="6"/>
    <w:p>
      <w:pPr>
        <w:pStyle w:val="42"/>
        <w:spacing w:before="0" w:line="360" w:lineRule="auto"/>
        <w:ind w:left="357"/>
        <w:jc w:val="left"/>
        <w:rPr>
          <w:i/>
          <w:szCs w:val="21"/>
          <w:lang w:eastAsia="zh-CN"/>
        </w:rPr>
      </w:pPr>
    </w:p>
    <w:p>
      <w:pPr>
        <w:spacing w:after="158" w:afterLines="50"/>
        <w:ind w:firstLine="315" w:firstLineChars="150"/>
        <w:outlineLvl w:val="0"/>
        <w:rPr>
          <w:b/>
          <w:szCs w:val="22"/>
          <w:lang w:eastAsia="zh-CN"/>
        </w:rPr>
      </w:pPr>
      <w:bookmarkStart w:id="21" w:name="_Toc522716119"/>
      <w:bookmarkStart w:id="22" w:name="_Toc522107739"/>
      <w:permStart w:id="7" w:edGrp="everyone"/>
      <w:r>
        <w:rPr>
          <w:rFonts w:hint="eastAsia" w:ascii="宋体" w:hAnsi="宋体"/>
          <w:szCs w:val="21"/>
          <w:lang w:eastAsia="zh-CN"/>
        </w:rPr>
        <w:t>本</w:t>
      </w:r>
      <w:r>
        <w:rPr>
          <w:rFonts w:ascii="宋体" w:hAnsi="宋体"/>
          <w:szCs w:val="21"/>
          <w:lang w:eastAsia="zh-CN"/>
        </w:rPr>
        <w:t>URS</w:t>
      </w:r>
      <w:r>
        <w:rPr>
          <w:rFonts w:hint="eastAsia" w:ascii="宋体" w:hAnsi="宋体"/>
          <w:szCs w:val="21"/>
          <w:lang w:eastAsia="zh-CN"/>
        </w:rPr>
        <w:t>仅用于武汉生物制品研究所有限责任公司</w:t>
      </w:r>
      <w:r>
        <w:rPr>
          <w:rFonts w:hint="eastAsia" w:ascii="宋体" w:hAnsi="宋体"/>
          <w:color w:val="000000"/>
          <w:lang w:eastAsia="zh-CN"/>
        </w:rPr>
        <w:t>联合疫苗楼百日咳疫苗原液车间生产</w:t>
      </w:r>
      <w:r>
        <w:rPr>
          <w:rFonts w:hint="eastAsia" w:ascii="宋体" w:hAnsi="宋体"/>
          <w:color w:val="000000"/>
          <w:lang w:val="en-US" w:eastAsia="zh-CN"/>
        </w:rPr>
        <w:t>用</w:t>
      </w:r>
      <w:r>
        <w:rPr>
          <w:rFonts w:hint="eastAsia" w:ascii="宋体" w:hAnsi="宋体"/>
          <w:color w:val="000000"/>
          <w:lang w:eastAsia="zh-CN"/>
        </w:rPr>
        <w:t>蠕动泵</w:t>
      </w:r>
      <w:r>
        <w:rPr>
          <w:rFonts w:hint="eastAsia" w:ascii="宋体" w:hAnsi="宋体"/>
          <w:color w:val="000000"/>
          <w:szCs w:val="21"/>
          <w:lang w:eastAsia="zh-CN"/>
        </w:rPr>
        <w:t>的购买。</w:t>
      </w:r>
    </w:p>
    <w:permEnd w:id="7"/>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系统描述</w:t>
      </w:r>
      <w:bookmarkEnd w:id="21"/>
      <w:bookmarkEnd w:id="22"/>
    </w:p>
    <w:p>
      <w:pPr>
        <w:pStyle w:val="42"/>
        <w:spacing w:before="0" w:line="360" w:lineRule="auto"/>
        <w:ind w:left="357"/>
        <w:jc w:val="left"/>
        <w:rPr>
          <w:i/>
          <w:color w:val="4472C4"/>
          <w:szCs w:val="21"/>
          <w:lang w:eastAsia="zh-CN"/>
        </w:rPr>
      </w:pPr>
      <w:permStart w:id="8" w:edGrp="everyone"/>
      <w:r>
        <w:rPr>
          <w:rFonts w:hint="eastAsia" w:ascii="宋体" w:hAnsi="宋体"/>
          <w:color w:val="000000"/>
          <w:lang w:eastAsia="zh-CN"/>
        </w:rPr>
        <w:t>联合疫苗楼百日咳疫苗原液车间</w:t>
      </w:r>
      <w:r>
        <w:rPr>
          <w:rFonts w:hint="eastAsia" w:ascii="宋体" w:hAnsi="宋体"/>
          <w:lang w:eastAsia="zh-CN"/>
        </w:rPr>
        <w:t>需要购买20</w:t>
      </w:r>
      <w:r>
        <w:rPr>
          <w:rFonts w:hint="eastAsia" w:ascii="宋体" w:hAnsi="宋体"/>
          <w:color w:val="000000"/>
          <w:lang w:eastAsia="zh-CN"/>
        </w:rPr>
        <w:t>台蠕动泵</w:t>
      </w:r>
      <w:r>
        <w:rPr>
          <w:rFonts w:hint="eastAsia" w:ascii="宋体" w:hAnsi="宋体"/>
          <w:lang w:eastAsia="zh-CN"/>
        </w:rPr>
        <w:t>，</w:t>
      </w:r>
      <w:r>
        <w:rPr>
          <w:rFonts w:hint="eastAsia" w:ascii="宋体" w:hAnsi="宋体"/>
          <w:color w:val="000000"/>
          <w:lang w:eastAsia="zh-CN"/>
        </w:rPr>
        <w:t>用于百日咳疫苗原液生产中密度梯度离心上、下样时使用</w:t>
      </w:r>
      <w:r>
        <w:rPr>
          <w:rFonts w:hint="eastAsia" w:ascii="宋体" w:hAnsi="宋体"/>
          <w:lang w:eastAsia="zh-CN"/>
        </w:rPr>
        <w:t>。</w:t>
      </w:r>
      <w:permEnd w:id="8"/>
    </w:p>
    <w:p>
      <w:pPr>
        <w:pStyle w:val="32"/>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ermStart w:id="9" w:edGrp="everyone"/>
      <w:permEnd w:id="9"/>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联合疫苗楼</w:t>
            </w:r>
            <w:r>
              <w:rPr>
                <w:rFonts w:hint="eastAsia"/>
                <w:szCs w:val="21"/>
                <w:lang w:eastAsia="zh-CN"/>
              </w:rPr>
              <w:t>百日咳</w:t>
            </w:r>
            <w:r>
              <w:rPr>
                <w:rFonts w:hint="eastAsia"/>
                <w:szCs w:val="21"/>
                <w:lang w:val="en-US" w:eastAsia="zh-CN"/>
              </w:rPr>
              <w:t>疫苗</w:t>
            </w:r>
            <w:r>
              <w:rPr>
                <w:rFonts w:hint="eastAsia"/>
                <w:szCs w:val="21"/>
                <w:lang w:eastAsia="zh-CN"/>
              </w:rPr>
              <w:t>原液车间</w:t>
            </w:r>
            <w:r>
              <w:rPr>
                <w:rFonts w:hint="eastAsia"/>
                <w:szCs w:val="21"/>
                <w:lang w:val="en-US" w:eastAsia="zh-CN"/>
              </w:rPr>
              <w:t>精提</w:t>
            </w:r>
            <w:r>
              <w:rPr>
                <w:rFonts w:hint="eastAsia"/>
                <w:szCs w:val="21"/>
                <w:lang w:eastAsia="zh-CN"/>
              </w:rPr>
              <w:t>间（有毒区</w:t>
            </w:r>
            <w:r>
              <w:rPr>
                <w:rFonts w:hint="eastAsia"/>
                <w:szCs w:val="21"/>
                <w:lang w:val="en-US" w:eastAsia="zh-CN"/>
              </w:rPr>
              <w:t>C+</w:t>
            </w:r>
            <w:r>
              <w:rPr>
                <w:rFonts w:hint="eastAsia"/>
                <w:iCs/>
                <w:color w:val="000000"/>
                <w:szCs w:val="21"/>
                <w:lang w:val="en-US" w:eastAsia="zh-CN"/>
              </w:rPr>
              <w:t>A级操作间）。</w:t>
            </w:r>
          </w:p>
        </w:tc>
        <w:tc>
          <w:tcPr>
            <w:tcW w:w="2125" w:type="dxa"/>
            <w:shd w:val="clear" w:color="auto" w:fill="auto"/>
            <w:vAlign w:val="center"/>
          </w:tcPr>
          <w:p>
            <w:pPr>
              <w:jc w:val="center"/>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val="en-US" w:eastAsia="zh-CN"/>
              </w:rPr>
            </w:pPr>
            <w:r>
              <w:rPr>
                <w:lang w:eastAsia="zh-CN"/>
              </w:rPr>
              <w:t>外形尺寸要求</w:t>
            </w:r>
            <w:r>
              <w:rPr>
                <w:rFonts w:hint="eastAsia" w:eastAsia="Times New Roman"/>
                <w:lang w:eastAsia="zh-CN"/>
              </w:rPr>
              <w:t>：</w:t>
            </w:r>
            <w:r>
              <w:rPr>
                <w:rFonts w:hint="eastAsia" w:eastAsia="Times New Roman"/>
                <w:lang w:val="en-US" w:eastAsia="zh-CN"/>
              </w:rPr>
              <w:t>小巧、轻便。</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val="en-US" w:eastAsia="zh-CN"/>
              </w:rPr>
            </w:pPr>
            <w:r>
              <w:rPr>
                <w:rFonts w:hint="eastAsia"/>
                <w:lang w:val="en-US" w:eastAsia="zh-CN"/>
              </w:rPr>
              <w:t>重量：≤</w:t>
            </w:r>
            <w:r>
              <w:rPr>
                <w:lang w:val="en-US" w:eastAsia="zh-CN"/>
              </w:rPr>
              <w:t>2</w:t>
            </w:r>
            <w:r>
              <w:rPr>
                <w:rFonts w:hint="eastAsia"/>
                <w:lang w:val="en-US" w:eastAsia="zh-CN"/>
              </w:rPr>
              <w:t>kg</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color w:val="000000"/>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2" w:edGrp="everyone"/>
          </w:p>
        </w:tc>
        <w:tc>
          <w:tcPr>
            <w:tcW w:w="9253" w:type="dxa"/>
            <w:gridSpan w:val="2"/>
            <w:shd w:val="clear" w:color="auto" w:fill="auto"/>
            <w:vAlign w:val="center"/>
          </w:tcPr>
          <w:p>
            <w:pPr>
              <w:jc w:val="both"/>
              <w:rPr>
                <w:szCs w:val="21"/>
                <w:lang w:eastAsia="zh-CN"/>
              </w:rPr>
            </w:pPr>
            <w:r>
              <w:rPr>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适应我公司工作环境温度：能适应18℃～26℃环境。</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适应我公司</w:t>
            </w:r>
            <w:r>
              <w:rPr>
                <w:rFonts w:hint="eastAsia"/>
                <w:lang w:eastAsia="zh-CN"/>
              </w:rPr>
              <w:t>工作环境湿度：至少包括</w:t>
            </w:r>
            <w:r>
              <w:rPr>
                <w:lang w:eastAsia="zh-CN"/>
              </w:rPr>
              <w:t>45%</w:t>
            </w:r>
            <w:r>
              <w:rPr>
                <w:rFonts w:hint="eastAsia"/>
                <w:lang w:eastAsia="zh-CN"/>
              </w:rPr>
              <w:t>～</w:t>
            </w:r>
            <w:r>
              <w:rPr>
                <w:lang w:eastAsia="zh-CN"/>
              </w:rPr>
              <w:t>65%</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A级/</w:t>
            </w:r>
            <w:r>
              <w:rPr>
                <w:rFonts w:hint="eastAsia"/>
                <w:lang w:eastAsia="zh-CN"/>
              </w:rPr>
              <w:t>C级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color w:val="000000"/>
                <w:lang w:val="en-US" w:eastAsia="zh-CN"/>
              </w:rPr>
              <w:t>22</w:t>
            </w:r>
            <w:r>
              <w:rPr>
                <w:iCs/>
                <w:color w:val="000000"/>
                <w:lang w:eastAsia="zh-CN"/>
              </w:rPr>
              <w:t>0±10%V，50±1H</w:t>
            </w:r>
            <w:r>
              <w:rPr>
                <w:rFonts w:hint="eastAsia"/>
                <w:iCs/>
                <w:color w:val="000000"/>
                <w:lang w:eastAsia="zh-CN"/>
              </w:rPr>
              <w:t>z</w:t>
            </w:r>
          </w:p>
        </w:tc>
        <w:tc>
          <w:tcPr>
            <w:tcW w:w="2125" w:type="dxa"/>
            <w:shd w:val="clear" w:color="auto" w:fill="auto"/>
            <w:vAlign w:val="center"/>
          </w:tcPr>
          <w:p>
            <w:pPr>
              <w:spacing w:line="276" w:lineRule="auto"/>
              <w:jc w:val="center"/>
              <w:rPr>
                <w:color w:val="000000"/>
                <w:lang w:val="en-US" w:eastAsia="zh-CN"/>
              </w:rPr>
            </w:pPr>
            <w:r>
              <w:rPr>
                <w:rFonts w:hint="eastAsia"/>
                <w:color w:val="000000"/>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i/>
                <w:color w:val="000000"/>
                <w:lang w:eastAsia="zh-CN"/>
              </w:rPr>
            </w:pPr>
            <w:r>
              <w:rPr>
                <w:rFonts w:hint="eastAsia"/>
                <w:szCs w:val="21"/>
                <w:lang w:val="en-US" w:eastAsia="zh-CN"/>
              </w:rPr>
              <w:t>设备表面：表面无明显的划痕、凹陷、脱落、裂纹、锈蚀以及其它肉眼可见的外观缺陷。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val="en-US" w:eastAsia="zh-CN"/>
              </w:rPr>
            </w:pPr>
            <w:r>
              <w:rPr>
                <w:rFonts w:hint="eastAsia"/>
                <w:color w:val="000000"/>
                <w:lang w:val="en-US" w:eastAsia="zh-CN"/>
              </w:rPr>
              <w:t>泵体外壳表面特殊涂层，表面</w:t>
            </w:r>
            <w:r>
              <w:rPr>
                <w:rFonts w:hint="eastAsia"/>
                <w:color w:val="000000"/>
                <w:lang w:eastAsia="zh-CN"/>
              </w:rPr>
              <w:t>需耐受消毒剂、蔗糖溶液、</w:t>
            </w:r>
            <w:r>
              <w:rPr>
                <w:rFonts w:hint="eastAsia" w:ascii="宋体" w:hAnsi="宋体"/>
                <w:color w:val="000000"/>
                <w:szCs w:val="21"/>
                <w:lang w:eastAsia="zh-CN"/>
              </w:rPr>
              <w:t>磷酸缓冲液等酸碱性溶液，不易锈蚀。</w:t>
            </w:r>
            <w:r>
              <w:rPr>
                <w:rFonts w:hint="eastAsia" w:ascii="宋体" w:hAnsi="宋体"/>
                <w:szCs w:val="21"/>
                <w:lang w:val="en-US" w:eastAsia="zh-CN"/>
              </w:rPr>
              <w:t>全机身为防尘、防水设计。</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ascii="宋体" w:hAnsi="宋体"/>
                <w:szCs w:val="21"/>
                <w:lang w:val="en-US" w:eastAsia="zh-CN"/>
              </w:rPr>
              <w:t>系统外表面耐受常见的消毒剂处理（如紫外照射、75%酒精、1%84消毒液或0.1%新洁尔灭、</w:t>
            </w:r>
            <w:r>
              <w:rPr>
                <w:rFonts w:hint="eastAsia" w:ascii="宋体" w:hAnsi="宋体"/>
                <w:color w:val="auto"/>
                <w:szCs w:val="21"/>
                <w:lang w:val="en-US" w:eastAsia="zh-CN"/>
              </w:rPr>
              <w:t>臭氧等</w:t>
            </w:r>
            <w:r>
              <w:rPr>
                <w:rFonts w:hint="eastAsia" w:ascii="宋体" w:hAnsi="宋体"/>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ascii="宋体" w:hAnsi="宋体"/>
                <w:szCs w:val="21"/>
                <w:lang w:val="en-US" w:eastAsia="zh-CN"/>
              </w:rPr>
              <w:t>防护等级IP</w:t>
            </w:r>
            <w:r>
              <w:rPr>
                <w:rFonts w:ascii="宋体" w:hAnsi="宋体"/>
                <w:szCs w:val="21"/>
                <w:lang w:val="en-US" w:eastAsia="zh-CN"/>
              </w:rPr>
              <w:t>31</w:t>
            </w:r>
            <w:r>
              <w:rPr>
                <w:rFonts w:hint="eastAsia" w:ascii="宋体" w:hAnsi="宋体"/>
                <w:szCs w:val="21"/>
                <w:lang w:val="en-US" w:eastAsia="zh-CN"/>
              </w:rPr>
              <w:t>或以上。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val="en-US" w:eastAsia="zh-CN"/>
              </w:rPr>
            </w:pPr>
            <w:r>
              <w:rPr>
                <w:rFonts w:hint="eastAsia" w:ascii="宋体" w:hAnsi="宋体"/>
                <w:szCs w:val="21"/>
                <w:lang w:val="en-US" w:eastAsia="zh-CN"/>
              </w:rPr>
              <w:t>驱动器所有外部部件的连接处都进行密封处理及平衡泵内压力，并阻止水和腐蚀性蒸汽的进入，具有低脉冲，流速稳定，流速可调（可校准）。有定时，定量以及可编辑流量程序功能。</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rPr>
                <w:rFonts w:hint="eastAsia" w:ascii="宋体" w:hAnsi="宋体"/>
                <w:szCs w:val="21"/>
                <w:lang w:val="en-US" w:eastAsia="zh-CN"/>
              </w:rPr>
              <w:t>触摸屏操作界面，易于操作，应配有中英文操作界面。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spacing w:line="276" w:lineRule="auto"/>
              <w:jc w:val="both"/>
              <w:rPr>
                <w:rFonts w:ascii="宋体" w:hAnsi="宋体" w:cs="宋体"/>
                <w:szCs w:val="22"/>
                <w:highlight w:val="yellow"/>
                <w:lang w:val="en-US" w:eastAsia="zh-CN"/>
              </w:rPr>
            </w:pPr>
            <w:r>
              <w:rPr>
                <w:color w:val="000000"/>
                <w:szCs w:val="21"/>
              </w:rPr>
              <w:t>（</w:t>
            </w:r>
            <w:r>
              <w:rPr>
                <w:color w:val="000000"/>
                <w:szCs w:val="21"/>
                <w:lang w:eastAsia="zh-CN"/>
              </w:rPr>
              <w:t>6</w:t>
            </w:r>
            <w:r>
              <w:rPr>
                <w:color w:val="000000"/>
                <w:szCs w:val="21"/>
              </w:rPr>
              <w:t>）安全标识。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color w:val="000000"/>
                <w:szCs w:val="21"/>
                <w:lang w:val="en-US" w:eastAsia="zh-CN"/>
              </w:rPr>
              <w:t>泵管要求：泵管内径适用于16#泵管（3.2mm*6.4mm），耐酸碱腐蚀，能耐受2%-5%的NaOH浸泡12h。可以兼容1</w:t>
            </w:r>
            <w:r>
              <w:rPr>
                <w:color w:val="000000"/>
                <w:szCs w:val="21"/>
                <w:lang w:val="en-US" w:eastAsia="zh-CN"/>
              </w:rPr>
              <w:t>3#</w:t>
            </w:r>
            <w:r>
              <w:rPr>
                <w:rFonts w:hint="eastAsia"/>
                <w:color w:val="000000"/>
                <w:szCs w:val="21"/>
                <w:lang w:val="en-US" w:eastAsia="zh-CN"/>
              </w:rPr>
              <w:t>，1</w:t>
            </w:r>
            <w:r>
              <w:rPr>
                <w:color w:val="000000"/>
                <w:szCs w:val="21"/>
                <w:lang w:val="en-US" w:eastAsia="zh-CN"/>
              </w:rPr>
              <w:t>4#</w:t>
            </w:r>
            <w:r>
              <w:rPr>
                <w:rFonts w:hint="eastAsia"/>
                <w:color w:val="000000"/>
                <w:szCs w:val="21"/>
                <w:lang w:val="en-US" w:eastAsia="zh-CN"/>
              </w:rPr>
              <w:t>，1</w:t>
            </w:r>
            <w:r>
              <w:rPr>
                <w:color w:val="000000"/>
                <w:szCs w:val="21"/>
                <w:lang w:val="en-US" w:eastAsia="zh-CN"/>
              </w:rPr>
              <w:t>6#</w:t>
            </w:r>
            <w:r>
              <w:rPr>
                <w:rFonts w:hint="eastAsia"/>
                <w:color w:val="000000"/>
                <w:szCs w:val="21"/>
                <w:lang w:val="en-US" w:eastAsia="zh-CN"/>
              </w:rPr>
              <w:t>，2</w:t>
            </w:r>
            <w:r>
              <w:rPr>
                <w:color w:val="000000"/>
                <w:szCs w:val="21"/>
                <w:lang w:val="en-US" w:eastAsia="zh-CN"/>
              </w:rPr>
              <w:t>5#</w:t>
            </w:r>
            <w:r>
              <w:rPr>
                <w:rFonts w:hint="eastAsia"/>
                <w:color w:val="000000"/>
                <w:szCs w:val="21"/>
                <w:lang w:val="en-US" w:eastAsia="zh-CN"/>
              </w:rPr>
              <w:t>泵管。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val="en-US" w:eastAsia="zh-CN"/>
              </w:rPr>
            </w:pPr>
            <w:r>
              <w:rPr>
                <w:rFonts w:hint="eastAsia" w:ascii="宋体" w:hAnsi="宋体"/>
                <w:szCs w:val="21"/>
                <w:lang w:val="en-US" w:eastAsia="zh-CN"/>
              </w:rPr>
              <w:t>泵头：采用进口知名品牌，能提供平稳低脉冲的流速。泵头符合洁净车间无尘要求，易于清洗、维护简单，可以单手操作安装泵管。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4"/>
      <w:bookmarkEnd w:id="25"/>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2"/>
        <w:spacing w:before="0" w:line="360" w:lineRule="auto"/>
        <w:jc w:val="left"/>
        <w:rPr>
          <w:bCs/>
          <w:i/>
          <w:color w:val="4472C4"/>
          <w:kern w:val="44"/>
          <w:szCs w:val="21"/>
          <w:lang w:eastAsia="zh-CN"/>
        </w:rPr>
      </w:pPr>
      <w:permStart w:id="19" w:edGrp="everyone"/>
    </w:p>
    <w:permEnd w:id="19"/>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20" w:edGrp="everyone"/>
          </w:p>
        </w:tc>
        <w:tc>
          <w:tcPr>
            <w:tcW w:w="9253" w:type="dxa"/>
            <w:gridSpan w:val="2"/>
            <w:shd w:val="clear" w:color="auto" w:fill="auto"/>
            <w:vAlign w:val="center"/>
          </w:tcPr>
          <w:p>
            <w:pPr>
              <w:jc w:val="both"/>
              <w:rPr>
                <w:szCs w:val="21"/>
                <w:lang w:eastAsia="zh-CN"/>
              </w:rPr>
            </w:pPr>
            <w:r>
              <w:rPr>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lang w:eastAsia="zh-CN"/>
              </w:rPr>
            </w:pPr>
            <w:r>
              <w:rPr>
                <w:rFonts w:hint="eastAsia"/>
                <w:lang w:val="en-US" w:eastAsia="zh-CN"/>
              </w:rPr>
              <w:t>每台</w:t>
            </w:r>
            <w:r>
              <w:rPr>
                <w:lang w:eastAsia="zh-CN"/>
              </w:rPr>
              <w:t>随设备配备</w:t>
            </w:r>
            <w:r>
              <w:rPr>
                <w:rFonts w:hint="eastAsia"/>
                <w:lang w:eastAsia="zh-CN"/>
              </w:rPr>
              <w:t>电源线、</w:t>
            </w:r>
            <w:r>
              <w:rPr>
                <w:rFonts w:hint="eastAsia"/>
                <w:lang w:val="en-US" w:eastAsia="zh-CN"/>
              </w:rPr>
              <w:t>触屏笔1支</w:t>
            </w:r>
            <w:r>
              <w:rPr>
                <w:rFonts w:hint="eastAsia"/>
                <w:lang w:eastAsia="zh-CN"/>
              </w:rPr>
              <w:t>以及进口标准</w:t>
            </w:r>
            <w:r>
              <w:rPr>
                <w:lang w:eastAsia="zh-CN"/>
              </w:rPr>
              <w:t>泵管</w:t>
            </w:r>
            <w:r>
              <w:rPr>
                <w:rFonts w:hint="eastAsia"/>
                <w:lang w:val="en-US" w:eastAsia="zh-CN"/>
              </w:rPr>
              <w:t>15</w:t>
            </w:r>
            <w:r>
              <w:rPr>
                <w:lang w:eastAsia="zh-CN"/>
              </w:rPr>
              <w:t>米</w:t>
            </w:r>
            <w:r>
              <w:rPr>
                <w:rFonts w:hint="eastAsia"/>
                <w:lang w:eastAsia="zh-CN"/>
              </w:rPr>
              <w:t>。</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
                <w:szCs w:val="21"/>
                <w:lang w:val="en-US" w:eastAsia="zh-CN"/>
              </w:rPr>
            </w:pPr>
            <w:r>
              <w:rPr>
                <w:rFonts w:hint="eastAsia"/>
                <w:color w:val="000000" w:themeColor="text1"/>
                <w:lang w:val="en-US" w:eastAsia="zh-CN"/>
              </w:rPr>
              <w:t>显示屏有流量显示，</w:t>
            </w:r>
            <w:r>
              <w:rPr>
                <w:rFonts w:hint="eastAsia" w:ascii="宋体" w:hAnsi="宋体"/>
                <w:color w:val="000000" w:themeColor="text1"/>
                <w:szCs w:val="21"/>
                <w:lang w:val="en-US" w:eastAsia="zh-CN"/>
              </w:rPr>
              <w:t>泵能提供流量范围50-100ml/min，且流量可调(可校准）；流量精度≤±</w:t>
            </w:r>
            <w:r>
              <w:rPr>
                <w:rFonts w:ascii="宋体" w:hAnsi="宋体"/>
                <w:color w:val="000000" w:themeColor="text1"/>
                <w:szCs w:val="21"/>
                <w:lang w:val="en-US" w:eastAsia="zh-CN"/>
              </w:rPr>
              <w:t>1</w:t>
            </w:r>
            <w:r>
              <w:rPr>
                <w:rFonts w:hint="eastAsia" w:ascii="宋体" w:hAnsi="宋体"/>
                <w:color w:val="000000" w:themeColor="text1"/>
                <w:szCs w:val="21"/>
                <w:lang w:val="en-US"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val="en-US"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lang w:val="en-US" w:eastAsia="zh-CN"/>
              </w:rPr>
            </w:pPr>
            <w:r>
              <w:rPr>
                <w:rFonts w:hint="eastAsia"/>
                <w:color w:val="333333"/>
                <w:szCs w:val="21"/>
                <w:shd w:val="clear" w:color="auto" w:fill="FFFFFF"/>
                <w:lang w:eastAsia="zh-CN"/>
              </w:rPr>
              <w:t>可以提供连续运行、体积分配和时间分配模式——体积和时间模式下的批量控制和间隔/关闭时间功能。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ascii="宋体" w:hAnsi="宋体"/>
                <w:color w:val="0000FF"/>
                <w:szCs w:val="21"/>
                <w:lang w:val="en-US" w:eastAsia="zh-CN"/>
              </w:rPr>
            </w:pPr>
            <w:r>
              <w:rPr>
                <w:rFonts w:hint="eastAsia" w:cs="Calibri"/>
                <w:szCs w:val="21"/>
                <w:lang w:val="en-US" w:eastAsia="zh-CN"/>
              </w:rPr>
              <w:t>泵管可耐受</w:t>
            </w:r>
            <w:r>
              <w:rPr>
                <w:rFonts w:cs="Calibri"/>
                <w:szCs w:val="21"/>
                <w:lang w:val="en-US" w:eastAsia="zh-CN"/>
              </w:rPr>
              <w:t>2.7 bar</w:t>
            </w:r>
            <w:r>
              <w:rPr>
                <w:rFonts w:hint="eastAsia" w:cs="Calibri"/>
                <w:szCs w:val="21"/>
                <w:lang w:val="en-US" w:eastAsia="zh-CN"/>
              </w:rPr>
              <w:t>压力。</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rFonts w:cs="Calibri"/>
                <w:szCs w:val="21"/>
                <w:lang w:val="en-US" w:eastAsia="zh-CN"/>
              </w:rPr>
            </w:pPr>
            <w:r>
              <w:rPr>
                <w:rFonts w:hint="eastAsia"/>
                <w:color w:val="333333"/>
                <w:szCs w:val="21"/>
                <w:shd w:val="clear" w:color="auto" w:fill="FFFFFF"/>
                <w:lang w:eastAsia="zh-CN"/>
              </w:rPr>
              <w:t>在容量分配模式下提供防滴漏和速度斜坡 ，确保准确性并最大限度地减少样品损失</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cs="Calibri"/>
                <w:szCs w:val="21"/>
                <w:lang w:val="en-US" w:eastAsia="zh-CN"/>
              </w:rPr>
            </w:pPr>
            <w:r>
              <w:rPr>
                <w:color w:val="333333"/>
              </w:rPr>
              <w:t>电压/频率:</w:t>
            </w:r>
            <w:r>
              <w:rPr>
                <w:rFonts w:hint="eastAsia"/>
                <w:color w:val="333333"/>
                <w:lang w:val="en-US" w:eastAsia="zh-CN"/>
              </w:rPr>
              <w:t>22</w:t>
            </w:r>
            <w:r>
              <w:rPr>
                <w:color w:val="333333"/>
              </w:rPr>
              <w:t>0V，</w:t>
            </w:r>
            <w:r>
              <w:rPr>
                <w:rFonts w:hint="eastAsia" w:ascii="宋体" w:hAnsi="宋体" w:cs="宋体"/>
                <w:color w:val="333333"/>
                <w:szCs w:val="22"/>
                <w:highlight w:val="yellow"/>
                <w:lang w:val="en-US"/>
              </w:rPr>
              <w:t xml:space="preserve"> </w:t>
            </w:r>
            <w:r>
              <w:rPr>
                <w:rFonts w:hint="eastAsia" w:cs="Calibri"/>
                <w:szCs w:val="21"/>
                <w:lang w:val="en-US" w:eastAsia="zh-CN"/>
              </w:rPr>
              <w:t>50Hz。</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rFonts w:cs="Calibri"/>
                <w:szCs w:val="21"/>
                <w:lang w:val="en-US" w:eastAsia="zh-CN"/>
              </w:rPr>
            </w:pPr>
            <w:r>
              <w:rPr>
                <w:rFonts w:hint="eastAsia"/>
                <w:color w:val="333333"/>
                <w:lang w:val="en-US" w:eastAsia="zh-CN"/>
              </w:rPr>
              <w:t>最小转速控制0</w:t>
            </w:r>
            <w:r>
              <w:rPr>
                <w:color w:val="333333"/>
                <w:lang w:val="en-US" w:eastAsia="zh-CN"/>
              </w:rPr>
              <w:t xml:space="preserve">.1 </w:t>
            </w:r>
            <w:r>
              <w:rPr>
                <w:rFonts w:hint="eastAsia"/>
                <w:color w:val="333333"/>
                <w:lang w:val="en-US" w:eastAsia="zh-CN"/>
              </w:rPr>
              <w:t>rpm</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color w:val="333333"/>
                <w:lang w:val="en-US" w:eastAsia="zh-CN"/>
              </w:rPr>
            </w:pPr>
            <w:r>
              <w:rPr>
                <w:rFonts w:hint="eastAsia"/>
                <w:lang w:eastAsia="zh-CN"/>
              </w:rPr>
              <w:t>辊轴材质需要</w:t>
            </w:r>
            <w:r>
              <w:rPr>
                <w:lang w:eastAsia="zh-CN"/>
              </w:rPr>
              <w:t>ERTALYTE® TX</w:t>
            </w:r>
            <w:r>
              <w:rPr>
                <w:rFonts w:hint="eastAsia"/>
                <w:lang w:eastAsia="zh-CN"/>
              </w:rPr>
              <w:t>聚酯材质，滚轮数≥3个，脉冲小，精度高，耐腐蚀。</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lang w:eastAsia="zh-CN"/>
              </w:rPr>
            </w:pPr>
            <w:r>
              <w:rPr>
                <w:rFonts w:hint="eastAsia"/>
                <w:lang w:eastAsia="zh-CN"/>
              </w:rPr>
              <w:t>具有双向电机，可逆时针和顺时针运转。</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ermStart w:id="30" w:edGrp="everyone"/>
            <w:permEnd w:id="30"/>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color w:val="333333"/>
                <w:szCs w:val="21"/>
                <w:shd w:val="clear" w:color="auto" w:fill="FFFFFF"/>
                <w:lang w:eastAsia="zh-CN"/>
              </w:rPr>
              <w:t>泵头打开时，开头传感器停止驱动。</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bookmarkStart w:id="28" w:name="_Toc522716122"/>
            <w:bookmarkStart w:id="29" w:name="_Toc522107742"/>
            <w:bookmarkStart w:id="30" w:name="_Toc482370359"/>
            <w:bookmarkStart w:id="31" w:name="_Toc482370767"/>
            <w:bookmarkStart w:id="32" w:name="_Toc483400317"/>
            <w:bookmarkStart w:id="33" w:name="_Toc482369815"/>
            <w:bookmarkStart w:id="34" w:name="_Toc482360291"/>
            <w:bookmarkStart w:id="35" w:name="_Toc482359946"/>
            <w:bookmarkStart w:id="36" w:name="_Toc483227237"/>
            <w:bookmarkStart w:id="37" w:name="_Toc482625289"/>
            <w:bookmarkStart w:id="38" w:name="_Toc482717202"/>
            <w:bookmarkStart w:id="39" w:name="_Toc481702480"/>
            <w:bookmarkStart w:id="40" w:name="_Toc482370071"/>
            <w:bookmarkStart w:id="41" w:name="_Toc482370151"/>
          </w:p>
        </w:tc>
        <w:tc>
          <w:tcPr>
            <w:tcW w:w="7128" w:type="dxa"/>
            <w:shd w:val="clear" w:color="auto" w:fill="auto"/>
            <w:vAlign w:val="center"/>
          </w:tcPr>
          <w:p>
            <w:pPr>
              <w:spacing w:line="276" w:lineRule="auto"/>
              <w:jc w:val="both"/>
              <w:rPr>
                <w:szCs w:val="21"/>
                <w:lang w:eastAsia="zh-CN"/>
              </w:rPr>
            </w:pPr>
            <w:r>
              <w:rPr>
                <w:rFonts w:hint="eastAsia"/>
                <w:szCs w:val="21"/>
                <w:lang w:eastAsia="zh-CN"/>
              </w:rPr>
              <w:t>蠕动泵泵头及泵体要耐酸碱,不易变形，易清洗。</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液晶屏幕显示</w:t>
            </w:r>
            <w:r>
              <w:rPr>
                <w:rFonts w:hint="eastAsia"/>
                <w:lang w:val="en-US" w:eastAsia="zh-CN"/>
              </w:rPr>
              <w:t>能显示流量</w:t>
            </w:r>
            <w:r>
              <w:rPr>
                <w:lang w:eastAsia="zh-CN"/>
              </w:rPr>
              <w:t>，校准后准确显示当前转速及流量状态</w:t>
            </w:r>
            <w:r>
              <w:rPr>
                <w:rFonts w:hint="eastAsia"/>
                <w:lang w:eastAsia="zh-CN"/>
              </w:rPr>
              <w:t>。使用标准尺寸的接头及泵管时，实际流速值应为设定流速的值的</w:t>
            </w:r>
            <w:r>
              <w:rPr>
                <w:rFonts w:hint="eastAsia"/>
                <w:lang w:val="en-US" w:eastAsia="zh-CN"/>
              </w:rPr>
              <w:t>±</w:t>
            </w:r>
            <w:r>
              <w:rPr>
                <w:lang w:val="en-US" w:eastAsia="zh-CN"/>
              </w:rPr>
              <w:t>1%</w:t>
            </w:r>
            <w:r>
              <w:rPr>
                <w:rFonts w:hint="eastAsia"/>
                <w:lang w:val="en-US" w:eastAsia="zh-CN"/>
              </w:rPr>
              <w:t>。</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有屏锁按键防止误操作。</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操作界面有三级访问权限。</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permEnd w:id="31"/>
    </w:tbl>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42"/>
        <w:spacing w:before="0" w:line="360" w:lineRule="auto"/>
        <w:ind w:left="425"/>
        <w:jc w:val="left"/>
        <w:rPr>
          <w:i/>
          <w:color w:val="4472C4"/>
          <w:szCs w:val="21"/>
          <w:lang w:eastAsia="zh-CN"/>
        </w:rPr>
      </w:pPr>
      <w:permStart w:id="32" w:edGrp="everyone"/>
    </w:p>
    <w:permEnd w:id="32"/>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szCs w:val="21"/>
                <w:lang w:eastAsia="zh-CN"/>
              </w:rPr>
            </w:pPr>
            <w:r>
              <w:rPr>
                <w:lang w:eastAsia="zh-CN"/>
              </w:rPr>
              <w:t>泵盖保护开关：具有开盖自动停机保护功能</w:t>
            </w:r>
            <w:r>
              <w:rPr>
                <w:rFonts w:hint="eastAsia"/>
                <w:lang w:eastAsia="zh-CN"/>
              </w:rPr>
              <w:t>。</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lang w:eastAsia="zh-CN"/>
              </w:rPr>
            </w:pPr>
            <w:r>
              <w:rPr>
                <w:lang w:eastAsia="zh-CN"/>
              </w:rPr>
              <w:t>自动体积分配范围：0.004～</w:t>
            </w:r>
            <w:r>
              <w:rPr>
                <w:lang w:val="en-US" w:eastAsia="zh-CN"/>
              </w:rPr>
              <w:t>365</w:t>
            </w:r>
            <w:r>
              <w:rPr>
                <w:lang w:eastAsia="zh-CN"/>
              </w:rPr>
              <w:t>ml/</w:t>
            </w:r>
            <w:r>
              <w:rPr>
                <w:rFonts w:hint="eastAsia"/>
                <w:lang w:eastAsia="zh-CN"/>
              </w:rPr>
              <w:t>min</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lang w:eastAsia="zh-CN"/>
              </w:rPr>
            </w:pPr>
            <w:r>
              <w:rPr>
                <w:rFonts w:ascii="宋体" w:hAnsi="宋体" w:cs="宋体"/>
                <w:szCs w:val="21"/>
                <w:lang w:val="en-US" w:eastAsia="zh-CN"/>
              </w:rPr>
              <w:t>流量精度控制误差≤</w:t>
            </w:r>
            <w:r>
              <w:rPr>
                <w:rFonts w:hint="eastAsia" w:ascii="宋体" w:hAnsi="宋体" w:cs="宋体"/>
                <w:szCs w:val="21"/>
                <w:lang w:val="en-US" w:eastAsia="zh-CN"/>
              </w:rPr>
              <w:t>±</w:t>
            </w:r>
            <w:r>
              <w:rPr>
                <w:szCs w:val="21"/>
                <w:lang w:val="en-US" w:eastAsia="zh-CN"/>
              </w:rPr>
              <w:t>1%</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ermStart w:id="36" w:edGrp="everyone"/>
            <w:permEnd w:id="36"/>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7" w:edGrp="everyone"/>
          </w:p>
        </w:tc>
        <w:tc>
          <w:tcPr>
            <w:tcW w:w="9253" w:type="dxa"/>
            <w:gridSpan w:val="2"/>
            <w:shd w:val="clear" w:color="auto" w:fill="auto"/>
            <w:vAlign w:val="center"/>
          </w:tcPr>
          <w:p>
            <w:pPr>
              <w:spacing w:line="276" w:lineRule="auto"/>
              <w:jc w:val="both"/>
              <w:rPr>
                <w:lang w:val="en-US" w:eastAsia="zh-CN"/>
              </w:rPr>
            </w:pPr>
            <w:r>
              <w:pict>
                <v:line id="_x0000_s2050" o:spid="_x0000_s2050" o:spt="20" style="position:absolute;left:0pt;margin-left:352.9pt;margin-top:0.6pt;height:33.9pt;width:0.05pt;z-index:251659264;mso-width-relative:page;mso-height-relative:page;" coordsize="21600,21600">
                  <v:path arrowok="t"/>
                  <v:fill focussize="0,0"/>
                  <v:stroke/>
                  <v:imagedata o:title=""/>
                  <o:lock v:ext="edit"/>
                </v:line>
              </w:pict>
            </w:r>
            <w:r>
              <w:rPr>
                <w:rFonts w:hint="eastAsia"/>
                <w:lang w:eastAsia="zh-CN"/>
              </w:rPr>
              <w:t>通过Wi-Fi或标准以太网(RJ45)插孔连接互联网。USB连接允许下载固</w:t>
            </w:r>
            <w:r>
              <w:rPr>
                <w:rFonts w:hint="eastAsia"/>
                <w:lang w:val="en-US" w:eastAsia="zh-CN"/>
              </w:rPr>
              <w:t xml:space="preserve">                              关键</w:t>
            </w:r>
          </w:p>
          <w:p>
            <w:pPr>
              <w:spacing w:line="276" w:lineRule="auto"/>
              <w:jc w:val="both"/>
              <w:rPr>
                <w:szCs w:val="21"/>
                <w:lang w:eastAsia="zh-CN"/>
              </w:rPr>
            </w:pPr>
            <w:r>
              <w:rPr>
                <w:rFonts w:hint="eastAsia"/>
                <w:lang w:eastAsia="zh-CN"/>
              </w:rPr>
              <w:t>件更新加载到泵。</w:t>
            </w:r>
          </w:p>
        </w:tc>
      </w:tr>
      <w:permEnd w:id="3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2"/>
        <w:spacing w:before="0" w:line="360" w:lineRule="auto"/>
        <w:jc w:val="left"/>
        <w:rPr>
          <w:i/>
          <w:color w:val="4472C4"/>
          <w:szCs w:val="21"/>
          <w:lang w:eastAsia="zh-CN"/>
        </w:rPr>
      </w:pPr>
      <w:permStart w:id="38" w:edGrp="everyone"/>
    </w:p>
    <w:permEnd w:id="3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39" w:edGrp="everyone"/>
          </w:p>
        </w:tc>
        <w:tc>
          <w:tcPr>
            <w:tcW w:w="9253" w:type="dxa"/>
            <w:gridSpan w:val="2"/>
            <w:shd w:val="clear" w:color="auto" w:fill="auto"/>
            <w:vAlign w:val="center"/>
          </w:tcPr>
          <w:p>
            <w:pPr>
              <w:jc w:val="both"/>
              <w:rPr>
                <w:szCs w:val="21"/>
                <w:lang w:eastAsia="zh-CN"/>
              </w:rPr>
            </w:pPr>
            <w:r>
              <w:rPr>
                <w:lang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val="en-US" w:eastAsia="zh-CN"/>
              </w:rPr>
              <w:t>设备有漏电保护功能（</w:t>
            </w:r>
            <w:r>
              <w:rPr>
                <w:rFonts w:hint="eastAsia"/>
                <w:lang w:val="en-US" w:eastAsia="zh-CN"/>
              </w:rPr>
              <w:t>过流保护功能，电气设备的金属外壳要有良好的接地）。</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rPr>
                <w:rFonts w:hint="eastAsia" w:ascii="宋体" w:hAnsi="宋体"/>
                <w:szCs w:val="21"/>
                <w:lang w:val="en-US" w:eastAsia="zh-CN"/>
              </w:rPr>
              <w:t>日常维护中要确保操作人员不会暴露在危险环境下；设备不能有锋利的边缘，以防止伤害到操作人员；设备带有接地防静电措施。</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t>有断电保护</w:t>
            </w:r>
            <w:r>
              <w:rPr>
                <w:rFonts w:hint="eastAsia"/>
                <w:lang w:eastAsia="zh-CN"/>
              </w:rPr>
              <w:t>功能</w:t>
            </w:r>
            <w:r>
              <w:t>。</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permEnd w:id="4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2"/>
        <w:spacing w:before="0" w:line="360" w:lineRule="auto"/>
        <w:ind w:left="357"/>
        <w:jc w:val="left"/>
        <w:rPr>
          <w:i/>
          <w:szCs w:val="21"/>
          <w:lang w:eastAsia="zh-CN"/>
        </w:rPr>
      </w:pPr>
      <w:permStart w:id="41" w:edGrp="everyone"/>
    </w:p>
    <w:permEnd w:id="41"/>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jc w:val="both"/>
              <w:rPr>
                <w:szCs w:val="21"/>
                <w:lang w:eastAsia="zh-CN"/>
              </w:rPr>
            </w:pPr>
            <w:r>
              <w:rPr>
                <w:rFonts w:hint="eastAsia"/>
                <w:szCs w:val="21"/>
                <w:lang w:eastAsia="zh-CN"/>
              </w:rPr>
              <w:t>供应商应提供所有组件、系统功能配置清单、说明书及合格证书，包含各组件名称、编号、型号、规格、品牌、材质等，需设备开箱验收时提交。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jc w:val="both"/>
              <w:rPr>
                <w:szCs w:val="21"/>
                <w:lang w:eastAsia="zh-CN"/>
              </w:rPr>
            </w:pPr>
            <w:r>
              <w:rPr>
                <w:rFonts w:hint="eastAsia" w:ascii="Calibri" w:hAnsi="Calibri" w:cs="Calibri"/>
                <w:lang w:eastAsia="zh-CN"/>
              </w:rPr>
              <w:t>卖方发运清单及相关检验报告（如说明、清单、证书、报告、验证文件、调试文件等）</w:t>
            </w:r>
            <w:r>
              <w:rPr>
                <w:rFonts w:hint="eastAsia" w:ascii="Calibri" w:hAnsi="Calibri" w:cs="Calibri"/>
                <w:szCs w:val="22"/>
                <w:lang w:eastAsia="zh-CN"/>
              </w:rPr>
              <w:t>需设备开箱验收时提交。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jc w:val="both"/>
              <w:rPr>
                <w:szCs w:val="21"/>
                <w:lang w:eastAsia="zh-CN"/>
              </w:rPr>
            </w:pPr>
            <w:r>
              <w:rPr>
                <w:rFonts w:hint="eastAsia"/>
                <w:szCs w:val="21"/>
                <w:lang w:val="en-US" w:eastAsia="zh-CN"/>
              </w:rPr>
              <w:t>系统设计规格、功能配置清单&amp;功能说明，包含各组件名称、编号、型号、规格、品牌、材质等。</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jc w:val="both"/>
              <w:rPr>
                <w:szCs w:val="21"/>
                <w:lang w:eastAsia="zh-CN"/>
              </w:rPr>
            </w:pPr>
            <w:r>
              <w:rPr>
                <w:rFonts w:hint="eastAsia"/>
                <w:szCs w:val="21"/>
                <w:lang w:val="en-US" w:eastAsia="zh-CN"/>
              </w:rPr>
              <w:t>设备操作手册（SOP）：语言为中文，应说明校准周期，并能提供校准服务。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val="en-US" w:eastAsia="zh-CN"/>
              </w:rPr>
            </w:pPr>
            <w:r>
              <w:rPr>
                <w:rFonts w:hint="eastAsia" w:cs="宋体"/>
                <w:lang w:val="en-US" w:eastAsia="zh-CN"/>
              </w:rPr>
              <w:t>提交文件时限要求</w:t>
            </w:r>
          </w:p>
          <w:p>
            <w:pPr>
              <w:pStyle w:val="17"/>
              <w:spacing w:after="120" w:line="360" w:lineRule="auto"/>
              <w:rPr>
                <w:sz w:val="21"/>
                <w:szCs w:val="21"/>
                <w:lang w:val="en-US" w:eastAsia="zh-CN"/>
              </w:rPr>
            </w:pPr>
            <w:r>
              <w:rPr>
                <w:sz w:val="21"/>
                <w:szCs w:val="21"/>
                <w:lang w:val="en-US" w:eastAsia="zh-CN"/>
              </w:rPr>
              <w:t>1.</w:t>
            </w:r>
            <w:r>
              <w:rPr>
                <w:rFonts w:hint="eastAsia" w:cs="宋体"/>
                <w:sz w:val="21"/>
                <w:szCs w:val="21"/>
                <w:lang w:val="en-US" w:eastAsia="zh-CN"/>
              </w:rPr>
              <w:t>报警及各种报警产生的原因和处理建议清单。提交阶段设备开箱验收。</w:t>
            </w:r>
          </w:p>
          <w:p>
            <w:pPr>
              <w:pStyle w:val="17"/>
              <w:spacing w:after="120" w:line="360" w:lineRule="auto"/>
              <w:rPr>
                <w:sz w:val="21"/>
                <w:szCs w:val="21"/>
                <w:lang w:val="en-US" w:eastAsia="zh-CN"/>
              </w:rPr>
            </w:pPr>
            <w:r>
              <w:rPr>
                <w:sz w:val="21"/>
                <w:szCs w:val="21"/>
                <w:lang w:val="en-US" w:eastAsia="zh-CN"/>
              </w:rPr>
              <w:t>2.</w:t>
            </w:r>
            <w:r>
              <w:rPr>
                <w:rFonts w:hint="eastAsia" w:cs="宋体"/>
                <w:sz w:val="21"/>
                <w:szCs w:val="21"/>
                <w:lang w:val="en-US" w:eastAsia="zh-CN"/>
              </w:rPr>
              <w:t>投标文件、合同及订单。提交阶段设备开箱验收。</w:t>
            </w:r>
          </w:p>
          <w:p>
            <w:pPr>
              <w:pStyle w:val="17"/>
              <w:spacing w:after="120" w:line="360" w:lineRule="auto"/>
              <w:rPr>
                <w:sz w:val="21"/>
                <w:szCs w:val="21"/>
                <w:lang w:val="en-US" w:eastAsia="zh-CN"/>
              </w:rPr>
            </w:pPr>
            <w:r>
              <w:rPr>
                <w:sz w:val="21"/>
                <w:szCs w:val="21"/>
                <w:lang w:val="en-US" w:eastAsia="zh-CN"/>
              </w:rPr>
              <w:t>3.</w:t>
            </w:r>
            <w:r>
              <w:rPr>
                <w:rFonts w:hint="eastAsia" w:cs="宋体"/>
                <w:sz w:val="21"/>
                <w:szCs w:val="21"/>
                <w:lang w:val="en-US" w:eastAsia="zh-CN"/>
              </w:rPr>
              <w:t>卖方发运清单及相关检验报告。提交阶段设备开箱验收。</w:t>
            </w:r>
          </w:p>
          <w:p>
            <w:pPr>
              <w:pStyle w:val="17"/>
              <w:spacing w:after="120" w:line="360" w:lineRule="auto"/>
              <w:rPr>
                <w:sz w:val="21"/>
                <w:szCs w:val="21"/>
                <w:lang w:val="en-US" w:eastAsia="zh-CN"/>
              </w:rPr>
            </w:pPr>
            <w:r>
              <w:rPr>
                <w:sz w:val="21"/>
                <w:szCs w:val="21"/>
                <w:lang w:val="en-US" w:eastAsia="zh-CN"/>
              </w:rPr>
              <w:t>4.</w:t>
            </w:r>
            <w:r>
              <w:rPr>
                <w:rFonts w:hint="eastAsia" w:cs="宋体"/>
                <w:sz w:val="21"/>
                <w:szCs w:val="21"/>
                <w:lang w:val="en-US" w:eastAsia="zh-CN"/>
              </w:rPr>
              <w:t>系统功能配置清单及说明，包含各组件名称、编号、型号、规格、品牌、材质等。提交阶段设备开箱验收。</w:t>
            </w:r>
          </w:p>
          <w:p>
            <w:pPr>
              <w:pStyle w:val="17"/>
              <w:spacing w:after="120" w:line="360" w:lineRule="auto"/>
              <w:rPr>
                <w:sz w:val="21"/>
                <w:szCs w:val="21"/>
                <w:lang w:val="en-US" w:eastAsia="zh-CN"/>
              </w:rPr>
            </w:pPr>
            <w:r>
              <w:rPr>
                <w:sz w:val="21"/>
                <w:szCs w:val="21"/>
                <w:lang w:val="en-US" w:eastAsia="zh-CN"/>
              </w:rPr>
              <w:t>5.</w:t>
            </w:r>
            <w:r>
              <w:rPr>
                <w:rFonts w:hint="eastAsia" w:cs="宋体"/>
                <w:sz w:val="21"/>
                <w:szCs w:val="21"/>
                <w:lang w:val="en-US" w:eastAsia="zh-CN"/>
              </w:rPr>
              <w:t>部件、备件、仪表清单：包括名称、编号、对应厂家名称、生产地、规格及必要说明。提交阶段设备开箱验收。</w:t>
            </w:r>
          </w:p>
          <w:p>
            <w:pPr>
              <w:pStyle w:val="17"/>
              <w:spacing w:after="120" w:line="360" w:lineRule="auto"/>
              <w:rPr>
                <w:sz w:val="21"/>
                <w:szCs w:val="21"/>
                <w:lang w:val="en-US" w:eastAsia="zh-CN"/>
              </w:rPr>
            </w:pPr>
            <w:r>
              <w:rPr>
                <w:sz w:val="21"/>
                <w:szCs w:val="21"/>
                <w:lang w:val="en-US" w:eastAsia="zh-CN"/>
              </w:rPr>
              <w:t>6.</w:t>
            </w:r>
            <w:r>
              <w:rPr>
                <w:rFonts w:hint="eastAsia" w:cs="宋体"/>
                <w:sz w:val="21"/>
                <w:szCs w:val="21"/>
                <w:lang w:val="en-US" w:eastAsia="zh-CN"/>
              </w:rPr>
              <w:t>调试文件：调试计划、调试方案、设备测试记录，检测清单，测试报告，调试总结报告、现场验收报告等。提交阶段设备开箱验收。</w:t>
            </w:r>
          </w:p>
          <w:p>
            <w:pPr>
              <w:pStyle w:val="17"/>
              <w:spacing w:after="120" w:line="360" w:lineRule="auto"/>
              <w:rPr>
                <w:sz w:val="21"/>
                <w:szCs w:val="21"/>
                <w:lang w:val="en-US" w:eastAsia="zh-CN"/>
              </w:rPr>
            </w:pPr>
            <w:r>
              <w:rPr>
                <w:sz w:val="21"/>
                <w:szCs w:val="21"/>
                <w:lang w:val="en-US" w:eastAsia="zh-CN"/>
              </w:rPr>
              <w:t>7.</w:t>
            </w:r>
            <w:r>
              <w:rPr>
                <w:rFonts w:hint="eastAsia" w:cs="宋体"/>
                <w:sz w:val="21"/>
                <w:szCs w:val="21"/>
                <w:lang w:val="en-US" w:eastAsia="zh-CN"/>
              </w:rPr>
              <w:t>设备交付计划表。提交阶段设备开箱验收。</w:t>
            </w:r>
          </w:p>
          <w:p>
            <w:pPr>
              <w:pStyle w:val="17"/>
              <w:spacing w:after="120" w:line="360" w:lineRule="auto"/>
              <w:rPr>
                <w:rFonts w:ascii="宋体" w:hAnsi="宋体" w:cs="宋体"/>
                <w:szCs w:val="22"/>
                <w:highlight w:val="yellow"/>
                <w:lang w:val="en-US" w:eastAsia="zh-CN"/>
              </w:rPr>
            </w:pPr>
            <w:r>
              <w:rPr>
                <w:sz w:val="21"/>
                <w:szCs w:val="21"/>
                <w:lang w:val="en-US" w:eastAsia="zh-CN"/>
              </w:rPr>
              <w:t>8.</w:t>
            </w:r>
            <w:r>
              <w:rPr>
                <w:rFonts w:hint="eastAsia" w:cs="宋体"/>
                <w:sz w:val="21"/>
                <w:szCs w:val="21"/>
                <w:lang w:val="en-US" w:eastAsia="zh-CN"/>
              </w:rPr>
              <w:t>使用操作说明书及维护保养说明（即运行及维护手册）</w:t>
            </w:r>
            <w:r>
              <w:rPr>
                <w:sz w:val="21"/>
                <w:szCs w:val="21"/>
                <w:lang w:val="en-US" w:eastAsia="zh-CN"/>
              </w:rPr>
              <w:t>3</w:t>
            </w:r>
            <w:r>
              <w:rPr>
                <w:rFonts w:hint="eastAsia" w:cs="宋体"/>
                <w:sz w:val="21"/>
                <w:szCs w:val="21"/>
                <w:lang w:val="en-US" w:eastAsia="zh-CN"/>
              </w:rPr>
              <w:t>份。提交阶段设备开箱验收。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color w:val="000000"/>
                <w:lang w:val="en-US" w:eastAsia="zh-CN"/>
              </w:rPr>
              <w:t>使用操作说明书及维护保养说明（即运行及维护手册）</w:t>
            </w:r>
            <w:r>
              <w:rPr>
                <w:color w:val="000000"/>
                <w:lang w:val="en-US" w:eastAsia="zh-CN"/>
              </w:rPr>
              <w:t>3</w:t>
            </w:r>
            <w:r>
              <w:rPr>
                <w:rFonts w:hint="eastAsia"/>
                <w:color w:val="000000"/>
                <w:lang w:val="en-US" w:eastAsia="zh-CN"/>
              </w:rPr>
              <w:t>份。</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color w:val="000000"/>
                <w:lang w:val="en-US" w:eastAsia="zh-CN"/>
              </w:rPr>
              <w:t>提供设备及其零部件使用寿命清单。</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ascii="Calibri" w:hAnsi="Calibri" w:cs="Calibri"/>
                <w:lang w:eastAsia="zh-CN"/>
              </w:rPr>
              <w:t>上述条款规定的文件需提供电子版，并在设备开箱验收时将最终批准的电子版全套资料交工程技术部存档，不直接影响系统。</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permEnd w:id="46"/>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2"/>
        <w:spacing w:before="0" w:line="360" w:lineRule="auto"/>
        <w:ind w:left="357"/>
        <w:jc w:val="left"/>
        <w:rPr>
          <w:i/>
          <w:color w:val="4472C4"/>
          <w:szCs w:val="21"/>
          <w:lang w:eastAsia="zh-CN"/>
        </w:rPr>
      </w:pPr>
      <w:permStart w:id="47" w:edGrp="everyone"/>
    </w:p>
    <w:permEnd w:id="47"/>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 w:val="18"/>
                <w:szCs w:val="18"/>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rFonts w:ascii="Calibri" w:hAnsi="Calibri" w:cs="Calibri"/>
                <w:lang w:eastAsia="zh-CN"/>
              </w:rPr>
            </w:pPr>
            <w:r>
              <w:rPr>
                <w:rFonts w:hint="eastAsia" w:ascii="Calibri" w:hAnsi="Calibri" w:cs="Calibri"/>
                <w:lang w:eastAsia="zh-CN"/>
              </w:rPr>
              <w:t>厂家需提供常规故障处理手册，手册中应将故障代码的相关说明及处理方法标示清楚，便于维修人员及时处理蠕动泵故障。</w:t>
            </w:r>
          </w:p>
          <w:p>
            <w:pPr>
              <w:spacing w:line="276" w:lineRule="auto"/>
              <w:jc w:val="both"/>
              <w:rPr>
                <w:szCs w:val="21"/>
                <w:lang w:eastAsia="zh-CN"/>
              </w:rPr>
            </w:pPr>
            <w:r>
              <w:rPr>
                <w:rFonts w:ascii="Calibri" w:hAnsi="Calibri" w:cs="Calibri"/>
                <w:lang w:eastAsia="zh-CN"/>
              </w:rPr>
              <w:t>生产操作人员培训包括设备结构原理、性能、操作、清洗消毒</w:t>
            </w:r>
            <w:r>
              <w:rPr>
                <w:color w:val="000000"/>
                <w:lang w:eastAsia="zh-CN"/>
              </w:rPr>
              <w:t>、故障排除等基本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spacing w:line="276" w:lineRule="auto"/>
              <w:jc w:val="both"/>
              <w:rPr>
                <w:szCs w:val="21"/>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spacing w:line="276" w:lineRule="auto"/>
              <w:jc w:val="both"/>
              <w:rPr>
                <w:szCs w:val="21"/>
                <w:lang w:eastAsia="zh-CN"/>
              </w:rPr>
            </w:pPr>
            <w:r>
              <w:rPr>
                <w:rFonts w:hint="eastAsia"/>
                <w:lang w:eastAsia="zh-CN"/>
              </w:rPr>
              <w:t>架子在运输途中需做好防护措施，不得有任何损伤，不得有</w:t>
            </w:r>
            <w:r>
              <w:rPr>
                <w:rFonts w:hint="eastAsia"/>
                <w:lang w:val="en-US" w:eastAsia="zh-CN"/>
              </w:rPr>
              <w:t>污渍</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rPr>
                <w:rFonts w:hint="eastAsia"/>
                <w:color w:val="000000"/>
                <w:lang w:val="en-US" w:eastAsia="zh-CN"/>
              </w:rPr>
            </w:pPr>
            <w:r>
              <w:rPr>
                <w:rFonts w:hint="eastAsia"/>
                <w:color w:val="000000"/>
                <w:lang w:val="en-US" w:eastAsia="zh-CN"/>
              </w:rPr>
              <w:t>验证文件：</w:t>
            </w:r>
          </w:p>
          <w:p>
            <w:pPr>
              <w:rPr>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）满足</w:t>
            </w:r>
            <w:r>
              <w:rPr>
                <w:rFonts w:ascii="宋体" w:hAnsi="宋体" w:cs="宋体"/>
                <w:lang w:eastAsia="zh-CN"/>
              </w:rPr>
              <w:t>GMP</w:t>
            </w:r>
            <w:r>
              <w:rPr>
                <w:rFonts w:hint="eastAsia" w:ascii="宋体" w:hAnsi="宋体" w:cs="宋体"/>
                <w:lang w:eastAsia="zh-CN"/>
              </w:rPr>
              <w:t>和</w:t>
            </w:r>
            <w:r>
              <w:rPr>
                <w:rFonts w:ascii="宋体" w:hAnsi="宋体" w:cs="宋体"/>
                <w:lang w:eastAsia="zh-CN"/>
              </w:rPr>
              <w:t>GAMP5</w:t>
            </w:r>
            <w:r>
              <w:rPr>
                <w:rFonts w:hint="eastAsia" w:ascii="宋体" w:hAnsi="宋体" w:cs="宋体"/>
                <w:lang w:eastAsia="zh-CN"/>
              </w:rPr>
              <w:t>等相关法规的评估文件</w:t>
            </w:r>
          </w:p>
          <w:p>
            <w:pPr>
              <w:rPr>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）安装确认及文件（</w:t>
            </w:r>
            <w:r>
              <w:rPr>
                <w:rFonts w:ascii="宋体" w:hAnsi="宋体" w:cs="宋体"/>
                <w:lang w:eastAsia="zh-CN"/>
              </w:rPr>
              <w:t>IQ</w:t>
            </w:r>
            <w:r>
              <w:rPr>
                <w:rFonts w:hint="eastAsia" w:ascii="宋体" w:hAnsi="宋体" w:cs="宋体"/>
                <w:lang w:eastAsia="zh-CN"/>
              </w:rPr>
              <w:t>）；</w:t>
            </w:r>
          </w:p>
          <w:p>
            <w:pPr>
              <w:rPr>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）运行确认及文件（</w:t>
            </w:r>
            <w:r>
              <w:rPr>
                <w:rFonts w:ascii="宋体" w:hAnsi="宋体" w:cs="宋体"/>
                <w:lang w:eastAsia="zh-CN"/>
              </w:rPr>
              <w:t>OQ</w:t>
            </w:r>
            <w:r>
              <w:rPr>
                <w:rFonts w:hint="eastAsia" w:ascii="宋体" w:hAnsi="宋体" w:cs="宋体"/>
                <w:lang w:eastAsia="zh-CN"/>
              </w:rPr>
              <w:t>）；</w:t>
            </w:r>
          </w:p>
          <w:p>
            <w:pPr>
              <w:jc w:val="both"/>
              <w:rPr>
                <w:szCs w:val="21"/>
                <w:lang w:eastAsia="zh-CN"/>
              </w:rPr>
            </w:pPr>
            <w:r>
              <w:rPr>
                <w:rFonts w:hint="eastAsia"/>
                <w:color w:val="000000"/>
                <w:lang w:val="en-US" w:eastAsia="zh-CN"/>
              </w:rPr>
              <w:t>（4）</w:t>
            </w:r>
            <w:r>
              <w:rPr>
                <w:rFonts w:hint="eastAsia" w:ascii="宋体" w:hAnsi="宋体" w:cs="宋体"/>
                <w:color w:val="000000"/>
                <w:lang w:eastAsia="zh-CN"/>
              </w:rPr>
              <w:t>设备生产商负责制定</w:t>
            </w:r>
            <w:r>
              <w:rPr>
                <w:rFonts w:hint="eastAsia" w:ascii="宋体" w:hAnsi="宋体" w:cs="宋体"/>
                <w:color w:val="000000"/>
                <w:lang w:val="en-US" w:eastAsia="zh-CN"/>
              </w:rPr>
              <w:t>设备IQ、OQ文件、并在到货前提供流速校验报告。</w:t>
            </w:r>
          </w:p>
        </w:tc>
        <w:tc>
          <w:tcPr>
            <w:tcW w:w="2125" w:type="dxa"/>
            <w:shd w:val="clear" w:color="auto" w:fill="auto"/>
            <w:vAlign w:val="center"/>
          </w:tcPr>
          <w:p>
            <w:pPr>
              <w:jc w:val="center"/>
              <w:rPr>
                <w:rFonts w:hint="default"/>
                <w:color w:val="000000"/>
                <w:lang w:val="en-US" w:eastAsia="zh-CN"/>
              </w:rPr>
            </w:pPr>
            <w:r>
              <w:rPr>
                <w:rFonts w:hint="eastAsia"/>
                <w:szCs w:val="21"/>
                <w:lang w:eastAsia="zh-CN"/>
              </w:rPr>
              <w:t>关键</w:t>
            </w:r>
            <w:r>
              <w:rPr>
                <w:rFonts w:hint="eastAsia"/>
                <w:szCs w:val="21"/>
                <w:lang w:val="en-US" w:eastAsia="zh-CN"/>
              </w:rPr>
              <w:t>*</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5" w:type="dxa"/>
            <w:shd w:val="clear" w:color="auto" w:fill="auto"/>
          </w:tcPr>
          <w:p>
            <w:pPr>
              <w:jc w:val="center"/>
              <w:rPr>
                <w:iCs/>
                <w:szCs w:val="21"/>
                <w:lang w:val="en-US" w:eastAsia="zh-CN"/>
              </w:rPr>
            </w:pPr>
          </w:p>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tcPr>
          <w:p>
            <w:pPr>
              <w:jc w:val="center"/>
              <w:rPr>
                <w:iCs/>
                <w:szCs w:val="21"/>
                <w:lang w:val="en-US" w:eastAsia="zh-CN"/>
              </w:rPr>
            </w:pPr>
          </w:p>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要求设备在签订的合同执行后</w:t>
            </w:r>
            <w:r>
              <w:rPr>
                <w:szCs w:val="21"/>
                <w:lang w:val="en-US" w:eastAsia="zh-CN"/>
              </w:rPr>
              <w:t>2</w:t>
            </w:r>
            <w:r>
              <w:rPr>
                <w:rFonts w:hint="eastAsia"/>
                <w:szCs w:val="21"/>
                <w:lang w:eastAsia="zh-CN"/>
              </w:rPr>
              <w:t>个月内到货。</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供应商需要配备常见的易耗配件和配套的工具。</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11.5</w:t>
            </w: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5"/>
    </w:tbl>
    <w:p/>
    <w:p>
      <w:pPr>
        <w:pStyle w:val="32"/>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2"/>
        <w:spacing w:before="0" w:line="360" w:lineRule="auto"/>
        <w:ind w:left="357"/>
        <w:jc w:val="left"/>
        <w:rPr>
          <w:szCs w:val="21"/>
          <w:lang w:eastAsia="zh-CN"/>
        </w:rPr>
      </w:pPr>
      <w:permStart w:id="56" w:edGrp="everyone"/>
      <w:r>
        <w:rPr>
          <w:rFonts w:hint="eastAsia"/>
          <w:szCs w:val="21"/>
          <w:lang w:eastAsia="zh-CN"/>
        </w:rPr>
        <w:t>N/A</w:t>
      </w:r>
      <w:permEnd w:id="5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NTgyY2RmZGM4NTI3YzU2NzljNjcwNDM3ODliODQ0ZDc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80F"/>
    <w:rsid w:val="00071DD4"/>
    <w:rsid w:val="00072131"/>
    <w:rsid w:val="00072340"/>
    <w:rsid w:val="00072945"/>
    <w:rsid w:val="00073B81"/>
    <w:rsid w:val="0007510F"/>
    <w:rsid w:val="0007673E"/>
    <w:rsid w:val="00077AE1"/>
    <w:rsid w:val="00080875"/>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9E7"/>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A2C"/>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8C6"/>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4E74"/>
    <w:rsid w:val="002355FF"/>
    <w:rsid w:val="002367A6"/>
    <w:rsid w:val="00236BE9"/>
    <w:rsid w:val="00237E6C"/>
    <w:rsid w:val="00240A09"/>
    <w:rsid w:val="00240B1E"/>
    <w:rsid w:val="00241437"/>
    <w:rsid w:val="00245088"/>
    <w:rsid w:val="002450D5"/>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65DA"/>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99A"/>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37A"/>
    <w:rsid w:val="003B4A5D"/>
    <w:rsid w:val="003B5047"/>
    <w:rsid w:val="003B6E29"/>
    <w:rsid w:val="003B726F"/>
    <w:rsid w:val="003B73AB"/>
    <w:rsid w:val="003C02C6"/>
    <w:rsid w:val="003C03D7"/>
    <w:rsid w:val="003C0712"/>
    <w:rsid w:val="003C558E"/>
    <w:rsid w:val="003C6ECF"/>
    <w:rsid w:val="003C73BC"/>
    <w:rsid w:val="003D0847"/>
    <w:rsid w:val="003D2243"/>
    <w:rsid w:val="003D3C09"/>
    <w:rsid w:val="003D3C65"/>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6C34"/>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657"/>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896"/>
    <w:rsid w:val="004D0E3A"/>
    <w:rsid w:val="004D1A73"/>
    <w:rsid w:val="004D48C2"/>
    <w:rsid w:val="004D62DC"/>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59D7"/>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6A0E"/>
    <w:rsid w:val="005E0CEB"/>
    <w:rsid w:val="005E2725"/>
    <w:rsid w:val="005E65FA"/>
    <w:rsid w:val="005F19CE"/>
    <w:rsid w:val="005F28F4"/>
    <w:rsid w:val="005F43A2"/>
    <w:rsid w:val="005F43BB"/>
    <w:rsid w:val="005F503E"/>
    <w:rsid w:val="005F6CB3"/>
    <w:rsid w:val="005F7612"/>
    <w:rsid w:val="005F7663"/>
    <w:rsid w:val="005F7D63"/>
    <w:rsid w:val="006006B4"/>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D80"/>
    <w:rsid w:val="00673EB3"/>
    <w:rsid w:val="00680BE8"/>
    <w:rsid w:val="00686409"/>
    <w:rsid w:val="00686D19"/>
    <w:rsid w:val="0068777F"/>
    <w:rsid w:val="00693018"/>
    <w:rsid w:val="006A0059"/>
    <w:rsid w:val="006A7425"/>
    <w:rsid w:val="006B058A"/>
    <w:rsid w:val="006B1299"/>
    <w:rsid w:val="006B26D9"/>
    <w:rsid w:val="006B2856"/>
    <w:rsid w:val="006B310C"/>
    <w:rsid w:val="006B3653"/>
    <w:rsid w:val="006B664C"/>
    <w:rsid w:val="006C1125"/>
    <w:rsid w:val="006C1C83"/>
    <w:rsid w:val="006C3E78"/>
    <w:rsid w:val="006C4EF1"/>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A6B"/>
    <w:rsid w:val="00736FFB"/>
    <w:rsid w:val="00740080"/>
    <w:rsid w:val="00741A30"/>
    <w:rsid w:val="007504DC"/>
    <w:rsid w:val="0075142F"/>
    <w:rsid w:val="00751965"/>
    <w:rsid w:val="007524EF"/>
    <w:rsid w:val="00752689"/>
    <w:rsid w:val="00753582"/>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2813"/>
    <w:rsid w:val="0081636E"/>
    <w:rsid w:val="0082112E"/>
    <w:rsid w:val="00822F2B"/>
    <w:rsid w:val="00823D9A"/>
    <w:rsid w:val="00827EA4"/>
    <w:rsid w:val="008301D6"/>
    <w:rsid w:val="00830280"/>
    <w:rsid w:val="008305B7"/>
    <w:rsid w:val="00830C78"/>
    <w:rsid w:val="00830FB9"/>
    <w:rsid w:val="00834968"/>
    <w:rsid w:val="00834B53"/>
    <w:rsid w:val="00840298"/>
    <w:rsid w:val="00841BE4"/>
    <w:rsid w:val="00845A53"/>
    <w:rsid w:val="00847E8C"/>
    <w:rsid w:val="008505E1"/>
    <w:rsid w:val="00850B08"/>
    <w:rsid w:val="00850B19"/>
    <w:rsid w:val="00852488"/>
    <w:rsid w:val="0085405E"/>
    <w:rsid w:val="008561D2"/>
    <w:rsid w:val="008571DD"/>
    <w:rsid w:val="0085772E"/>
    <w:rsid w:val="00860344"/>
    <w:rsid w:val="00860E2C"/>
    <w:rsid w:val="00864BC6"/>
    <w:rsid w:val="0086516D"/>
    <w:rsid w:val="00865EE6"/>
    <w:rsid w:val="00870D23"/>
    <w:rsid w:val="00872B72"/>
    <w:rsid w:val="00873022"/>
    <w:rsid w:val="00876468"/>
    <w:rsid w:val="008767E1"/>
    <w:rsid w:val="00876CC7"/>
    <w:rsid w:val="008823E4"/>
    <w:rsid w:val="008837C4"/>
    <w:rsid w:val="008849F3"/>
    <w:rsid w:val="00884E78"/>
    <w:rsid w:val="0088673B"/>
    <w:rsid w:val="00886F58"/>
    <w:rsid w:val="00887265"/>
    <w:rsid w:val="00887500"/>
    <w:rsid w:val="008905AD"/>
    <w:rsid w:val="00890C6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1A2E"/>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33A4"/>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10CE"/>
    <w:rsid w:val="00955899"/>
    <w:rsid w:val="00955A03"/>
    <w:rsid w:val="0096203D"/>
    <w:rsid w:val="0096224A"/>
    <w:rsid w:val="00963289"/>
    <w:rsid w:val="00964A78"/>
    <w:rsid w:val="009656B4"/>
    <w:rsid w:val="009666E0"/>
    <w:rsid w:val="00966CA0"/>
    <w:rsid w:val="00966D74"/>
    <w:rsid w:val="00967F9D"/>
    <w:rsid w:val="00970275"/>
    <w:rsid w:val="00970ABF"/>
    <w:rsid w:val="00970D8B"/>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6A01"/>
    <w:rsid w:val="00987177"/>
    <w:rsid w:val="00987F11"/>
    <w:rsid w:val="0099128D"/>
    <w:rsid w:val="009917F1"/>
    <w:rsid w:val="00991E37"/>
    <w:rsid w:val="00991E74"/>
    <w:rsid w:val="009926A6"/>
    <w:rsid w:val="00993461"/>
    <w:rsid w:val="0099415E"/>
    <w:rsid w:val="009948BF"/>
    <w:rsid w:val="00997844"/>
    <w:rsid w:val="009978C2"/>
    <w:rsid w:val="009A345F"/>
    <w:rsid w:val="009A4AE5"/>
    <w:rsid w:val="009A5218"/>
    <w:rsid w:val="009A6806"/>
    <w:rsid w:val="009B1717"/>
    <w:rsid w:val="009B22D2"/>
    <w:rsid w:val="009B2839"/>
    <w:rsid w:val="009B400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56AD"/>
    <w:rsid w:val="009E6973"/>
    <w:rsid w:val="009F0466"/>
    <w:rsid w:val="009F4200"/>
    <w:rsid w:val="009F4933"/>
    <w:rsid w:val="009F5FD0"/>
    <w:rsid w:val="009F6DD5"/>
    <w:rsid w:val="009F7519"/>
    <w:rsid w:val="009F7969"/>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995"/>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225A"/>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6A6A"/>
    <w:rsid w:val="00B62FB6"/>
    <w:rsid w:val="00B635BF"/>
    <w:rsid w:val="00B7050A"/>
    <w:rsid w:val="00B70904"/>
    <w:rsid w:val="00B70A42"/>
    <w:rsid w:val="00B74791"/>
    <w:rsid w:val="00B76AF9"/>
    <w:rsid w:val="00B8115B"/>
    <w:rsid w:val="00B81AE2"/>
    <w:rsid w:val="00B82D30"/>
    <w:rsid w:val="00B87F62"/>
    <w:rsid w:val="00B90831"/>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5E0"/>
    <w:rsid w:val="00C04DA5"/>
    <w:rsid w:val="00C050FC"/>
    <w:rsid w:val="00C05D40"/>
    <w:rsid w:val="00C11905"/>
    <w:rsid w:val="00C14462"/>
    <w:rsid w:val="00C16542"/>
    <w:rsid w:val="00C22382"/>
    <w:rsid w:val="00C2355B"/>
    <w:rsid w:val="00C274A6"/>
    <w:rsid w:val="00C33F9C"/>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A9A"/>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ECC"/>
    <w:rsid w:val="00C950D6"/>
    <w:rsid w:val="00C97646"/>
    <w:rsid w:val="00C97672"/>
    <w:rsid w:val="00CA55BD"/>
    <w:rsid w:val="00CB0837"/>
    <w:rsid w:val="00CB2BFA"/>
    <w:rsid w:val="00CB3318"/>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278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4739"/>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B6B"/>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F4A"/>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2CD6"/>
    <w:rsid w:val="00F54F27"/>
    <w:rsid w:val="00F55FC8"/>
    <w:rsid w:val="00F604E3"/>
    <w:rsid w:val="00F610E6"/>
    <w:rsid w:val="00F61FCC"/>
    <w:rsid w:val="00F66036"/>
    <w:rsid w:val="00F6689D"/>
    <w:rsid w:val="00F67E23"/>
    <w:rsid w:val="00F71601"/>
    <w:rsid w:val="00F72C75"/>
    <w:rsid w:val="00F72CA9"/>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4EE"/>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6B3EC6"/>
    <w:rsid w:val="039E4A64"/>
    <w:rsid w:val="074446F5"/>
    <w:rsid w:val="12B409FA"/>
    <w:rsid w:val="1494275F"/>
    <w:rsid w:val="1B522958"/>
    <w:rsid w:val="1F71514E"/>
    <w:rsid w:val="20FB3DB9"/>
    <w:rsid w:val="21B26104"/>
    <w:rsid w:val="22623FCE"/>
    <w:rsid w:val="23704C46"/>
    <w:rsid w:val="23C606C4"/>
    <w:rsid w:val="24EF141E"/>
    <w:rsid w:val="27B746CF"/>
    <w:rsid w:val="29CE5AA6"/>
    <w:rsid w:val="2CC65226"/>
    <w:rsid w:val="2E803DC5"/>
    <w:rsid w:val="2FE9354C"/>
    <w:rsid w:val="318D4877"/>
    <w:rsid w:val="369F1ED9"/>
    <w:rsid w:val="36B75A4D"/>
    <w:rsid w:val="36E83F1F"/>
    <w:rsid w:val="375A12C0"/>
    <w:rsid w:val="38FA77B3"/>
    <w:rsid w:val="3DAA68EE"/>
    <w:rsid w:val="3EFD0A63"/>
    <w:rsid w:val="428C6809"/>
    <w:rsid w:val="46E21168"/>
    <w:rsid w:val="4DCF7084"/>
    <w:rsid w:val="4E665F78"/>
    <w:rsid w:val="4ED47135"/>
    <w:rsid w:val="4F4379F9"/>
    <w:rsid w:val="516C54C7"/>
    <w:rsid w:val="51D5415B"/>
    <w:rsid w:val="543C16DA"/>
    <w:rsid w:val="568C2E19"/>
    <w:rsid w:val="582F3E2B"/>
    <w:rsid w:val="619C4100"/>
    <w:rsid w:val="6253659F"/>
    <w:rsid w:val="660B1854"/>
    <w:rsid w:val="6E2711F5"/>
    <w:rsid w:val="73852C46"/>
    <w:rsid w:val="73970283"/>
    <w:rsid w:val="748C0004"/>
    <w:rsid w:val="76E30831"/>
    <w:rsid w:val="78D708BB"/>
    <w:rsid w:val="78E63C9B"/>
    <w:rsid w:val="7DA64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unhideWhenUsed/>
    <w:qFormat/>
    <w:uiPriority w:val="0"/>
    <w:rPr>
      <w:sz w:val="24"/>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99"/>
    <w:rPr>
      <w:sz w:val="24"/>
      <w:lang w:eastAsia="en-US"/>
    </w:rPr>
  </w:style>
  <w:style w:type="paragraph" w:customStyle="1" w:styleId="42">
    <w:name w:val="Text"/>
    <w:basedOn w:val="1"/>
    <w:link w:val="41"/>
    <w:qFormat/>
    <w:uiPriority w:val="99"/>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3473</Words>
  <Characters>3760</Characters>
  <Lines>37</Lines>
  <Paragraphs>10</Paragraphs>
  <TotalTime>37</TotalTime>
  <ScaleCrop>false</ScaleCrop>
  <LinksUpToDate>false</LinksUpToDate>
  <CharactersWithSpaces>3840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2023-03-15T05:19:00Z</cp:lastPrinted>
  <dcterms:modified xsi:type="dcterms:W3CDTF">2023-05-22T06:45:05Z</dcterms:modified>
  <dc:title>生效期：</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9950A78E505445F4B297BEA9F7AE0F39</vt:lpwstr>
  </property>
</Properties>
</file>