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3666358"/>
      <w:bookmarkStart w:id="1" w:name="_Toc484532399"/>
      <w:bookmarkStart w:id="2" w:name="_Toc482717189"/>
      <w:bookmarkStart w:id="3" w:name="_Toc483227223"/>
      <w:bookmarkStart w:id="4" w:name="_Toc483400307"/>
      <w:permStart w:id="0" w:edGrp="everyone"/>
      <w:permEnd w:id="0"/>
    </w:p>
    <w:p>
      <w:pPr>
        <w:spacing w:after="158" w:afterLines="50"/>
        <w:jc w:val="center"/>
        <w:outlineLvl w:val="0"/>
        <w:rPr>
          <w:b/>
          <w:szCs w:val="21"/>
          <w:lang w:eastAsia="zh-CN"/>
        </w:rPr>
      </w:pPr>
      <w:bookmarkStart w:id="5" w:name="_Toc21801"/>
      <w:bookmarkStart w:id="6" w:name="_Toc27461"/>
      <w:r>
        <w:rPr>
          <w:b/>
          <w:sz w:val="28"/>
          <w:szCs w:val="28"/>
          <w:lang w:eastAsia="zh-CN"/>
        </w:rPr>
        <w:t>武汉生物制品研究所有限责任公司</w:t>
      </w:r>
      <w:r>
        <w:rPr>
          <w:rFonts w:hint="eastAsia"/>
          <w:b/>
          <w:sz w:val="28"/>
          <w:szCs w:val="28"/>
          <w:lang w:val="en-US" w:eastAsia="zh-CN"/>
        </w:rPr>
        <w:t>储运部搬运服务</w:t>
      </w:r>
      <w:r>
        <w:rPr>
          <w:b/>
          <w:sz w:val="28"/>
          <w:szCs w:val="28"/>
          <w:lang w:eastAsia="zh-CN"/>
        </w:rPr>
        <w:t>用户需求说明（URS</w:t>
      </w:r>
      <w:r>
        <w:rPr>
          <w:b/>
          <w:szCs w:val="21"/>
          <w:lang w:eastAsia="zh-CN"/>
        </w:rPr>
        <w:t>）</w:t>
      </w:r>
      <w:bookmarkEnd w:id="0"/>
      <w:bookmarkEnd w:id="1"/>
      <w:bookmarkEnd w:id="2"/>
      <w:bookmarkEnd w:id="3"/>
      <w:bookmarkEnd w:id="4"/>
      <w:bookmarkEnd w:id="5"/>
      <w:bookmarkEnd w:id="6"/>
    </w:p>
    <w:sdt>
      <w:sdtPr>
        <w:rPr>
          <w:rFonts w:ascii="宋体" w:hAnsi="宋体"/>
          <w:b/>
          <w:bCs/>
          <w:sz w:val="22"/>
          <w:szCs w:val="21"/>
        </w:rPr>
        <w:id w:val="147481929"/>
        <w:docPartObj>
          <w:docPartGallery w:val="Table of Contents"/>
          <w:docPartUnique/>
        </w:docPartObj>
      </w:sdtPr>
      <w:sdtEndPr>
        <w:rPr>
          <w:rFonts w:ascii="宋体" w:hAnsi="宋体"/>
          <w:b/>
          <w:bCs/>
          <w:sz w:val="22"/>
          <w:szCs w:val="21"/>
        </w:rPr>
      </w:sdtEndPr>
      <w:sdtContent>
        <w:p>
          <w:pPr>
            <w:jc w:val="center"/>
            <w:rPr>
              <w:b/>
              <w:bCs/>
              <w:sz w:val="22"/>
              <w:szCs w:val="21"/>
            </w:rPr>
          </w:pPr>
          <w:r>
            <w:rPr>
              <w:rFonts w:ascii="宋体" w:hAnsi="宋体"/>
              <w:b/>
              <w:bCs/>
              <w:sz w:val="22"/>
              <w:szCs w:val="21"/>
            </w:rPr>
            <w:t>目录</w:t>
          </w:r>
        </w:p>
        <w:p>
          <w:pPr>
            <w:pStyle w:val="15"/>
            <w:tabs>
              <w:tab w:val="right" w:leader="dot" w:pos="10347"/>
              <w:tab w:val="clear" w:pos="840"/>
              <w:tab w:val="clear" w:pos="10080"/>
            </w:tabs>
          </w:pPr>
          <w:r>
            <w:fldChar w:fldCharType="begin"/>
          </w:r>
          <w:r>
            <w:instrText xml:space="preserve">TOC \o "1-1" \h \u </w:instrText>
          </w:r>
          <w:r>
            <w:fldChar w:fldCharType="separate"/>
          </w:r>
          <w:r>
            <w:fldChar w:fldCharType="begin"/>
          </w:r>
          <w:r>
            <w:instrText xml:space="preserve"> HYPERLINK \l "_Toc20328" </w:instrText>
          </w:r>
          <w:r>
            <w:fldChar w:fldCharType="separate"/>
          </w:r>
          <w:r>
            <w:t>修订历史</w:t>
          </w:r>
          <w:r>
            <w:tab/>
          </w:r>
          <w:r>
            <w:fldChar w:fldCharType="begin"/>
          </w:r>
          <w:r>
            <w:instrText xml:space="preserve"> PAGEREF _Toc20328 \h </w:instrText>
          </w:r>
          <w:r>
            <w:fldChar w:fldCharType="separate"/>
          </w:r>
          <w:r>
            <w:t>3</w:t>
          </w:r>
          <w:r>
            <w:fldChar w:fldCharType="end"/>
          </w:r>
          <w:r>
            <w:fldChar w:fldCharType="end"/>
          </w:r>
        </w:p>
        <w:p>
          <w:pPr>
            <w:pStyle w:val="15"/>
            <w:tabs>
              <w:tab w:val="right" w:leader="dot" w:pos="10347"/>
              <w:tab w:val="clear" w:pos="840"/>
              <w:tab w:val="clear" w:pos="10080"/>
            </w:tabs>
          </w:pPr>
          <w:r>
            <w:fldChar w:fldCharType="begin"/>
          </w:r>
          <w:r>
            <w:instrText xml:space="preserve"> HYPERLINK \l "_Toc7703" </w:instrText>
          </w:r>
          <w:r>
            <w:fldChar w:fldCharType="separate"/>
          </w:r>
          <w:r>
            <w:t>1 目的</w:t>
          </w:r>
          <w:r>
            <w:tab/>
          </w:r>
          <w:r>
            <w:fldChar w:fldCharType="begin"/>
          </w:r>
          <w:r>
            <w:instrText xml:space="preserve"> PAGEREF _Toc7703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"_Toc26422" </w:instrText>
          </w:r>
          <w:r>
            <w:fldChar w:fldCharType="separate"/>
          </w:r>
          <w:r>
            <w:t>2 范围</w:t>
          </w:r>
          <w:r>
            <w:tab/>
          </w:r>
          <w:r>
            <w:fldChar w:fldCharType="begin"/>
          </w:r>
          <w:r>
            <w:instrText xml:space="preserve"> PAGEREF _Toc26422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"_Toc14597" </w:instrText>
          </w:r>
          <w:r>
            <w:fldChar w:fldCharType="separate"/>
          </w:r>
          <w:r>
            <w:t>3 参考文件</w:t>
          </w:r>
          <w:r>
            <w:tab/>
          </w:r>
          <w:r>
            <w:fldChar w:fldCharType="begin"/>
          </w:r>
          <w:r>
            <w:instrText xml:space="preserve"> PAGEREF _Toc14597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"_Toc5631" </w:instrText>
          </w:r>
          <w:r>
            <w:fldChar w:fldCharType="separate"/>
          </w:r>
          <w:r>
            <w:t>4 职责</w:t>
          </w:r>
          <w:r>
            <w:tab/>
          </w:r>
          <w:r>
            <w:fldChar w:fldCharType="begin"/>
          </w:r>
          <w:r>
            <w:instrText xml:space="preserve"> PAGEREF _Toc5631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"_Toc14861" </w:instrText>
          </w:r>
          <w:r>
            <w:fldChar w:fldCharType="separate"/>
          </w:r>
          <w:r>
            <w:t xml:space="preserve">5 </w:t>
          </w:r>
          <w:r>
            <w:rPr>
              <w:rFonts w:hint="eastAsia"/>
            </w:rPr>
            <w:t>项目</w:t>
          </w:r>
          <w:r>
            <w:t>描述</w:t>
          </w:r>
          <w:r>
            <w:tab/>
          </w:r>
          <w:r>
            <w:fldChar w:fldCharType="begin"/>
          </w:r>
          <w:r>
            <w:instrText xml:space="preserve"> PAGEREF _Toc14861 \h </w:instrText>
          </w:r>
          <w:r>
            <w:fldChar w:fldCharType="separate"/>
          </w:r>
          <w:r>
            <w:t>4</w:t>
          </w:r>
          <w:r>
            <w:fldChar w:fldCharType="end"/>
          </w:r>
          <w:r>
            <w:fldChar w:fldCharType="end"/>
          </w:r>
        </w:p>
        <w:p>
          <w:pPr>
            <w:pStyle w:val="15"/>
            <w:tabs>
              <w:tab w:val="right" w:leader="dot" w:pos="10347"/>
              <w:tab w:val="clear" w:pos="840"/>
              <w:tab w:val="clear" w:pos="10080"/>
            </w:tabs>
          </w:pPr>
          <w:r>
            <w:fldChar w:fldCharType="begin"/>
          </w:r>
          <w:r>
            <w:instrText xml:space="preserve"> HYPERLINK \l "_Toc18017" </w:instrText>
          </w:r>
          <w:r>
            <w:fldChar w:fldCharType="separate"/>
          </w:r>
          <w:r>
            <w:rPr>
              <w:szCs w:val="21"/>
            </w:rPr>
            <w:t xml:space="preserve">6 </w:t>
          </w:r>
          <w:r>
            <w:rPr>
              <w:rFonts w:hint="eastAsia"/>
              <w:szCs w:val="21"/>
            </w:rPr>
            <w:t>总体</w:t>
          </w:r>
          <w:r>
            <w:rPr>
              <w:szCs w:val="21"/>
            </w:rPr>
            <w:t>要求</w:t>
          </w:r>
          <w:r>
            <w:tab/>
          </w:r>
          <w:r>
            <w:fldChar w:fldCharType="begin"/>
          </w:r>
          <w:r>
            <w:instrText xml:space="preserve"> PAGEREF _Toc18017 \h </w:instrText>
          </w:r>
          <w:r>
            <w:fldChar w:fldCharType="separate"/>
          </w:r>
          <w:r>
            <w:t>5</w:t>
          </w:r>
          <w:r>
            <w:fldChar w:fldCharType="end"/>
          </w:r>
          <w:r>
            <w:fldChar w:fldCharType="end"/>
          </w:r>
        </w:p>
        <w:p>
          <w:pPr>
            <w:pStyle w:val="15"/>
            <w:tabs>
              <w:tab w:val="right" w:leader="dot" w:pos="10347"/>
              <w:tab w:val="clear" w:pos="840"/>
              <w:tab w:val="clear" w:pos="10080"/>
            </w:tabs>
          </w:pPr>
          <w:r>
            <w:fldChar w:fldCharType="begin"/>
          </w:r>
          <w:r>
            <w:instrText xml:space="preserve"> HYPERLINK \l "_Toc31646" </w:instrText>
          </w:r>
          <w:r>
            <w:fldChar w:fldCharType="separate"/>
          </w:r>
          <w:r>
            <w:t xml:space="preserve">7 </w:t>
          </w:r>
          <w:r>
            <w:rPr>
              <w:rFonts w:hint="eastAsia"/>
            </w:rPr>
            <w:t>资质</w:t>
          </w:r>
          <w:r>
            <w:t>要求</w:t>
          </w:r>
          <w:r>
            <w:tab/>
          </w:r>
          <w:r>
            <w:fldChar w:fldCharType="begin"/>
          </w:r>
          <w:r>
            <w:instrText xml:space="preserve"> PAGEREF _Toc31646 \h </w:instrText>
          </w:r>
          <w:r>
            <w:fldChar w:fldCharType="separate"/>
          </w:r>
          <w:r>
            <w:t>5</w:t>
          </w:r>
          <w:r>
            <w:fldChar w:fldCharType="end"/>
          </w:r>
          <w:r>
            <w:fldChar w:fldCharType="end"/>
          </w:r>
        </w:p>
        <w:p>
          <w:pPr>
            <w:pStyle w:val="15"/>
            <w:tabs>
              <w:tab w:val="right" w:leader="dot" w:pos="10347"/>
              <w:tab w:val="clear" w:pos="840"/>
              <w:tab w:val="clear" w:pos="10080"/>
            </w:tabs>
          </w:pPr>
          <w:r>
            <w:fldChar w:fldCharType="begin"/>
          </w:r>
          <w:r>
            <w:instrText xml:space="preserve"> HYPERLINK \l "_Toc16942" </w:instrText>
          </w:r>
          <w:r>
            <w:fldChar w:fldCharType="separate"/>
          </w:r>
          <w:r>
            <w:t xml:space="preserve">8 </w:t>
          </w:r>
          <w:r>
            <w:rPr>
              <w:rFonts w:hint="eastAsia"/>
            </w:rPr>
            <w:t>管理实施及具体</w:t>
          </w:r>
          <w:r>
            <w:t>要求</w:t>
          </w:r>
          <w:r>
            <w:tab/>
          </w:r>
          <w:r>
            <w:fldChar w:fldCharType="begin"/>
          </w:r>
          <w:r>
            <w:instrText xml:space="preserve"> PAGEREF _Toc16942 \h </w:instrText>
          </w:r>
          <w:r>
            <w:fldChar w:fldCharType="separate"/>
          </w:r>
          <w:r>
            <w:t>6</w:t>
          </w:r>
          <w:r>
            <w:fldChar w:fldCharType="end"/>
          </w:r>
          <w:r>
            <w:fldChar w:fldCharType="end"/>
          </w:r>
        </w:p>
        <w:p>
          <w:pPr>
            <w:pStyle w:val="15"/>
            <w:tabs>
              <w:tab w:val="right" w:leader="dot" w:pos="10347"/>
              <w:tab w:val="clear" w:pos="840"/>
              <w:tab w:val="clear" w:pos="10080"/>
            </w:tabs>
          </w:pPr>
          <w:r>
            <w:fldChar w:fldCharType="begin"/>
          </w:r>
          <w:r>
            <w:instrText xml:space="preserve"> HYPERLINK \l "_Toc7386" </w:instrText>
          </w:r>
          <w:r>
            <w:fldChar w:fldCharType="separate"/>
          </w:r>
          <w:r>
            <w:t xml:space="preserve">9 </w:t>
          </w:r>
          <w:r>
            <w:rPr>
              <w:rFonts w:hint="eastAsia"/>
            </w:rPr>
            <w:t>售后服务及备件要求</w:t>
          </w:r>
          <w:r>
            <w:tab/>
          </w:r>
          <w:r>
            <w:fldChar w:fldCharType="begin"/>
          </w:r>
          <w:r>
            <w:instrText xml:space="preserve"> PAGEREF _Toc7386 \h </w:instrText>
          </w:r>
          <w:r>
            <w:fldChar w:fldCharType="separate"/>
          </w:r>
          <w:r>
            <w:t>8</w:t>
          </w:r>
          <w:r>
            <w:fldChar w:fldCharType="end"/>
          </w:r>
          <w:r>
            <w:fldChar w:fldCharType="end"/>
          </w:r>
        </w:p>
        <w:p>
          <w:pPr>
            <w:pStyle w:val="15"/>
            <w:tabs>
              <w:tab w:val="right" w:leader="dot" w:pos="10347"/>
              <w:tab w:val="clear" w:pos="840"/>
              <w:tab w:val="clear" w:pos="10080"/>
            </w:tabs>
          </w:pPr>
          <w:r>
            <w:fldChar w:fldCharType="begin"/>
          </w:r>
          <w:r>
            <w:instrText xml:space="preserve"> HYPERLINK \l "_Toc7727" </w:instrText>
          </w:r>
          <w:r>
            <w:fldChar w:fldCharType="separate"/>
          </w:r>
          <w:r>
            <w:t xml:space="preserve">10 </w:t>
          </w:r>
          <w:r>
            <w:rPr>
              <w:rFonts w:hint="eastAsia"/>
              <w:szCs w:val="21"/>
            </w:rPr>
            <w:t>报价</w:t>
          </w:r>
          <w:r>
            <w:rPr>
              <w:szCs w:val="21"/>
            </w:rPr>
            <w:t>要求</w:t>
          </w:r>
          <w:r>
            <w:tab/>
          </w:r>
          <w:r>
            <w:fldChar w:fldCharType="begin"/>
          </w:r>
          <w:r>
            <w:instrText xml:space="preserve"> PAGEREF _Toc7727 \h </w:instrText>
          </w:r>
          <w:r>
            <w:fldChar w:fldCharType="separate"/>
          </w:r>
          <w:r>
            <w:t>9</w:t>
          </w:r>
          <w:r>
            <w:fldChar w:fldCharType="end"/>
          </w:r>
          <w:r>
            <w:fldChar w:fldCharType="end"/>
          </w:r>
        </w:p>
        <w:p>
          <w:pPr>
            <w:pStyle w:val="15"/>
            <w:tabs>
              <w:tab w:val="right" w:leader="dot" w:pos="10347"/>
              <w:tab w:val="clear" w:pos="840"/>
              <w:tab w:val="clear" w:pos="10080"/>
            </w:tabs>
          </w:pPr>
          <w:r>
            <w:fldChar w:fldCharType="begin"/>
          </w:r>
          <w:r>
            <w:instrText xml:space="preserve"> HYPERLINK \l "_Toc20689" </w:instrText>
          </w:r>
          <w:r>
            <w:fldChar w:fldCharType="separate"/>
          </w:r>
          <w:r>
            <w:t xml:space="preserve">11 </w:t>
          </w:r>
          <w:r>
            <w:rPr>
              <w:rFonts w:hint="eastAsia"/>
            </w:rPr>
            <w:t>验收要求</w:t>
          </w:r>
          <w:r>
            <w:tab/>
          </w:r>
          <w:r>
            <w:fldChar w:fldCharType="begin"/>
          </w:r>
          <w:r>
            <w:instrText xml:space="preserve"> PAGEREF _Toc20689 \h </w:instrText>
          </w:r>
          <w:r>
            <w:fldChar w:fldCharType="separate"/>
          </w:r>
          <w:r>
            <w:t>10</w:t>
          </w:r>
          <w:r>
            <w:fldChar w:fldCharType="end"/>
          </w:r>
          <w:r>
            <w:fldChar w:fldCharType="end"/>
          </w:r>
        </w:p>
        <w:p>
          <w:pPr>
            <w:pStyle w:val="15"/>
            <w:tabs>
              <w:tab w:val="right" w:leader="dot" w:pos="10347"/>
              <w:tab w:val="clear" w:pos="840"/>
              <w:tab w:val="clear" w:pos="10080"/>
            </w:tabs>
          </w:pPr>
          <w:r>
            <w:fldChar w:fldCharType="begin"/>
          </w:r>
          <w:r>
            <w:instrText xml:space="preserve"> HYPERLINK \l "_Toc5372" </w:instrText>
          </w:r>
          <w:r>
            <w:fldChar w:fldCharType="separate"/>
          </w:r>
          <w:r>
            <w:t>12 附件</w:t>
          </w:r>
          <w:r>
            <w:tab/>
          </w:r>
          <w:r>
            <w:fldChar w:fldCharType="begin"/>
          </w:r>
          <w:r>
            <w:instrText xml:space="preserve"> PAGEREF _Toc5372 \h </w:instrText>
          </w:r>
          <w:r>
            <w:fldChar w:fldCharType="separate"/>
          </w:r>
          <w:r>
            <w:t>10</w:t>
          </w:r>
          <w:r>
            <w:fldChar w:fldCharType="end"/>
          </w:r>
          <w:r>
            <w:fldChar w:fldCharType="end"/>
          </w:r>
        </w:p>
        <w:p>
          <w:r>
            <w:fldChar w:fldCharType="end"/>
          </w:r>
        </w:p>
      </w:sdtContent>
    </w:sdt>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7" w:name="_Toc522107735"/>
      <w:bookmarkStart w:id="8" w:name="_Toc522716115"/>
      <w:bookmarkStart w:id="9" w:name="_Toc7703"/>
      <w:r>
        <w:rPr>
          <w:rFonts w:ascii="Times New Roman" w:hAnsi="Times New Roman"/>
          <w:b/>
        </w:rPr>
        <w:t>目的</w:t>
      </w:r>
      <w:bookmarkEnd w:id="7"/>
      <w:bookmarkEnd w:id="8"/>
      <w:bookmarkEnd w:id="9"/>
    </w:p>
    <w:p>
      <w:pPr>
        <w:pStyle w:val="41"/>
        <w:spacing w:before="0" w:line="360" w:lineRule="auto"/>
        <w:ind w:left="357"/>
        <w:jc w:val="left"/>
        <w:rPr>
          <w:szCs w:val="21"/>
          <w:lang w:eastAsia="zh-CN"/>
        </w:rPr>
      </w:pPr>
      <w:bookmarkStart w:id="10" w:name="_Toc481702475"/>
      <w:bookmarkStart w:id="11" w:name="_Toc482625279"/>
      <w:bookmarkStart w:id="12" w:name="_Toc482370061"/>
      <w:bookmarkStart w:id="13" w:name="_Toc482369805"/>
      <w:bookmarkStart w:id="14" w:name="_Toc482370141"/>
      <w:bookmarkStart w:id="15" w:name="_Toc482360281"/>
      <w:bookmarkStart w:id="16" w:name="_Toc482370349"/>
      <w:bookmarkStart w:id="17" w:name="_Toc482370757"/>
      <w:bookmarkStart w:id="18" w:name="_Toc482359936"/>
      <w:r>
        <w:rPr>
          <w:szCs w:val="21"/>
          <w:lang w:eastAsia="zh-CN"/>
        </w:rPr>
        <w:t>本文件的目的是描述武汉生物制品研究所有限责任公司</w:t>
      </w:r>
      <w:r>
        <w:rPr>
          <w:rFonts w:hint="eastAsia"/>
          <w:szCs w:val="21"/>
          <w:lang w:val="en-US" w:eastAsia="zh-CN"/>
        </w:rPr>
        <w:t>储运部搬运服务</w:t>
      </w:r>
      <w:r>
        <w:rPr>
          <w:szCs w:val="21"/>
          <w:lang w:eastAsia="zh-CN"/>
        </w:rPr>
        <w:t>用户需求说明（URS），以确保最终用户的需求在项目设计阶段得以实现，并作为后续工作的基础。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9" w:name="_Toc522716116"/>
      <w:bookmarkStart w:id="20" w:name="_Toc26422"/>
      <w:bookmarkStart w:id="21" w:name="_Toc522107736"/>
      <w:r>
        <w:rPr>
          <w:rFonts w:ascii="Times New Roman" w:hAnsi="Times New Roman"/>
          <w:b/>
        </w:rPr>
        <w:t>范围</w:t>
      </w:r>
      <w:bookmarkEnd w:id="19"/>
      <w:bookmarkEnd w:id="20"/>
      <w:bookmarkEnd w:id="21"/>
    </w:p>
    <w:p>
      <w:pPr>
        <w:pStyle w:val="41"/>
        <w:spacing w:before="0" w:line="360" w:lineRule="auto"/>
        <w:ind w:left="357"/>
        <w:jc w:val="left"/>
        <w:rPr>
          <w:szCs w:val="21"/>
          <w:lang w:eastAsia="zh-CN"/>
        </w:rPr>
      </w:pPr>
      <w:r>
        <w:rPr>
          <w:szCs w:val="21"/>
          <w:lang w:eastAsia="zh-CN"/>
        </w:rPr>
        <w:t>本URS适用于武汉生物制品研究所有限责任公司</w:t>
      </w:r>
      <w:r>
        <w:rPr>
          <w:rFonts w:hint="eastAsia"/>
          <w:szCs w:val="21"/>
          <w:lang w:val="en-US" w:eastAsia="zh-CN"/>
        </w:rPr>
        <w:t>储运部搬运服务</w:t>
      </w:r>
      <w:r>
        <w:rPr>
          <w:szCs w:val="21"/>
          <w:lang w:eastAsia="zh-CN"/>
        </w:rPr>
        <w:t>。</w:t>
      </w:r>
      <w:bookmarkEnd w:id="10"/>
      <w:bookmarkEnd w:id="11"/>
      <w:bookmarkEnd w:id="12"/>
      <w:bookmarkEnd w:id="13"/>
      <w:bookmarkEnd w:id="14"/>
      <w:bookmarkEnd w:id="15"/>
      <w:bookmarkEnd w:id="16"/>
      <w:bookmarkEnd w:id="17"/>
      <w:bookmarkEnd w:id="18"/>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22" w:name="_Toc522107737"/>
      <w:bookmarkStart w:id="23" w:name="_Toc522716117"/>
      <w:bookmarkStart w:id="24" w:name="_Toc14597"/>
      <w:r>
        <w:rPr>
          <w:rFonts w:ascii="Times New Roman" w:hAnsi="Times New Roman"/>
          <w:b/>
        </w:rPr>
        <w:t>参考文件</w:t>
      </w:r>
      <w:bookmarkEnd w:id="22"/>
      <w:bookmarkEnd w:id="23"/>
      <w:bookmarkEnd w:id="24"/>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numPr>
          <w:ilvl w:val="0"/>
          <w:numId w:val="5"/>
        </w:numPr>
        <w:spacing w:line="360" w:lineRule="auto"/>
        <w:ind w:left="777"/>
        <w:rPr>
          <w:rFonts w:ascii="宋体" w:hAnsi="宋体"/>
          <w:color w:val="4472C4"/>
          <w:szCs w:val="21"/>
          <w:lang w:eastAsia="zh-CN"/>
        </w:rPr>
      </w:pPr>
      <w:bookmarkStart w:id="25" w:name="_Hlk132810665"/>
      <w:r>
        <w:rPr>
          <w:rFonts w:ascii="宋体" w:hAnsi="宋体"/>
          <w:szCs w:val="21"/>
          <w:lang w:eastAsia="zh-CN"/>
        </w:rPr>
        <w:t>《药品经营质量管理规范》（2016版）</w:t>
      </w:r>
    </w:p>
    <w:bookmarkEnd w:id="25"/>
    <w:p>
      <w:pPr>
        <w:numPr>
          <w:ilvl w:val="0"/>
          <w:numId w:val="5"/>
        </w:numPr>
        <w:spacing w:line="360" w:lineRule="auto"/>
        <w:ind w:left="777"/>
        <w:rPr>
          <w:rFonts w:ascii="宋体" w:hAnsi="宋体"/>
          <w:color w:val="4472C4"/>
          <w:szCs w:val="21"/>
          <w:lang w:eastAsia="zh-CN"/>
        </w:rPr>
      </w:pPr>
      <w:bookmarkStart w:id="26" w:name="_Hlk132810854"/>
      <w:r>
        <w:rPr>
          <w:rFonts w:ascii="宋体" w:hAnsi="宋体"/>
          <w:szCs w:val="21"/>
          <w:lang w:eastAsia="zh-CN"/>
        </w:rPr>
        <w:t>《药品</w:t>
      </w:r>
      <w:r>
        <w:rPr>
          <w:rFonts w:hint="eastAsia" w:ascii="宋体" w:hAnsi="宋体"/>
          <w:szCs w:val="21"/>
          <w:lang w:eastAsia="zh-CN"/>
        </w:rPr>
        <w:t>生产</w:t>
      </w:r>
      <w:r>
        <w:rPr>
          <w:rFonts w:ascii="宋体" w:hAnsi="宋体"/>
          <w:szCs w:val="21"/>
          <w:lang w:eastAsia="zh-CN"/>
        </w:rPr>
        <w:t>质量管理规范》（2010版）</w:t>
      </w:r>
      <w:bookmarkEnd w:id="26"/>
    </w:p>
    <w:p>
      <w:pPr>
        <w:numPr>
          <w:ilvl w:val="0"/>
          <w:numId w:val="5"/>
        </w:numPr>
        <w:spacing w:line="360" w:lineRule="auto"/>
        <w:ind w:left="777"/>
        <w:rPr>
          <w:rFonts w:ascii="宋体" w:hAnsi="宋体"/>
          <w:color w:val="4472C4"/>
          <w:szCs w:val="21"/>
          <w:lang w:eastAsia="zh-CN"/>
        </w:rPr>
      </w:pPr>
      <w:r>
        <w:rPr>
          <w:rFonts w:ascii="宋体" w:hAnsi="宋体"/>
          <w:szCs w:val="21"/>
          <w:lang w:eastAsia="zh-CN"/>
        </w:rPr>
        <w:t>《</w:t>
      </w:r>
      <w:r>
        <w:rPr>
          <w:rFonts w:hint="eastAsia" w:ascii="宋体" w:hAnsi="宋体"/>
          <w:szCs w:val="21"/>
          <w:lang w:eastAsia="zh-CN"/>
        </w:rPr>
        <w:t>药品G</w:t>
      </w:r>
      <w:r>
        <w:rPr>
          <w:rFonts w:ascii="宋体" w:hAnsi="宋体"/>
          <w:szCs w:val="21"/>
          <w:lang w:eastAsia="zh-CN"/>
        </w:rPr>
        <w:t>MP</w:t>
      </w:r>
      <w:r>
        <w:rPr>
          <w:rFonts w:hint="eastAsia" w:ascii="宋体" w:hAnsi="宋体"/>
          <w:szCs w:val="21"/>
          <w:lang w:eastAsia="zh-CN"/>
        </w:rPr>
        <w:t>指南</w:t>
      </w:r>
      <w:r>
        <w:rPr>
          <w:rFonts w:ascii="宋体" w:hAnsi="宋体"/>
          <w:szCs w:val="21"/>
          <w:lang w:eastAsia="zh-CN"/>
        </w:rPr>
        <w:t>》（2011版）</w:t>
      </w:r>
    </w:p>
    <w:p>
      <w:pPr>
        <w:numPr>
          <w:ilvl w:val="0"/>
          <w:numId w:val="5"/>
        </w:numPr>
        <w:spacing w:line="360" w:lineRule="auto"/>
        <w:ind w:left="777"/>
        <w:rPr>
          <w:rFonts w:ascii="宋体" w:hAnsi="宋体"/>
          <w:color w:val="4472C4"/>
          <w:szCs w:val="21"/>
          <w:lang w:eastAsia="zh-CN"/>
        </w:rPr>
      </w:pPr>
      <w:r>
        <w:rPr>
          <w:rFonts w:hint="eastAsia" w:ascii="宋体" w:hAnsi="宋体"/>
          <w:szCs w:val="21"/>
          <w:lang w:val="en-US" w:eastAsia="zh-CN"/>
        </w:rPr>
        <w:t xml:space="preserve"> 疫苗管理法（2019年版）</w:t>
      </w:r>
    </w:p>
    <w:p>
      <w:pPr>
        <w:numPr>
          <w:ilvl w:val="0"/>
          <w:numId w:val="5"/>
        </w:numPr>
        <w:spacing w:line="360" w:lineRule="auto"/>
        <w:ind w:left="777"/>
        <w:rPr>
          <w:rFonts w:hint="eastAsia" w:ascii="宋体" w:hAnsi="宋体"/>
          <w:szCs w:val="21"/>
          <w:lang w:val="en-US" w:eastAsia="zh-CN"/>
        </w:rPr>
      </w:pPr>
      <w:r>
        <w:rPr>
          <w:rFonts w:hint="eastAsia" w:ascii="宋体" w:hAnsi="宋体"/>
          <w:szCs w:val="21"/>
          <w:lang w:val="en-US" w:eastAsia="zh-CN"/>
        </w:rPr>
        <w:t xml:space="preserve"> 疫苗运输和储存管理规范（2017年版）</w:t>
      </w:r>
    </w:p>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rFonts w:ascii="宋体" w:hAnsi="宋体" w:eastAsia="宋体" w:cs="Times New Roman"/>
          <w:sz w:val="21"/>
          <w:szCs w:val="21"/>
          <w:lang w:val="en-GB" w:eastAsia="zh-CN" w:bidi="ar-SA"/>
        </w:rPr>
      </w:pPr>
      <w:permStart w:id="1" w:edGrp="everyone"/>
      <w:r>
        <w:rPr>
          <w:rFonts w:hint="eastAsia" w:ascii="宋体" w:hAnsi="宋体" w:cs="Times New Roman"/>
          <w:sz w:val="21"/>
          <w:szCs w:val="21"/>
          <w:lang w:val="en-US" w:eastAsia="zh-CN" w:bidi="ar-SA"/>
        </w:rPr>
        <w:t>机动工业车辆安全规范GB 10827-1999</w:t>
      </w:r>
    </w:p>
    <w:p>
      <w:pPr>
        <w:pStyle w:val="41"/>
        <w:numPr>
          <w:ilvl w:val="0"/>
          <w:numId w:val="5"/>
        </w:numPr>
        <w:spacing w:before="0" w:line="360" w:lineRule="auto"/>
        <w:ind w:left="777"/>
        <w:jc w:val="left"/>
        <w:rPr>
          <w:rFonts w:ascii="宋体" w:hAnsi="宋体" w:eastAsia="宋体" w:cs="Times New Roman"/>
          <w:sz w:val="21"/>
          <w:szCs w:val="21"/>
          <w:lang w:val="en-GB" w:eastAsia="zh-CN" w:bidi="ar-SA"/>
        </w:rPr>
      </w:pPr>
      <w:r>
        <w:rPr>
          <w:rFonts w:hint="eastAsia" w:ascii="宋体" w:hAnsi="宋体" w:cs="Times New Roman"/>
          <w:sz w:val="21"/>
          <w:szCs w:val="21"/>
          <w:lang w:val="en-US" w:eastAsia="zh-CN" w:bidi="ar-SA"/>
        </w:rPr>
        <w:t>叉车安全技术规范GB/T 17887-1999</w:t>
      </w:r>
    </w:p>
    <w:permEnd w:id="1"/>
    <w:p>
      <w:pPr>
        <w:pStyle w:val="31"/>
        <w:numPr>
          <w:ilvl w:val="0"/>
          <w:numId w:val="3"/>
        </w:numPr>
        <w:spacing w:after="158" w:afterLines="50"/>
        <w:ind w:left="426" w:hanging="426" w:hangingChars="202"/>
        <w:outlineLvl w:val="0"/>
        <w:rPr>
          <w:rFonts w:ascii="Times New Roman" w:hAnsi="Times New Roman"/>
          <w:b/>
        </w:rPr>
      </w:pPr>
      <w:bookmarkStart w:id="27" w:name="_Toc14861"/>
      <w:bookmarkStart w:id="28" w:name="_Toc522716119"/>
      <w:bookmarkStart w:id="29" w:name="_Toc522107739"/>
      <w:r>
        <w:rPr>
          <w:rFonts w:hint="eastAsia" w:ascii="Times New Roman" w:hAnsi="Times New Roman"/>
          <w:b/>
        </w:rPr>
        <w:t>项目</w:t>
      </w:r>
      <w:r>
        <w:rPr>
          <w:rFonts w:ascii="Times New Roman" w:hAnsi="Times New Roman"/>
          <w:b/>
        </w:rPr>
        <w:t>描述</w:t>
      </w:r>
      <w:bookmarkEnd w:id="27"/>
      <w:bookmarkEnd w:id="28"/>
      <w:bookmarkEnd w:id="29"/>
    </w:p>
    <w:p>
      <w:pPr>
        <w:pStyle w:val="31"/>
        <w:spacing w:after="158" w:afterLines="50"/>
        <w:ind w:left="426" w:firstLine="0" w:firstLineChars="0"/>
        <w:outlineLvl w:val="0"/>
        <w:rPr>
          <w:rFonts w:hint="default" w:ascii="Times New Roman" w:hAnsi="Times New Roman" w:eastAsia="宋体"/>
          <w:lang w:val="en-US" w:eastAsia="zh-CN"/>
        </w:rPr>
      </w:pPr>
      <w:bookmarkStart w:id="30" w:name="_Toc522716120"/>
      <w:bookmarkStart w:id="31" w:name="_Toc18017"/>
      <w:r>
        <w:rPr>
          <w:rFonts w:hint="eastAsia" w:ascii="Times New Roman" w:hAnsi="Times New Roman"/>
          <w:lang w:val="en-US" w:eastAsia="zh-CN"/>
        </w:rPr>
        <w:t>武汉生物制品研究所有限责任公司储运部搬运工作。</w:t>
      </w:r>
    </w:p>
    <w:p>
      <w:pPr>
        <w:pStyle w:val="31"/>
        <w:numPr>
          <w:ilvl w:val="0"/>
          <w:numId w:val="3"/>
        </w:numPr>
        <w:spacing w:after="158" w:afterLines="50"/>
        <w:ind w:left="426" w:hanging="426" w:hangingChars="202"/>
        <w:outlineLvl w:val="0"/>
        <w:rPr>
          <w:rFonts w:ascii="Times New Roman" w:hAnsi="Times New Roman"/>
          <w:b/>
          <w:szCs w:val="21"/>
        </w:rPr>
      </w:pPr>
      <w:r>
        <w:rPr>
          <w:rFonts w:hint="eastAsia" w:ascii="Times New Roman" w:hAnsi="Times New Roman"/>
          <w:b/>
          <w:szCs w:val="21"/>
        </w:rPr>
        <w:t>总体</w:t>
      </w:r>
      <w:r>
        <w:rPr>
          <w:rFonts w:ascii="Times New Roman" w:hAnsi="Times New Roman"/>
          <w:b/>
          <w:szCs w:val="21"/>
        </w:rPr>
        <w:t>要求</w:t>
      </w:r>
      <w:bookmarkEnd w:id="30"/>
      <w:bookmarkEnd w:id="31"/>
      <w:bookmarkStart w:id="59" w:name="_GoBack"/>
      <w:bookmarkEnd w:id="59"/>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32" w:name="OLE_LINK2"/>
            <w:bookmarkStart w:id="33"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6"/>
              </w:numPr>
              <w:ind w:left="470" w:hanging="120" w:firstLineChars="0"/>
              <w:rPr>
                <w:rFonts w:ascii="Times New Roman" w:hAnsi="Times New Roman"/>
                <w:szCs w:val="21"/>
              </w:rPr>
            </w:pPr>
            <w:permStart w:id="2" w:edGrp="everyone" w:colFirst="1" w:colLast="1"/>
            <w:permStart w:id="3" w:edGrp="everyone" w:colFirst="2" w:colLast="2"/>
          </w:p>
        </w:tc>
        <w:tc>
          <w:tcPr>
            <w:tcW w:w="7128" w:type="dxa"/>
            <w:shd w:val="clear" w:color="auto" w:fill="auto"/>
            <w:vAlign w:val="center"/>
          </w:tcPr>
          <w:p>
            <w:pPr>
              <w:rPr>
                <w:rFonts w:ascii="微软雅黑" w:hAnsi="微软雅黑" w:cs="微软雅黑"/>
                <w:i/>
                <w:iCs/>
                <w:color w:val="4F81BD" w:themeColor="accent1"/>
                <w:lang w:eastAsia="zh-CN"/>
                <w14:textFill>
                  <w14:solidFill>
                    <w14:schemeClr w14:val="accent1"/>
                  </w14:solidFill>
                </w14:textFill>
              </w:rPr>
            </w:pPr>
            <w:r>
              <w:rPr>
                <w:rFonts w:hint="eastAsia" w:cs="Arial" w:asciiTheme="majorEastAsia" w:hAnsiTheme="majorEastAsia" w:eastAsiaTheme="majorEastAsia"/>
                <w:szCs w:val="21"/>
                <w:lang w:eastAsia="zh-CN"/>
              </w:rPr>
              <w:t>投标人应具备承担本招标项目资质条件、能力和信誉，具体要求详见投标文件资质要求。</w:t>
            </w:r>
          </w:p>
        </w:tc>
        <w:tc>
          <w:tcPr>
            <w:tcW w:w="2125" w:type="dxa"/>
            <w:shd w:val="clear" w:color="auto" w:fill="auto"/>
            <w:vAlign w:val="center"/>
          </w:tcPr>
          <w:p>
            <w:pPr>
              <w:jc w:val="both"/>
              <w:rPr>
                <w:rFonts w:hint="default"/>
                <w:iCs/>
                <w:color w:val="0070C0"/>
                <w:szCs w:val="21"/>
                <w:lang w:val="en-US" w:eastAsia="zh-CN"/>
              </w:rPr>
            </w:pPr>
            <w:r>
              <w:rPr>
                <w:rFonts w:hint="eastAsia"/>
                <w:iCs/>
                <w:szCs w:val="21"/>
                <w:lang w:eastAsia="zh-CN"/>
              </w:rPr>
              <w:t>关键</w:t>
            </w:r>
          </w:p>
        </w:tc>
      </w:tr>
      <w:permEnd w:id="2"/>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6"/>
              </w:numPr>
              <w:ind w:left="470" w:hanging="120" w:firstLineChars="0"/>
              <w:jc w:val="center"/>
              <w:rPr>
                <w:rFonts w:ascii="Times New Roman" w:hAnsi="Times New Roman"/>
                <w:szCs w:val="21"/>
              </w:rPr>
            </w:pPr>
            <w:permStart w:id="4" w:edGrp="everyone" w:colFirst="1" w:colLast="1"/>
            <w:permStart w:id="5" w:edGrp="everyone" w:colFirst="2" w:colLast="2"/>
          </w:p>
        </w:tc>
        <w:tc>
          <w:tcPr>
            <w:tcW w:w="7128" w:type="dxa"/>
            <w:shd w:val="clear" w:color="auto" w:fill="auto"/>
            <w:vAlign w:val="center"/>
          </w:tcPr>
          <w:p>
            <w:pPr>
              <w:rPr>
                <w:rFonts w:hint="eastAsia"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项目服务公司应当严格保守所有涉及武汉公司的机密。</w:t>
            </w:r>
          </w:p>
        </w:tc>
        <w:tc>
          <w:tcPr>
            <w:tcW w:w="2125" w:type="dxa"/>
            <w:shd w:val="clear" w:color="auto" w:fill="auto"/>
            <w:vAlign w:val="center"/>
          </w:tcPr>
          <w:p>
            <w:pPr>
              <w:jc w:val="both"/>
              <w:rPr>
                <w:i/>
                <w:color w:val="0070C0"/>
                <w:szCs w:val="21"/>
                <w:lang w:eastAsia="zh-CN"/>
              </w:rPr>
            </w:pPr>
            <w:r>
              <w:rPr>
                <w:rFonts w:hint="eastAsia"/>
                <w:iCs/>
                <w:szCs w:val="21"/>
                <w:lang w:eastAsia="zh-CN"/>
              </w:rPr>
              <w:t>关键</w:t>
            </w:r>
          </w:p>
        </w:tc>
      </w:tr>
      <w:bookmarkEnd w:id="32"/>
      <w:bookmarkEnd w:id="33"/>
      <w:permEnd w:id="4"/>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ermStart w:id="6" w:edGrp="everyone" w:colFirst="1" w:colLast="1"/>
            <w:permStart w:id="7" w:edGrp="everyone" w:colFirst="2" w:colLast="2"/>
          </w:p>
        </w:tc>
        <w:tc>
          <w:tcPr>
            <w:tcW w:w="7128" w:type="dxa"/>
            <w:vAlign w:val="center"/>
          </w:tcPr>
          <w:p>
            <w:pPr>
              <w:rPr>
                <w:rFonts w:hint="eastAsia"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项目服务公司提供的所有模版和文件（需可编辑电子版）须符合武汉公司相关文件管理要求，并得到需方批准。</w:t>
            </w:r>
          </w:p>
        </w:tc>
        <w:tc>
          <w:tcPr>
            <w:tcW w:w="2125" w:type="dxa"/>
          </w:tcPr>
          <w:p>
            <w:pPr>
              <w:jc w:val="both"/>
              <w:rPr>
                <w:i/>
                <w:color w:val="0070C0"/>
                <w:szCs w:val="21"/>
                <w:lang w:eastAsia="zh-CN"/>
              </w:rPr>
            </w:pPr>
            <w:r>
              <w:rPr>
                <w:rFonts w:hint="eastAsia"/>
                <w:iCs/>
                <w:szCs w:val="21"/>
                <w:lang w:val="en-US" w:eastAsia="zh-CN"/>
              </w:rPr>
              <w:t>N/A</w:t>
            </w:r>
          </w:p>
        </w:tc>
      </w:tr>
      <w:permEnd w:id="6"/>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ermStart w:id="8" w:edGrp="everyone" w:colFirst="1" w:colLast="1"/>
            <w:permStart w:id="9" w:edGrp="everyone" w:colFirst="2" w:colLast="2"/>
          </w:p>
        </w:tc>
        <w:tc>
          <w:tcPr>
            <w:tcW w:w="7128" w:type="dxa"/>
            <w:vAlign w:val="center"/>
          </w:tcPr>
          <w:p>
            <w:pPr>
              <w:rPr>
                <w:rFonts w:hint="eastAsia"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项目服务公司在开展工作期间，需确保遵守武汉公司安全管理等各项规定。</w:t>
            </w:r>
          </w:p>
        </w:tc>
        <w:tc>
          <w:tcPr>
            <w:tcW w:w="2125" w:type="dxa"/>
          </w:tcPr>
          <w:p>
            <w:pPr>
              <w:jc w:val="both"/>
              <w:rPr>
                <w:i/>
                <w:color w:val="0070C0"/>
                <w:szCs w:val="21"/>
                <w:lang w:eastAsia="zh-CN"/>
              </w:rPr>
            </w:pPr>
            <w:r>
              <w:rPr>
                <w:rFonts w:hint="eastAsia"/>
                <w:iCs/>
                <w:szCs w:val="21"/>
                <w:lang w:eastAsia="zh-CN"/>
              </w:rPr>
              <w:t>关键</w:t>
            </w:r>
          </w:p>
        </w:tc>
      </w:tr>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ermStart w:id="10" w:edGrp="everyone" w:colFirst="1" w:colLast="1"/>
            <w:permStart w:id="11" w:edGrp="everyone" w:colFirst="2" w:colLast="2"/>
          </w:p>
        </w:tc>
        <w:tc>
          <w:tcPr>
            <w:tcW w:w="7128" w:type="dxa"/>
            <w:vAlign w:val="center"/>
          </w:tcPr>
          <w:p>
            <w:pPr>
              <w:rPr>
                <w:rFonts w:hint="eastAsia"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项目过程中出现的偏差及变更按照武汉公司的变更及偏差处理流程执行。并确认是否达到预期目的及后续需进行的工作。</w:t>
            </w:r>
          </w:p>
        </w:tc>
        <w:tc>
          <w:tcPr>
            <w:tcW w:w="2125" w:type="dxa"/>
          </w:tcPr>
          <w:p>
            <w:pPr>
              <w:jc w:val="both"/>
              <w:rPr>
                <w:i/>
                <w:color w:val="0070C0"/>
                <w:szCs w:val="21"/>
                <w:lang w:eastAsia="zh-CN"/>
              </w:rPr>
            </w:pPr>
            <w:r>
              <w:rPr>
                <w:rFonts w:hint="eastAsia"/>
                <w:iCs/>
                <w:szCs w:val="21"/>
                <w:lang w:val="en-US" w:eastAsia="zh-CN"/>
              </w:rPr>
              <w:t>N/A</w:t>
            </w:r>
          </w:p>
        </w:tc>
      </w:tr>
      <w:permEnd w:id="10"/>
      <w:permEnd w:id="11"/>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34" w:name="_Toc522716121"/>
      <w:bookmarkStart w:id="35" w:name="_Toc522107740"/>
      <w:bookmarkStart w:id="36" w:name="_Toc31646"/>
      <w:r>
        <w:rPr>
          <w:rFonts w:hint="eastAsia" w:ascii="Times New Roman" w:hAnsi="Times New Roman"/>
          <w:b/>
        </w:rPr>
        <w:t>资质</w:t>
      </w:r>
      <w:r>
        <w:rPr>
          <w:rFonts w:ascii="Times New Roman" w:hAnsi="Times New Roman"/>
          <w:b/>
        </w:rPr>
        <w:t>要求</w:t>
      </w:r>
      <w:bookmarkEnd w:id="34"/>
      <w:bookmarkEnd w:id="35"/>
      <w:bookmarkEnd w:id="36"/>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1"/>
              <w:numPr>
                <w:ilvl w:val="0"/>
                <w:numId w:val="6"/>
              </w:numPr>
              <w:ind w:left="470" w:hanging="120" w:firstLineChars="0"/>
              <w:rPr>
                <w:rFonts w:ascii="Times New Roman" w:hAnsi="Times New Roman"/>
                <w:szCs w:val="21"/>
              </w:rPr>
            </w:pPr>
            <w:permStart w:id="12" w:edGrp="everyone" w:colFirst="1" w:colLast="1"/>
            <w:permStart w:id="13" w:edGrp="everyone" w:colFirst="2" w:colLast="2"/>
          </w:p>
        </w:tc>
        <w:tc>
          <w:tcPr>
            <w:tcW w:w="7122" w:type="dxa"/>
            <w:shd w:val="clear" w:color="auto" w:fill="auto"/>
            <w:vAlign w:val="center"/>
          </w:tcPr>
          <w:p>
            <w:pPr>
              <w:rPr>
                <w:rFonts w:cs="微软雅黑" w:asciiTheme="majorEastAsia" w:hAnsiTheme="majorEastAsia" w:eastAsiaTheme="majorEastAsia"/>
                <w:szCs w:val="21"/>
                <w:lang w:eastAsia="zh-CN"/>
              </w:rPr>
            </w:pPr>
            <w:r>
              <w:rPr>
                <w:rFonts w:hint="eastAsia" w:cs="Arial" w:asciiTheme="majorEastAsia" w:hAnsiTheme="majorEastAsia" w:eastAsiaTheme="majorEastAsia"/>
                <w:szCs w:val="21"/>
                <w:lang w:eastAsia="zh-CN"/>
              </w:rPr>
              <w:t>在中华人民共和国境内合法注册的，具有独立承担民事责任的能力，需提供营业执照等证明文件复印件。</w:t>
            </w:r>
          </w:p>
        </w:tc>
        <w:tc>
          <w:tcPr>
            <w:tcW w:w="2128" w:type="dxa"/>
            <w:shd w:val="clear" w:color="auto" w:fill="auto"/>
            <w:vAlign w:val="center"/>
          </w:tcPr>
          <w:p>
            <w:pPr>
              <w:jc w:val="both"/>
              <w:rPr>
                <w:szCs w:val="21"/>
                <w:lang w:eastAsia="zh-CN"/>
              </w:rPr>
            </w:pPr>
            <w:r>
              <w:rPr>
                <w:rFonts w:hint="eastAsia"/>
                <w:iCs/>
                <w:szCs w:val="21"/>
                <w:lang w:eastAsia="zh-CN"/>
              </w:rPr>
              <w:t>关键</w:t>
            </w:r>
          </w:p>
        </w:tc>
      </w:tr>
      <w:permEnd w:id="12"/>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6"/>
              </w:numPr>
              <w:ind w:left="470" w:hanging="120" w:firstLineChars="0"/>
              <w:jc w:val="center"/>
              <w:rPr>
                <w:rFonts w:ascii="Times New Roman" w:hAnsi="Times New Roman"/>
                <w:szCs w:val="21"/>
              </w:rPr>
            </w:pPr>
            <w:bookmarkStart w:id="37" w:name="_Toc522716122"/>
            <w:bookmarkStart w:id="38" w:name="_Toc522107742"/>
            <w:bookmarkStart w:id="39" w:name="_Toc481702480"/>
            <w:bookmarkStart w:id="40" w:name="_Toc482370071"/>
            <w:bookmarkStart w:id="41" w:name="_Toc482717202"/>
            <w:bookmarkStart w:id="42" w:name="_Toc483400317"/>
            <w:bookmarkStart w:id="43" w:name="_Toc482369815"/>
            <w:bookmarkStart w:id="44" w:name="_Toc482370359"/>
            <w:bookmarkStart w:id="45" w:name="_Toc483227237"/>
            <w:bookmarkStart w:id="46" w:name="_Toc482360291"/>
            <w:bookmarkStart w:id="47" w:name="_Toc482370151"/>
            <w:bookmarkStart w:id="48" w:name="_Toc482370767"/>
            <w:bookmarkStart w:id="49" w:name="_Toc482359946"/>
            <w:bookmarkStart w:id="50" w:name="_Toc482625289"/>
            <w:permStart w:id="14" w:edGrp="everyone" w:colFirst="1" w:colLast="1"/>
            <w:permStart w:id="15" w:edGrp="everyone" w:colFirst="2" w:colLast="2"/>
          </w:p>
        </w:tc>
        <w:tc>
          <w:tcPr>
            <w:tcW w:w="7122" w:type="dxa"/>
            <w:vAlign w:val="center"/>
          </w:tcPr>
          <w:p>
            <w:pPr>
              <w:rPr>
                <w:rFonts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投标人需提供反商业贿赂承诺书。</w:t>
            </w:r>
          </w:p>
        </w:tc>
        <w:tc>
          <w:tcPr>
            <w:tcW w:w="2128" w:type="dxa"/>
          </w:tcPr>
          <w:p>
            <w:pPr>
              <w:jc w:val="both"/>
              <w:rPr>
                <w:szCs w:val="21"/>
                <w:lang w:eastAsia="zh-CN"/>
              </w:rPr>
            </w:pPr>
            <w:r>
              <w:rPr>
                <w:rFonts w:hint="eastAsia"/>
                <w:iCs/>
                <w:szCs w:val="21"/>
                <w:lang w:eastAsia="zh-CN"/>
              </w:rPr>
              <w:t>关键</w:t>
            </w:r>
          </w:p>
        </w:tc>
      </w:tr>
      <w:permEnd w:id="14"/>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vAlign w:val="center"/>
          </w:tcPr>
          <w:p>
            <w:pPr>
              <w:pStyle w:val="31"/>
              <w:numPr>
                <w:ilvl w:val="0"/>
                <w:numId w:val="6"/>
              </w:numPr>
              <w:ind w:left="470" w:hanging="120" w:firstLineChars="0"/>
              <w:jc w:val="center"/>
              <w:rPr>
                <w:rFonts w:ascii="Times New Roman" w:hAnsi="Times New Roman"/>
                <w:szCs w:val="21"/>
              </w:rPr>
            </w:pPr>
            <w:permStart w:id="16" w:edGrp="everyone" w:colFirst="1" w:colLast="1"/>
            <w:permStart w:id="17" w:edGrp="everyone" w:colFirst="2" w:colLast="2"/>
          </w:p>
        </w:tc>
        <w:tc>
          <w:tcPr>
            <w:tcW w:w="7122" w:type="dxa"/>
            <w:vAlign w:val="center"/>
          </w:tcPr>
          <w:p>
            <w:pPr>
              <w:rPr>
                <w:rFonts w:ascii="微软雅黑" w:eastAsia="微软雅黑" w:cs="微软雅黑"/>
                <w:i/>
                <w:iCs/>
                <w:color w:val="4F81BD" w:themeColor="accent1"/>
                <w:lang w:eastAsia="zh-CN"/>
                <w14:textFill>
                  <w14:solidFill>
                    <w14:schemeClr w14:val="accent1"/>
                  </w14:solidFill>
                </w14:textFill>
              </w:rPr>
            </w:pPr>
            <w:r>
              <w:rPr>
                <w:rFonts w:hint="eastAsia" w:cs="Arial" w:asciiTheme="majorEastAsia" w:hAnsiTheme="majorEastAsia" w:eastAsiaTheme="majorEastAsia"/>
                <w:szCs w:val="21"/>
                <w:lang w:eastAsia="zh-CN"/>
              </w:rPr>
              <w:t>法律法规要求的其他规定。</w:t>
            </w:r>
          </w:p>
        </w:tc>
        <w:tc>
          <w:tcPr>
            <w:tcW w:w="2128" w:type="dxa"/>
          </w:tcPr>
          <w:p>
            <w:pPr>
              <w:jc w:val="both"/>
              <w:rPr>
                <w:szCs w:val="21"/>
                <w:lang w:eastAsia="zh-CN"/>
              </w:rPr>
            </w:pPr>
            <w:r>
              <w:rPr>
                <w:rFonts w:hint="eastAsia"/>
                <w:iCs/>
                <w:szCs w:val="21"/>
                <w:lang w:eastAsia="zh-CN"/>
              </w:rPr>
              <w:t>关键</w:t>
            </w:r>
          </w:p>
        </w:tc>
      </w:tr>
      <w:permEnd w:id="16"/>
      <w:permEnd w:id="17"/>
    </w:tbl>
    <w:p>
      <w:pPr>
        <w:pStyle w:val="31"/>
        <w:spacing w:after="158" w:afterLines="50"/>
        <w:ind w:left="-424" w:leftChars="-202" w:firstLine="0" w:firstLineChars="0"/>
        <w:rPr>
          <w:rFonts w:ascii="Times New Roman" w:hAnsi="Times New Roman"/>
          <w:b/>
        </w:rPr>
      </w:pPr>
    </w:p>
    <w:p>
      <w:pPr>
        <w:pStyle w:val="31"/>
        <w:numPr>
          <w:ilvl w:val="0"/>
          <w:numId w:val="3"/>
        </w:numPr>
        <w:spacing w:after="158" w:afterLines="50"/>
        <w:ind w:left="426" w:hanging="426" w:hangingChars="202"/>
        <w:outlineLvl w:val="0"/>
        <w:rPr>
          <w:rFonts w:ascii="Times New Roman" w:hAnsi="Times New Roman"/>
          <w:b/>
        </w:rPr>
      </w:pPr>
      <w:bookmarkStart w:id="51" w:name="_Toc16942"/>
      <w:r>
        <w:rPr>
          <w:rFonts w:hint="eastAsia" w:ascii="Times New Roman" w:hAnsi="Times New Roman"/>
          <w:b/>
        </w:rPr>
        <w:t>管理实施及具体</w:t>
      </w:r>
      <w:r>
        <w:rPr>
          <w:rFonts w:ascii="Times New Roman" w:hAnsi="Times New Roman"/>
          <w:b/>
        </w:rPr>
        <w:t>要求</w:t>
      </w:r>
      <w:bookmarkEnd w:id="37"/>
      <w:bookmarkEnd w:id="51"/>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6"/>
              </w:numPr>
              <w:ind w:left="470" w:hanging="120" w:firstLineChars="0"/>
              <w:rPr>
                <w:rFonts w:ascii="Times New Roman" w:hAnsi="Times New Roman"/>
                <w:szCs w:val="21"/>
              </w:rPr>
            </w:pPr>
            <w:permStart w:id="18" w:edGrp="everyone" w:colFirst="1" w:colLast="1"/>
            <w:permStart w:id="19" w:edGrp="everyone" w:colFirst="2" w:colLast="2"/>
          </w:p>
        </w:tc>
        <w:tc>
          <w:tcPr>
            <w:tcW w:w="7128" w:type="dxa"/>
            <w:shd w:val="clear" w:color="auto" w:fill="auto"/>
            <w:vAlign w:val="center"/>
          </w:tcPr>
          <w:p>
            <w:pPr>
              <w:rPr>
                <w:rFonts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人员资质与培训</w:t>
            </w:r>
          </w:p>
          <w:p>
            <w:pPr>
              <w:pStyle w:val="31"/>
              <w:numPr>
                <w:ilvl w:val="0"/>
                <w:numId w:val="7"/>
              </w:numPr>
              <w:ind w:firstLineChars="0"/>
              <w:rPr>
                <w:rFonts w:cs="Arial" w:asciiTheme="majorEastAsia" w:hAnsiTheme="majorEastAsia" w:eastAsiaTheme="majorEastAsia"/>
                <w:szCs w:val="21"/>
              </w:rPr>
            </w:pPr>
            <w:r>
              <w:rPr>
                <w:rFonts w:hint="eastAsia" w:cs="Arial" w:asciiTheme="majorEastAsia" w:hAnsiTheme="majorEastAsia" w:eastAsiaTheme="majorEastAsia"/>
                <w:szCs w:val="21"/>
                <w:lang w:val="en-US" w:eastAsia="zh-CN"/>
              </w:rPr>
              <w:t>所有员工都应接受过专业培训，了解搬运技巧、安全操作流程以及如何正确处理各种类型的物料、成品，特别是易碎或者贵重物品。</w:t>
            </w:r>
          </w:p>
          <w:p>
            <w:pPr>
              <w:pStyle w:val="31"/>
              <w:numPr>
                <w:ilvl w:val="0"/>
                <w:numId w:val="7"/>
              </w:numPr>
              <w:ind w:firstLineChars="0"/>
              <w:rPr>
                <w:rFonts w:cs="Arial" w:asciiTheme="majorEastAsia" w:hAnsiTheme="majorEastAsia" w:eastAsiaTheme="majorEastAsia"/>
                <w:szCs w:val="21"/>
              </w:rPr>
            </w:pPr>
            <w:r>
              <w:rPr>
                <w:rFonts w:hint="eastAsia" w:cs="Arial" w:asciiTheme="majorEastAsia" w:hAnsiTheme="majorEastAsia" w:eastAsiaTheme="majorEastAsia"/>
                <w:szCs w:val="21"/>
                <w:lang w:val="en-US" w:eastAsia="zh-CN"/>
              </w:rPr>
              <w:t>熟悉并遵守武汉公司各类条款制度，确保服务顺利进行。</w:t>
            </w:r>
          </w:p>
        </w:tc>
        <w:tc>
          <w:tcPr>
            <w:tcW w:w="2125" w:type="dxa"/>
            <w:shd w:val="clear" w:color="auto" w:fill="auto"/>
            <w:vAlign w:val="center"/>
          </w:tcPr>
          <w:p>
            <w:pPr>
              <w:jc w:val="both"/>
              <w:rPr>
                <w:szCs w:val="21"/>
                <w:lang w:eastAsia="zh-CN"/>
              </w:rPr>
            </w:pPr>
            <w:r>
              <w:rPr>
                <w:rFonts w:hint="eastAsia"/>
                <w:iCs/>
                <w:szCs w:val="21"/>
                <w:lang w:eastAsia="zh-CN"/>
              </w:rPr>
              <w:t>关键</w:t>
            </w:r>
          </w:p>
        </w:tc>
      </w:tr>
      <w:permEnd w:id="18"/>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ermStart w:id="20" w:edGrp="everyone" w:colFirst="1" w:colLast="1"/>
            <w:permStart w:id="21" w:edGrp="everyone" w:colFirst="2" w:colLast="2"/>
          </w:p>
        </w:tc>
        <w:tc>
          <w:tcPr>
            <w:tcW w:w="7128" w:type="dxa"/>
            <w:vAlign w:val="center"/>
          </w:tcPr>
          <w:p>
            <w:pPr>
              <w:rPr>
                <w:rFonts w:hint="default" w:cs="Arial" w:asciiTheme="majorEastAsia" w:hAnsiTheme="majorEastAsia" w:eastAsiaTheme="majorEastAsia"/>
                <w:szCs w:val="21"/>
                <w:lang w:val="en-US" w:eastAsia="zh-CN"/>
              </w:rPr>
            </w:pPr>
            <w:r>
              <w:rPr>
                <w:rFonts w:hint="eastAsia" w:cs="Arial" w:asciiTheme="majorEastAsia" w:hAnsiTheme="majorEastAsia" w:eastAsiaTheme="majorEastAsia"/>
                <w:szCs w:val="21"/>
                <w:lang w:val="en-US" w:eastAsia="zh-CN"/>
              </w:rPr>
              <w:t>搬运公司需至少安排8名驻厂搬运人员，且24小时均可实时沟通。若在非工作时间有紧急搬运任务需在半小时内提供足够搬运人员进厂实施搬运工作，确保储运工作在要求时限内完成。</w:t>
            </w:r>
          </w:p>
        </w:tc>
        <w:tc>
          <w:tcPr>
            <w:tcW w:w="2125" w:type="dxa"/>
          </w:tcPr>
          <w:p>
            <w:pPr>
              <w:jc w:val="both"/>
              <w:rPr>
                <w:szCs w:val="21"/>
                <w:lang w:eastAsia="zh-CN"/>
              </w:rPr>
            </w:pPr>
            <w:r>
              <w:rPr>
                <w:rFonts w:hint="eastAsia"/>
                <w:iCs/>
                <w:szCs w:val="21"/>
                <w:lang w:eastAsia="zh-CN"/>
              </w:rPr>
              <w:t>关键</w:t>
            </w:r>
          </w:p>
        </w:tc>
      </w:tr>
      <w:permEnd w:id="20"/>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
        </w:tc>
        <w:tc>
          <w:tcPr>
            <w:tcW w:w="7128" w:type="dxa"/>
            <w:vAlign w:val="center"/>
          </w:tcPr>
          <w:p>
            <w:pPr>
              <w:rPr>
                <w:rFonts w:hint="default" w:cs="Arial" w:asciiTheme="majorEastAsia" w:hAnsiTheme="majorEastAsia" w:eastAsiaTheme="majorEastAsia"/>
                <w:szCs w:val="21"/>
                <w:lang w:val="en-US" w:eastAsia="zh-CN"/>
              </w:rPr>
            </w:pPr>
            <w:r>
              <w:rPr>
                <w:rFonts w:hint="eastAsia" w:cs="Arial" w:asciiTheme="majorEastAsia" w:hAnsiTheme="majorEastAsia" w:eastAsiaTheme="majorEastAsia"/>
                <w:szCs w:val="21"/>
                <w:lang w:val="en-US" w:eastAsia="zh-CN"/>
              </w:rPr>
              <w:t>武汉公司储运部具备多种温度段库房，包括低温冷库（-20℃左右）、冷库（2-8℃）、危险品仓库及常温库。搬运人员应具备整天都可在2-8摄氏度环境下的工作能力。成品冷库均为2-8℃冷库，且在危险品仓库搬运需满足危险品管控要求。</w:t>
            </w:r>
          </w:p>
        </w:tc>
        <w:tc>
          <w:tcPr>
            <w:tcW w:w="2125" w:type="dxa"/>
          </w:tcPr>
          <w:p>
            <w:pPr>
              <w:jc w:val="both"/>
              <w:rPr>
                <w:rFonts w:hint="eastAsia"/>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ermStart w:id="22" w:edGrp="everyone" w:colFirst="1" w:colLast="1"/>
            <w:permStart w:id="23" w:edGrp="everyone" w:colFirst="2" w:colLast="2"/>
          </w:p>
        </w:tc>
        <w:tc>
          <w:tcPr>
            <w:tcW w:w="7128" w:type="dxa"/>
            <w:vAlign w:val="center"/>
          </w:tcPr>
          <w:p>
            <w:pPr>
              <w:rPr>
                <w:rFonts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风险管控能力：具有应急管理制度并有效开展应急演练，具有风险管控能力。</w:t>
            </w:r>
          </w:p>
        </w:tc>
        <w:tc>
          <w:tcPr>
            <w:tcW w:w="2125" w:type="dxa"/>
          </w:tcPr>
          <w:p>
            <w:pPr>
              <w:jc w:val="both"/>
              <w:rPr>
                <w:szCs w:val="21"/>
                <w:lang w:eastAsia="zh-CN"/>
              </w:rPr>
            </w:pPr>
            <w:r>
              <w:rPr>
                <w:rFonts w:hint="eastAsia"/>
                <w:szCs w:val="21"/>
                <w:lang w:val="en-US" w:eastAsia="zh-CN"/>
              </w:rPr>
              <w:t>N/A</w:t>
            </w:r>
          </w:p>
        </w:tc>
      </w:tr>
      <w:permEnd w:id="22"/>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
        </w:tc>
        <w:tc>
          <w:tcPr>
            <w:tcW w:w="7128" w:type="dxa"/>
            <w:vAlign w:val="center"/>
          </w:tcPr>
          <w:p>
            <w:pPr>
              <w:rPr>
                <w:rFonts w:hint="default" w:cs="Arial" w:asciiTheme="majorEastAsia" w:hAnsiTheme="majorEastAsia" w:eastAsiaTheme="majorEastAsia"/>
                <w:szCs w:val="21"/>
                <w:lang w:val="en-US" w:eastAsia="zh-CN"/>
              </w:rPr>
            </w:pPr>
            <w:r>
              <w:rPr>
                <w:rFonts w:hint="eastAsia" w:cs="Arial" w:asciiTheme="majorEastAsia" w:hAnsiTheme="majorEastAsia" w:eastAsiaTheme="majorEastAsia"/>
                <w:szCs w:val="21"/>
                <w:lang w:val="en-US" w:eastAsia="zh-CN"/>
              </w:rPr>
              <w:t>安排驻厂的搬运人员，均需会开电动叉车并，以及携有特种设备（柴油叉车等）作业人员证。</w:t>
            </w:r>
          </w:p>
        </w:tc>
        <w:tc>
          <w:tcPr>
            <w:tcW w:w="2125" w:type="dxa"/>
          </w:tcPr>
          <w:p>
            <w:pPr>
              <w:jc w:val="both"/>
              <w:rPr>
                <w:rFonts w:hint="eastAsia"/>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
        </w:tc>
        <w:tc>
          <w:tcPr>
            <w:tcW w:w="7128" w:type="dxa"/>
            <w:vAlign w:val="center"/>
          </w:tcPr>
          <w:p>
            <w:pPr>
              <w:rPr>
                <w:rFonts w:hint="default" w:cs="Arial" w:asciiTheme="majorEastAsia" w:hAnsiTheme="majorEastAsia" w:eastAsiaTheme="majorEastAsia"/>
                <w:szCs w:val="21"/>
                <w:lang w:val="en-US" w:eastAsia="zh-CN"/>
              </w:rPr>
            </w:pPr>
            <w:r>
              <w:rPr>
                <w:rFonts w:hint="eastAsia" w:cs="Arial" w:asciiTheme="majorEastAsia" w:hAnsiTheme="majorEastAsia" w:eastAsiaTheme="majorEastAsia"/>
                <w:szCs w:val="21"/>
                <w:lang w:val="en-US" w:eastAsia="zh-CN"/>
              </w:rPr>
              <w:t>需在甲方规定的时限内完成物料、成品搬运、堆垛作业，严格按照商品外包装标识要求，堆码层次，做到轻拿轻放，严禁摔撞。若搬运公司逾期完成搬运事项，除应当继续完成外，应当按照搬运金额的5%支付违约金，若连续逾期三次以上无法完成搬运工作，武汉公司储运部有权直接终止合作。</w:t>
            </w:r>
          </w:p>
        </w:tc>
        <w:tc>
          <w:tcPr>
            <w:tcW w:w="2125" w:type="dxa"/>
          </w:tcPr>
          <w:p>
            <w:pPr>
              <w:jc w:val="both"/>
              <w:rPr>
                <w:rFonts w:hint="default"/>
                <w:iCs/>
                <w:szCs w:val="21"/>
                <w:lang w:val="en-US" w:eastAsia="zh-CN"/>
              </w:rPr>
            </w:pPr>
            <w:r>
              <w:rPr>
                <w:rFonts w:hint="eastAsia"/>
                <w:iCs/>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
        </w:tc>
        <w:tc>
          <w:tcPr>
            <w:tcW w:w="7128" w:type="dxa"/>
            <w:vAlign w:val="center"/>
          </w:tcPr>
          <w:p>
            <w:pPr>
              <w:rPr>
                <w:rFonts w:hint="default" w:cs="Arial" w:asciiTheme="majorEastAsia" w:hAnsiTheme="majorEastAsia" w:eastAsiaTheme="majorEastAsia"/>
                <w:szCs w:val="21"/>
                <w:lang w:val="en-US" w:eastAsia="zh-CN"/>
              </w:rPr>
            </w:pPr>
            <w:r>
              <w:rPr>
                <w:rFonts w:hint="eastAsia" w:cs="Arial" w:asciiTheme="majorEastAsia" w:hAnsiTheme="majorEastAsia" w:eastAsiaTheme="majorEastAsia"/>
                <w:szCs w:val="21"/>
                <w:lang w:val="en-US" w:eastAsia="zh-CN"/>
              </w:rPr>
              <w:t>物料、成品需按不同类别、品种、规格、批号，分类放置于不同清洁干净的托盘上。</w:t>
            </w:r>
          </w:p>
        </w:tc>
        <w:tc>
          <w:tcPr>
            <w:tcW w:w="2125" w:type="dxa"/>
          </w:tcPr>
          <w:p>
            <w:pPr>
              <w:jc w:val="both"/>
              <w:rPr>
                <w:rFonts w:hint="eastAsia"/>
                <w:iCs/>
                <w:szCs w:val="21"/>
                <w:lang w:eastAsia="zh-CN"/>
              </w:rPr>
            </w:pPr>
            <w:r>
              <w:rPr>
                <w:rFonts w:hint="eastAsia"/>
                <w:iCs/>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
        </w:tc>
        <w:tc>
          <w:tcPr>
            <w:tcW w:w="7128" w:type="dxa"/>
            <w:vAlign w:val="center"/>
          </w:tcPr>
          <w:p>
            <w:pPr>
              <w:rPr>
                <w:rFonts w:hint="default" w:cs="Arial" w:asciiTheme="majorEastAsia" w:hAnsiTheme="majorEastAsia" w:eastAsiaTheme="majorEastAsia"/>
                <w:szCs w:val="21"/>
                <w:lang w:val="en-US" w:eastAsia="zh-CN"/>
              </w:rPr>
            </w:pPr>
            <w:r>
              <w:rPr>
                <w:rFonts w:hint="eastAsia" w:cs="Arial" w:asciiTheme="majorEastAsia" w:hAnsiTheme="majorEastAsia" w:eastAsiaTheme="majorEastAsia"/>
                <w:szCs w:val="21"/>
                <w:lang w:val="en-US" w:eastAsia="zh-CN"/>
              </w:rPr>
              <w:t>如有损坏物品，乙方应照价赔偿。若发生偷盗行为，应按盗窃物品价值十倍赔偿，情节严重送有关司法部门处理。</w:t>
            </w:r>
          </w:p>
        </w:tc>
        <w:tc>
          <w:tcPr>
            <w:tcW w:w="2125" w:type="dxa"/>
          </w:tcPr>
          <w:p>
            <w:pPr>
              <w:jc w:val="both"/>
              <w:rPr>
                <w:rFonts w:hint="eastAsia"/>
                <w:iCs/>
                <w:szCs w:val="21"/>
                <w:lang w:eastAsia="zh-CN"/>
              </w:rPr>
            </w:pPr>
            <w:r>
              <w:rPr>
                <w:rFonts w:hint="eastAsia"/>
                <w:szCs w:val="21"/>
                <w:lang w:val="en-US"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
        </w:tc>
        <w:tc>
          <w:tcPr>
            <w:tcW w:w="7128" w:type="dxa"/>
            <w:vAlign w:val="center"/>
          </w:tcPr>
          <w:p>
            <w:pPr>
              <w:rPr>
                <w:rStyle w:val="23"/>
                <w:rFonts w:hint="default"/>
                <w:lang w:val="en-US" w:eastAsia="zh-CN"/>
              </w:rPr>
            </w:pPr>
            <w:r>
              <w:rPr>
                <w:rFonts w:hint="eastAsia" w:cs="Arial" w:asciiTheme="majorEastAsia" w:hAnsiTheme="majorEastAsia" w:eastAsiaTheme="majorEastAsia"/>
                <w:szCs w:val="21"/>
                <w:lang w:val="en-US" w:eastAsia="zh-CN"/>
              </w:rPr>
              <w:t>若搬运人员在工作期间发生意外伤害，由搬运公司自行负责，武汉公司储运部协助处理。并与武汉公司储运部签订安全环保管理协议，有效避免因搬运公司在武汉公司储运部进行作业活动时带来的安全环保风险，预防各类事故发生，确保武汉公司储运部正常的生产经营活动，严格遵守国家有关安全环保的法律法规。</w:t>
            </w:r>
          </w:p>
        </w:tc>
        <w:tc>
          <w:tcPr>
            <w:tcW w:w="2125" w:type="dxa"/>
          </w:tcPr>
          <w:p>
            <w:pPr>
              <w:jc w:val="both"/>
              <w:rPr>
                <w:rFonts w:hint="eastAsia"/>
                <w:iCs/>
                <w:szCs w:val="21"/>
                <w:lang w:eastAsia="zh-CN"/>
              </w:rPr>
            </w:pPr>
            <w:r>
              <w:rPr>
                <w:rFonts w:hint="eastAsia"/>
                <w:iCs/>
                <w:szCs w:val="21"/>
                <w:lang w:eastAsia="zh-CN"/>
              </w:rPr>
              <w:t>关键</w:t>
            </w:r>
          </w:p>
        </w:tc>
      </w:tr>
    </w:tbl>
    <w:p>
      <w:pPr>
        <w:spacing w:after="158" w:afterLines="50"/>
        <w:rPr>
          <w:b/>
          <w:lang w:eastAsia="zh-CN"/>
        </w:rPr>
      </w:pPr>
    </w:p>
    <w:bookmarkEnd w:id="38"/>
    <w:p>
      <w:pPr>
        <w:pStyle w:val="31"/>
        <w:numPr>
          <w:ilvl w:val="0"/>
          <w:numId w:val="3"/>
        </w:numPr>
        <w:spacing w:after="158" w:afterLines="50"/>
        <w:ind w:left="426" w:hanging="426" w:hangingChars="202"/>
        <w:outlineLvl w:val="0"/>
        <w:rPr>
          <w:rFonts w:ascii="Times New Roman" w:hAnsi="Times New Roman"/>
          <w:b/>
        </w:rPr>
      </w:pPr>
      <w:bookmarkStart w:id="52" w:name="_Toc7386"/>
      <w:r>
        <w:rPr>
          <w:rFonts w:hint="eastAsia" w:ascii="Times New Roman" w:hAnsi="Times New Roman"/>
          <w:b/>
        </w:rPr>
        <w:t>售后服务要求</w:t>
      </w:r>
      <w:bookmarkEnd w:id="52"/>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6"/>
              </w:numPr>
              <w:ind w:left="470" w:hanging="120" w:firstLineChars="0"/>
              <w:jc w:val="center"/>
              <w:rPr>
                <w:rFonts w:ascii="Times New Roman" w:hAnsi="Times New Roman"/>
                <w:szCs w:val="21"/>
              </w:rPr>
            </w:pPr>
            <w:permStart w:id="24" w:edGrp="everyone" w:colFirst="1" w:colLast="1"/>
            <w:permStart w:id="25" w:edGrp="everyone" w:colFirst="2" w:colLast="2"/>
          </w:p>
        </w:tc>
        <w:tc>
          <w:tcPr>
            <w:tcW w:w="7128" w:type="dxa"/>
            <w:shd w:val="clear" w:color="auto" w:fill="auto"/>
            <w:vAlign w:val="center"/>
          </w:tcPr>
          <w:p>
            <w:pPr>
              <w:rPr>
                <w:rFonts w:hint="eastAsia"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在监管部门监督检查过程中，经明确责任方为</w:t>
            </w:r>
            <w:r>
              <w:rPr>
                <w:rFonts w:hint="eastAsia" w:cs="Arial" w:asciiTheme="majorEastAsia" w:hAnsiTheme="majorEastAsia" w:eastAsiaTheme="majorEastAsia"/>
                <w:szCs w:val="21"/>
                <w:lang w:val="en-US" w:eastAsia="zh-CN"/>
              </w:rPr>
              <w:t>搬运</w:t>
            </w:r>
            <w:r>
              <w:rPr>
                <w:rFonts w:hint="eastAsia" w:cs="Arial" w:asciiTheme="majorEastAsia" w:hAnsiTheme="majorEastAsia" w:eastAsiaTheme="majorEastAsia"/>
                <w:szCs w:val="21"/>
                <w:lang w:eastAsia="zh-CN"/>
              </w:rPr>
              <w:t>服务公司的缺陷项，须由其负责所有后续整改工作(包括现场整改、相关文件方案整改等)。</w:t>
            </w:r>
          </w:p>
        </w:tc>
        <w:tc>
          <w:tcPr>
            <w:tcW w:w="2125" w:type="dxa"/>
            <w:shd w:val="clear" w:color="auto" w:fill="auto"/>
            <w:vAlign w:val="center"/>
          </w:tcPr>
          <w:p>
            <w:pPr>
              <w:jc w:val="both"/>
              <w:rPr>
                <w:szCs w:val="21"/>
                <w:lang w:eastAsia="zh-CN"/>
              </w:rPr>
            </w:pPr>
            <w:r>
              <w:rPr>
                <w:rFonts w:hint="eastAsia"/>
                <w:szCs w:val="21"/>
                <w:lang w:val="en-US" w:eastAsia="zh-CN"/>
              </w:rPr>
              <w:t>N/A</w:t>
            </w:r>
          </w:p>
        </w:tc>
      </w:tr>
      <w:permEnd w:id="24"/>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6"/>
              </w:numPr>
              <w:ind w:left="470" w:hanging="120" w:firstLineChars="0"/>
              <w:jc w:val="center"/>
              <w:rPr>
                <w:rFonts w:ascii="Times New Roman" w:hAnsi="Times New Roman"/>
                <w:szCs w:val="21"/>
              </w:rPr>
            </w:pPr>
            <w:permStart w:id="26" w:edGrp="everyone" w:colFirst="1" w:colLast="1"/>
            <w:permStart w:id="27" w:edGrp="everyone" w:colFirst="2" w:colLast="2"/>
          </w:p>
        </w:tc>
        <w:tc>
          <w:tcPr>
            <w:tcW w:w="7128" w:type="dxa"/>
            <w:shd w:val="clear" w:color="auto" w:fill="auto"/>
            <w:vAlign w:val="center"/>
          </w:tcPr>
          <w:p>
            <w:pPr>
              <w:rPr>
                <w:rFonts w:hint="eastAsia"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对于因项目服务公司工作失误导致需方的损失（如</w:t>
            </w:r>
            <w:r>
              <w:rPr>
                <w:rFonts w:hint="eastAsia" w:cs="Arial" w:asciiTheme="majorEastAsia" w:hAnsiTheme="majorEastAsia" w:eastAsiaTheme="majorEastAsia"/>
                <w:szCs w:val="21"/>
                <w:lang w:val="en-US" w:eastAsia="zh-CN"/>
              </w:rPr>
              <w:t>搬运事故导致物料、成品破损</w:t>
            </w:r>
            <w:r>
              <w:rPr>
                <w:rFonts w:hint="eastAsia" w:cs="Arial" w:asciiTheme="majorEastAsia" w:hAnsiTheme="majorEastAsia" w:eastAsiaTheme="majorEastAsia"/>
                <w:szCs w:val="21"/>
                <w:lang w:eastAsia="zh-CN"/>
              </w:rPr>
              <w:t>等）由</w:t>
            </w:r>
            <w:r>
              <w:rPr>
                <w:rFonts w:hint="eastAsia" w:cs="Arial" w:asciiTheme="majorEastAsia" w:hAnsiTheme="majorEastAsia" w:eastAsiaTheme="majorEastAsia"/>
                <w:szCs w:val="21"/>
                <w:lang w:val="en-US" w:eastAsia="zh-CN"/>
              </w:rPr>
              <w:t>搬运</w:t>
            </w:r>
            <w:r>
              <w:rPr>
                <w:rFonts w:hint="eastAsia" w:cs="Arial" w:asciiTheme="majorEastAsia" w:hAnsiTheme="majorEastAsia" w:eastAsiaTheme="majorEastAsia"/>
                <w:szCs w:val="21"/>
                <w:lang w:eastAsia="zh-CN"/>
              </w:rPr>
              <w:t>服务公司负责承担。</w:t>
            </w:r>
          </w:p>
        </w:tc>
        <w:tc>
          <w:tcPr>
            <w:tcW w:w="2125" w:type="dxa"/>
            <w:shd w:val="clear" w:color="auto" w:fill="auto"/>
            <w:vAlign w:val="center"/>
          </w:tcPr>
          <w:p>
            <w:pPr>
              <w:jc w:val="both"/>
              <w:rPr>
                <w:szCs w:val="21"/>
                <w:lang w:eastAsia="zh-CN"/>
              </w:rPr>
            </w:pPr>
            <w:r>
              <w:rPr>
                <w:rFonts w:hint="eastAsia"/>
                <w:iCs/>
                <w:szCs w:val="21"/>
                <w:lang w:eastAsia="zh-CN"/>
              </w:rPr>
              <w:t>关键</w:t>
            </w:r>
          </w:p>
        </w:tc>
      </w:tr>
      <w:permEnd w:id="26"/>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ermStart w:id="28" w:edGrp="everyone" w:colFirst="1" w:colLast="1"/>
            <w:permStart w:id="29" w:edGrp="everyone" w:colFirst="2" w:colLast="2"/>
          </w:p>
        </w:tc>
        <w:tc>
          <w:tcPr>
            <w:tcW w:w="7128" w:type="dxa"/>
            <w:vAlign w:val="center"/>
          </w:tcPr>
          <w:p>
            <w:pPr>
              <w:rPr>
                <w:rFonts w:hint="eastAsia" w:cs="Arial" w:asciiTheme="majorEastAsia" w:hAnsiTheme="majorEastAsia" w:eastAsiaTheme="majorEastAsia"/>
                <w:szCs w:val="21"/>
                <w:lang w:eastAsia="zh-CN"/>
              </w:rPr>
            </w:pPr>
            <w:r>
              <w:rPr>
                <w:rFonts w:hint="eastAsia" w:cs="Arial" w:asciiTheme="majorEastAsia" w:hAnsiTheme="majorEastAsia" w:eastAsiaTheme="majorEastAsia"/>
                <w:szCs w:val="21"/>
                <w:lang w:val="en-US" w:eastAsia="zh-CN"/>
              </w:rPr>
              <w:t>搬运</w:t>
            </w:r>
            <w:r>
              <w:rPr>
                <w:rFonts w:hint="eastAsia" w:cs="Arial" w:asciiTheme="majorEastAsia" w:hAnsiTheme="majorEastAsia" w:eastAsiaTheme="majorEastAsia"/>
                <w:szCs w:val="21"/>
                <w:lang w:eastAsia="zh-CN"/>
              </w:rPr>
              <w:t>执行过程中如出现紧急</w:t>
            </w:r>
            <w:r>
              <w:rPr>
                <w:rFonts w:hint="eastAsia" w:cs="Arial" w:asciiTheme="majorEastAsia" w:hAnsiTheme="majorEastAsia" w:eastAsiaTheme="majorEastAsia"/>
                <w:szCs w:val="21"/>
                <w:lang w:val="en-US" w:eastAsia="zh-CN"/>
              </w:rPr>
              <w:t>新增需求</w:t>
            </w:r>
            <w:r>
              <w:rPr>
                <w:rFonts w:hint="eastAsia" w:cs="Arial" w:asciiTheme="majorEastAsia" w:hAnsiTheme="majorEastAsia" w:eastAsiaTheme="majorEastAsia"/>
                <w:szCs w:val="21"/>
                <w:lang w:eastAsia="zh-CN"/>
              </w:rPr>
              <w:t>，在需方提出服务请求后，</w:t>
            </w:r>
            <w:r>
              <w:rPr>
                <w:rFonts w:hint="eastAsia" w:cs="Arial" w:asciiTheme="majorEastAsia" w:hAnsiTheme="majorEastAsia" w:eastAsiaTheme="majorEastAsia"/>
                <w:szCs w:val="21"/>
                <w:lang w:val="en-US" w:eastAsia="zh-CN"/>
              </w:rPr>
              <w:t>搬运</w:t>
            </w:r>
            <w:r>
              <w:rPr>
                <w:rFonts w:hint="eastAsia" w:cs="Arial" w:asciiTheme="majorEastAsia" w:hAnsiTheme="majorEastAsia" w:eastAsiaTheme="majorEastAsia"/>
                <w:szCs w:val="21"/>
                <w:lang w:eastAsia="zh-CN"/>
              </w:rPr>
              <w:t>服务公司应在一个</w:t>
            </w:r>
            <w:r>
              <w:rPr>
                <w:rFonts w:hint="eastAsia" w:cs="Arial" w:asciiTheme="majorEastAsia" w:hAnsiTheme="majorEastAsia" w:eastAsiaTheme="majorEastAsia"/>
                <w:szCs w:val="21"/>
                <w:lang w:val="en-US" w:eastAsia="zh-CN"/>
              </w:rPr>
              <w:t>小时</w:t>
            </w:r>
            <w:r>
              <w:rPr>
                <w:rFonts w:hint="eastAsia" w:cs="Arial" w:asciiTheme="majorEastAsia" w:hAnsiTheme="majorEastAsia" w:eastAsiaTheme="majorEastAsia"/>
                <w:szCs w:val="21"/>
                <w:lang w:eastAsia="zh-CN"/>
              </w:rPr>
              <w:t>内予以响应</w:t>
            </w:r>
            <w:r>
              <w:rPr>
                <w:rFonts w:hint="eastAsia" w:cs="Arial" w:asciiTheme="majorEastAsia" w:hAnsiTheme="majorEastAsia" w:eastAsiaTheme="majorEastAsia"/>
                <w:szCs w:val="21"/>
                <w:lang w:val="en-US" w:eastAsia="zh-CN"/>
              </w:rPr>
              <w:t>，</w:t>
            </w:r>
            <w:r>
              <w:rPr>
                <w:rFonts w:hint="eastAsia" w:cs="Arial" w:asciiTheme="majorEastAsia" w:hAnsiTheme="majorEastAsia" w:eastAsiaTheme="majorEastAsia"/>
                <w:szCs w:val="21"/>
                <w:lang w:eastAsia="zh-CN"/>
              </w:rPr>
              <w:t>并跟进，</w:t>
            </w:r>
            <w:r>
              <w:rPr>
                <w:rFonts w:hint="eastAsia" w:cs="Arial" w:asciiTheme="majorEastAsia" w:hAnsiTheme="majorEastAsia" w:eastAsiaTheme="majorEastAsia"/>
                <w:szCs w:val="21"/>
                <w:lang w:val="en-US" w:eastAsia="zh-CN"/>
              </w:rPr>
              <w:t>提供足够搬运人员</w:t>
            </w:r>
            <w:r>
              <w:rPr>
                <w:rFonts w:hint="eastAsia" w:cs="Arial" w:asciiTheme="majorEastAsia" w:hAnsiTheme="majorEastAsia" w:eastAsiaTheme="majorEastAsia"/>
                <w:szCs w:val="21"/>
                <w:lang w:eastAsia="zh-CN"/>
              </w:rPr>
              <w:t>，直至解决。</w:t>
            </w:r>
          </w:p>
        </w:tc>
        <w:tc>
          <w:tcPr>
            <w:tcW w:w="2125" w:type="dxa"/>
          </w:tcPr>
          <w:p>
            <w:pPr>
              <w:jc w:val="both"/>
              <w:rPr>
                <w:szCs w:val="21"/>
                <w:lang w:eastAsia="zh-CN"/>
              </w:rPr>
            </w:pPr>
            <w:r>
              <w:rPr>
                <w:rFonts w:hint="eastAsia"/>
                <w:iCs/>
                <w:szCs w:val="21"/>
                <w:lang w:eastAsia="zh-CN"/>
              </w:rPr>
              <w:t>关键</w:t>
            </w:r>
          </w:p>
        </w:tc>
      </w:tr>
      <w:permEnd w:id="28"/>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vAlign w:val="center"/>
          </w:tcPr>
          <w:p>
            <w:pPr>
              <w:pStyle w:val="31"/>
              <w:numPr>
                <w:ilvl w:val="0"/>
                <w:numId w:val="6"/>
              </w:numPr>
              <w:ind w:left="470" w:hanging="120" w:firstLineChars="0"/>
              <w:jc w:val="center"/>
              <w:rPr>
                <w:rFonts w:ascii="Times New Roman" w:hAnsi="Times New Roman"/>
                <w:szCs w:val="21"/>
              </w:rPr>
            </w:pPr>
            <w:permStart w:id="30" w:edGrp="everyone" w:colFirst="1" w:colLast="1"/>
            <w:permStart w:id="31" w:edGrp="everyone" w:colFirst="2" w:colLast="2"/>
          </w:p>
        </w:tc>
        <w:tc>
          <w:tcPr>
            <w:tcW w:w="7128" w:type="dxa"/>
            <w:vAlign w:val="center"/>
          </w:tcPr>
          <w:p>
            <w:pPr>
              <w:rPr>
                <w:rFonts w:hint="eastAsia"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当需方</w:t>
            </w:r>
            <w:r>
              <w:rPr>
                <w:rFonts w:hint="eastAsia" w:cs="Arial" w:asciiTheme="majorEastAsia" w:hAnsiTheme="majorEastAsia" w:eastAsiaTheme="majorEastAsia"/>
                <w:szCs w:val="21"/>
                <w:lang w:val="en-US" w:eastAsia="zh-CN"/>
              </w:rPr>
              <w:t>的需</w:t>
            </w:r>
            <w:r>
              <w:rPr>
                <w:rFonts w:hint="eastAsia" w:cs="Arial" w:asciiTheme="majorEastAsia" w:hAnsiTheme="majorEastAsia" w:eastAsiaTheme="majorEastAsia"/>
                <w:szCs w:val="21"/>
                <w:lang w:eastAsia="zh-CN"/>
              </w:rPr>
              <w:t>求和期望发生变化</w:t>
            </w:r>
            <w:r>
              <w:rPr>
                <w:rFonts w:hint="eastAsia" w:cs="Arial" w:asciiTheme="majorEastAsia" w:hAnsiTheme="majorEastAsia" w:eastAsiaTheme="majorEastAsia"/>
                <w:szCs w:val="21"/>
                <w:lang w:val="en-US" w:eastAsia="zh-CN"/>
              </w:rPr>
              <w:t>时</w:t>
            </w:r>
            <w:r>
              <w:rPr>
                <w:rFonts w:hint="eastAsia" w:cs="Arial" w:asciiTheme="majorEastAsia" w:hAnsiTheme="majorEastAsia" w:eastAsiaTheme="majorEastAsia"/>
                <w:szCs w:val="21"/>
                <w:lang w:eastAsia="zh-CN"/>
              </w:rPr>
              <w:t>，或者</w:t>
            </w:r>
            <w:r>
              <w:rPr>
                <w:rFonts w:hint="eastAsia" w:cs="Arial" w:asciiTheme="majorEastAsia" w:hAnsiTheme="majorEastAsia" w:eastAsiaTheme="majorEastAsia"/>
                <w:szCs w:val="21"/>
                <w:lang w:val="en-US" w:eastAsia="zh-CN"/>
              </w:rPr>
              <w:t>因为</w:t>
            </w:r>
            <w:r>
              <w:rPr>
                <w:rFonts w:hint="eastAsia" w:cs="Arial" w:asciiTheme="majorEastAsia" w:hAnsiTheme="majorEastAsia" w:eastAsiaTheme="majorEastAsia"/>
                <w:szCs w:val="21"/>
                <w:lang w:eastAsia="zh-CN"/>
              </w:rPr>
              <w:t>其他不可预知因素等，需方有权在告知项目服务公司后，调整服务范围，按照项目变更管理进行处理。</w:t>
            </w:r>
          </w:p>
        </w:tc>
        <w:tc>
          <w:tcPr>
            <w:tcW w:w="2125" w:type="dxa"/>
          </w:tcPr>
          <w:p>
            <w:pPr>
              <w:jc w:val="both"/>
              <w:rPr>
                <w:szCs w:val="21"/>
                <w:lang w:eastAsia="zh-CN"/>
              </w:rPr>
            </w:pPr>
            <w:r>
              <w:rPr>
                <w:rFonts w:hint="eastAsia"/>
                <w:szCs w:val="21"/>
                <w:lang w:val="en-US" w:eastAsia="zh-CN"/>
              </w:rPr>
              <w:t>N/A</w:t>
            </w:r>
          </w:p>
        </w:tc>
      </w:tr>
      <w:permEnd w:id="30"/>
      <w:permEnd w:id="31"/>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53" w:name="_Toc522716125"/>
      <w:bookmarkStart w:id="54" w:name="_Toc7727"/>
      <w:r>
        <w:rPr>
          <w:rFonts w:hint="eastAsia" w:ascii="Times New Roman" w:hAnsi="Times New Roman"/>
          <w:b/>
          <w:szCs w:val="21"/>
        </w:rPr>
        <w:t>报价</w:t>
      </w:r>
      <w:r>
        <w:rPr>
          <w:rFonts w:ascii="Times New Roman" w:hAnsi="Times New Roman"/>
          <w:b/>
          <w:szCs w:val="21"/>
        </w:rPr>
        <w:t>要求</w:t>
      </w:r>
      <w:bookmarkEnd w:id="53"/>
      <w:bookmarkEnd w:id="54"/>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285" w:type="dxa"/>
            <w:shd w:val="clear" w:color="auto" w:fill="D9D9D9"/>
            <w:vAlign w:val="center"/>
          </w:tcPr>
          <w:p>
            <w:pPr>
              <w:jc w:val="center"/>
              <w:rPr>
                <w:b/>
                <w:szCs w:val="21"/>
              </w:rPr>
            </w:pPr>
            <w:r>
              <w:rPr>
                <w:b/>
                <w:szCs w:val="21"/>
              </w:rPr>
              <w:t>编号</w:t>
            </w:r>
          </w:p>
        </w:tc>
        <w:tc>
          <w:tcPr>
            <w:tcW w:w="6970" w:type="dxa"/>
            <w:shd w:val="clear" w:color="auto" w:fill="D9D9D9"/>
            <w:vAlign w:val="center"/>
          </w:tcPr>
          <w:p>
            <w:pPr>
              <w:jc w:val="center"/>
              <w:rPr>
                <w:b/>
                <w:szCs w:val="21"/>
                <w:lang w:eastAsia="zh-CN"/>
              </w:rPr>
            </w:pPr>
            <w:r>
              <w:rPr>
                <w:b/>
                <w:szCs w:val="21"/>
                <w:lang w:eastAsia="zh-CN"/>
              </w:rPr>
              <w:t>需求</w:t>
            </w:r>
          </w:p>
        </w:tc>
        <w:tc>
          <w:tcPr>
            <w:tcW w:w="2082"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6"/>
              </w:numPr>
              <w:ind w:left="470" w:hanging="120" w:firstLineChars="0"/>
              <w:rPr>
                <w:rFonts w:ascii="Times New Roman" w:hAnsi="Times New Roman"/>
                <w:szCs w:val="21"/>
              </w:rPr>
            </w:pPr>
          </w:p>
        </w:tc>
        <w:tc>
          <w:tcPr>
            <w:tcW w:w="6970" w:type="dxa"/>
            <w:shd w:val="clear" w:color="auto" w:fill="auto"/>
            <w:vAlign w:val="center"/>
          </w:tcPr>
          <w:p>
            <w:pPr>
              <w:rPr>
                <w:rFonts w:hint="default" w:cs="Arial" w:asciiTheme="majorEastAsia" w:hAnsiTheme="majorEastAsia" w:eastAsiaTheme="majorEastAsia"/>
                <w:szCs w:val="21"/>
                <w:lang w:val="en-US" w:eastAsia="zh-CN"/>
              </w:rPr>
            </w:pPr>
            <w:r>
              <w:rPr>
                <w:rFonts w:hint="eastAsia" w:cs="Arial" w:asciiTheme="majorEastAsia" w:hAnsiTheme="majorEastAsia" w:eastAsiaTheme="majorEastAsia"/>
                <w:szCs w:val="21"/>
                <w:lang w:val="en-US" w:eastAsia="zh-CN"/>
              </w:rPr>
              <w:t>成品、物料搬运应单独报价。</w:t>
            </w:r>
          </w:p>
        </w:tc>
        <w:tc>
          <w:tcPr>
            <w:tcW w:w="2082" w:type="dxa"/>
            <w:shd w:val="clear" w:color="auto" w:fill="auto"/>
            <w:vAlign w:val="center"/>
          </w:tcPr>
          <w:p>
            <w:pPr>
              <w:jc w:val="both"/>
              <w:rPr>
                <w:rFonts w:hint="eastAsia"/>
                <w:iCs/>
                <w:szCs w:val="21"/>
                <w:lang w:eastAsia="zh-CN"/>
              </w:rPr>
            </w:pPr>
            <w:r>
              <w:rPr>
                <w:rFonts w:hint="eastAsia"/>
                <w:iCs/>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6"/>
              </w:numPr>
              <w:ind w:left="470" w:hanging="120" w:firstLineChars="0"/>
              <w:rPr>
                <w:rFonts w:ascii="Times New Roman" w:hAnsi="Times New Roman"/>
                <w:szCs w:val="21"/>
              </w:rPr>
            </w:pPr>
            <w:permStart w:id="32" w:edGrp="everyone" w:colFirst="1" w:colLast="1"/>
            <w:permStart w:id="33" w:edGrp="everyone" w:colFirst="2" w:colLast="2"/>
          </w:p>
        </w:tc>
        <w:tc>
          <w:tcPr>
            <w:tcW w:w="6970" w:type="dxa"/>
            <w:shd w:val="clear" w:color="auto" w:fill="auto"/>
            <w:vAlign w:val="center"/>
          </w:tcPr>
          <w:p>
            <w:pPr>
              <w:rPr>
                <w:rFonts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投标报价应包括国家规定的增值税税金，包括完成招标范围内所确定的全部工作内容所需的全部费用。</w:t>
            </w:r>
          </w:p>
        </w:tc>
        <w:tc>
          <w:tcPr>
            <w:tcW w:w="2082" w:type="dxa"/>
            <w:shd w:val="clear" w:color="auto" w:fill="auto"/>
            <w:vAlign w:val="center"/>
          </w:tcPr>
          <w:p>
            <w:pPr>
              <w:jc w:val="both"/>
              <w:rPr>
                <w:rFonts w:hint="default"/>
                <w:szCs w:val="21"/>
                <w:lang w:val="en-US" w:eastAsia="zh-CN"/>
              </w:rPr>
            </w:pPr>
            <w:r>
              <w:rPr>
                <w:rFonts w:hint="eastAsia"/>
                <w:szCs w:val="21"/>
                <w:lang w:val="en-US" w:eastAsia="zh-CN"/>
              </w:rPr>
              <w:t>N/A</w:t>
            </w:r>
          </w:p>
        </w:tc>
      </w:tr>
      <w:permEnd w:id="32"/>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6"/>
              </w:numPr>
              <w:ind w:left="470" w:hanging="120" w:firstLineChars="0"/>
              <w:rPr>
                <w:rFonts w:ascii="Times New Roman" w:hAnsi="Times New Roman"/>
                <w:szCs w:val="21"/>
              </w:rPr>
            </w:pPr>
            <w:permStart w:id="34" w:edGrp="everyone" w:colFirst="1" w:colLast="1"/>
            <w:permStart w:id="35" w:edGrp="everyone" w:colFirst="2" w:colLast="2"/>
          </w:p>
        </w:tc>
        <w:tc>
          <w:tcPr>
            <w:tcW w:w="6970" w:type="dxa"/>
            <w:shd w:val="clear" w:color="auto" w:fill="auto"/>
            <w:vAlign w:val="center"/>
          </w:tcPr>
          <w:p>
            <w:pPr>
              <w:rPr>
                <w:rFonts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付款方式：按月结算，乙方应在每月10日前向甲方提供上月的《</w:t>
            </w:r>
            <w:r>
              <w:rPr>
                <w:rFonts w:hint="eastAsia" w:cs="Arial" w:asciiTheme="majorEastAsia" w:hAnsiTheme="majorEastAsia" w:eastAsiaTheme="majorEastAsia"/>
                <w:szCs w:val="21"/>
                <w:lang w:val="en-US" w:eastAsia="zh-CN"/>
              </w:rPr>
              <w:t>搬运明</w:t>
            </w:r>
            <w:r>
              <w:rPr>
                <w:rFonts w:hint="eastAsia" w:cs="Arial" w:asciiTheme="majorEastAsia" w:hAnsiTheme="majorEastAsia" w:eastAsiaTheme="majorEastAsia"/>
                <w:szCs w:val="21"/>
                <w:lang w:eastAsia="zh-CN"/>
              </w:rPr>
              <w:t>细清单》和</w:t>
            </w:r>
            <w:r>
              <w:rPr>
                <w:rFonts w:hint="eastAsia" w:cs="Arial" w:asciiTheme="majorEastAsia" w:hAnsiTheme="majorEastAsia" w:eastAsiaTheme="majorEastAsia"/>
                <w:szCs w:val="21"/>
                <w:lang w:val="en-US" w:eastAsia="zh-CN"/>
              </w:rPr>
              <w:t>搬运单据，</w:t>
            </w:r>
            <w:r>
              <w:rPr>
                <w:rFonts w:hint="eastAsia" w:cs="Arial" w:asciiTheme="majorEastAsia" w:hAnsiTheme="majorEastAsia" w:eastAsiaTheme="majorEastAsia"/>
                <w:szCs w:val="21"/>
                <w:lang w:eastAsia="zh-CN"/>
              </w:rPr>
              <w:t>甲方应当于5个工作日内与乙方确认《</w:t>
            </w:r>
            <w:r>
              <w:rPr>
                <w:rFonts w:hint="eastAsia" w:cs="Arial" w:asciiTheme="majorEastAsia" w:hAnsiTheme="majorEastAsia" w:eastAsiaTheme="majorEastAsia"/>
                <w:szCs w:val="21"/>
                <w:lang w:val="en-US" w:eastAsia="zh-CN"/>
              </w:rPr>
              <w:t>搬运</w:t>
            </w:r>
            <w:r>
              <w:rPr>
                <w:rFonts w:hint="eastAsia" w:cs="Arial" w:asciiTheme="majorEastAsia" w:hAnsiTheme="majorEastAsia" w:eastAsiaTheme="majorEastAsia"/>
                <w:szCs w:val="21"/>
                <w:lang w:eastAsia="zh-CN"/>
              </w:rPr>
              <w:t>明细清单》及</w:t>
            </w:r>
            <w:r>
              <w:rPr>
                <w:rFonts w:hint="eastAsia" w:cs="Arial" w:asciiTheme="majorEastAsia" w:hAnsiTheme="majorEastAsia" w:eastAsiaTheme="majorEastAsia"/>
                <w:szCs w:val="21"/>
                <w:lang w:val="en-US" w:eastAsia="zh-CN"/>
              </w:rPr>
              <w:t>搬运</w:t>
            </w:r>
            <w:r>
              <w:rPr>
                <w:rFonts w:hint="eastAsia" w:cs="Arial" w:asciiTheme="majorEastAsia" w:hAnsiTheme="majorEastAsia" w:eastAsiaTheme="majorEastAsia"/>
                <w:szCs w:val="21"/>
                <w:lang w:eastAsia="zh-CN"/>
              </w:rPr>
              <w:t xml:space="preserve">单据的信息，在得到甲方确认后，乙方应当向甲方开具符合法律规定的货运运输业增值税专用发票，甲方应当于收到发票之日起 </w:t>
            </w:r>
            <w:r>
              <w:rPr>
                <w:rFonts w:hint="eastAsia" w:cs="Arial" w:asciiTheme="majorEastAsia" w:hAnsiTheme="majorEastAsia" w:eastAsiaTheme="majorEastAsia"/>
                <w:szCs w:val="21"/>
                <w:lang w:val="en-US" w:eastAsia="zh-CN"/>
              </w:rPr>
              <w:t>1</w:t>
            </w:r>
            <w:r>
              <w:rPr>
                <w:rFonts w:hint="eastAsia" w:cs="Arial" w:asciiTheme="majorEastAsia" w:hAnsiTheme="majorEastAsia" w:eastAsiaTheme="majorEastAsia"/>
                <w:szCs w:val="21"/>
                <w:lang w:eastAsia="zh-CN"/>
              </w:rPr>
              <w:t>个</w:t>
            </w:r>
            <w:r>
              <w:rPr>
                <w:rFonts w:hint="eastAsia" w:cs="Arial" w:asciiTheme="majorEastAsia" w:hAnsiTheme="majorEastAsia" w:eastAsiaTheme="majorEastAsia"/>
                <w:szCs w:val="21"/>
                <w:lang w:val="en-US" w:eastAsia="zh-CN"/>
              </w:rPr>
              <w:t>月</w:t>
            </w:r>
            <w:r>
              <w:rPr>
                <w:rFonts w:hint="eastAsia" w:cs="Arial" w:asciiTheme="majorEastAsia" w:hAnsiTheme="majorEastAsia" w:eastAsiaTheme="majorEastAsia"/>
                <w:szCs w:val="21"/>
                <w:lang w:eastAsia="zh-CN"/>
              </w:rPr>
              <w:t>内将全部服务费用支付至乙方指定银行账户。</w:t>
            </w:r>
          </w:p>
        </w:tc>
        <w:tc>
          <w:tcPr>
            <w:tcW w:w="2082" w:type="dxa"/>
            <w:shd w:val="clear" w:color="auto" w:fill="auto"/>
            <w:vAlign w:val="center"/>
          </w:tcPr>
          <w:p>
            <w:pPr>
              <w:jc w:val="both"/>
              <w:rPr>
                <w:szCs w:val="21"/>
                <w:lang w:eastAsia="zh-CN"/>
              </w:rPr>
            </w:pPr>
            <w:r>
              <w:rPr>
                <w:rFonts w:hint="eastAsia"/>
                <w:iCs/>
                <w:szCs w:val="21"/>
                <w:lang w:eastAsia="zh-CN"/>
              </w:rPr>
              <w:t>关键</w:t>
            </w:r>
          </w:p>
        </w:tc>
      </w:tr>
      <w:permEnd w:id="34"/>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6"/>
              </w:numPr>
              <w:ind w:left="470" w:hanging="120" w:firstLineChars="0"/>
              <w:rPr>
                <w:rFonts w:ascii="Times New Roman" w:hAnsi="Times New Roman"/>
                <w:szCs w:val="21"/>
              </w:rPr>
            </w:pPr>
            <w:permStart w:id="36" w:edGrp="everyone" w:colFirst="1" w:colLast="1"/>
            <w:permStart w:id="37" w:edGrp="everyone" w:colFirst="2" w:colLast="2"/>
          </w:p>
        </w:tc>
        <w:tc>
          <w:tcPr>
            <w:tcW w:w="6970" w:type="dxa"/>
            <w:shd w:val="clear" w:color="auto" w:fill="auto"/>
            <w:vAlign w:val="center"/>
          </w:tcPr>
          <w:p>
            <w:pPr>
              <w:rPr>
                <w:rFonts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有效投标报价的平均价为评标基准价</w:t>
            </w:r>
          </w:p>
        </w:tc>
        <w:tc>
          <w:tcPr>
            <w:tcW w:w="2082" w:type="dxa"/>
            <w:shd w:val="clear" w:color="auto" w:fill="auto"/>
            <w:vAlign w:val="center"/>
          </w:tcPr>
          <w:p>
            <w:pPr>
              <w:jc w:val="both"/>
              <w:rPr>
                <w:szCs w:val="21"/>
                <w:lang w:eastAsia="zh-CN"/>
              </w:rPr>
            </w:pPr>
            <w:r>
              <w:rPr>
                <w:rFonts w:hint="eastAsia"/>
                <w:szCs w:val="21"/>
                <w:lang w:val="en-US" w:eastAsia="zh-CN"/>
              </w:rPr>
              <w:t>N/A</w:t>
            </w:r>
          </w:p>
        </w:tc>
      </w:tr>
      <w:permEnd w:id="36"/>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285" w:type="dxa"/>
            <w:shd w:val="clear" w:color="auto" w:fill="auto"/>
            <w:vAlign w:val="center"/>
          </w:tcPr>
          <w:p>
            <w:pPr>
              <w:pStyle w:val="31"/>
              <w:numPr>
                <w:ilvl w:val="0"/>
                <w:numId w:val="6"/>
              </w:numPr>
              <w:ind w:left="470" w:hanging="120" w:firstLineChars="0"/>
              <w:rPr>
                <w:rFonts w:ascii="Times New Roman" w:hAnsi="Times New Roman"/>
                <w:szCs w:val="21"/>
              </w:rPr>
            </w:pPr>
            <w:permStart w:id="38" w:edGrp="everyone" w:colFirst="1" w:colLast="1"/>
            <w:permStart w:id="39" w:edGrp="everyone" w:colFirst="2" w:colLast="2"/>
          </w:p>
        </w:tc>
        <w:tc>
          <w:tcPr>
            <w:tcW w:w="6970" w:type="dxa"/>
            <w:shd w:val="clear" w:color="auto" w:fill="auto"/>
            <w:vAlign w:val="center"/>
          </w:tcPr>
          <w:p>
            <w:pPr>
              <w:rPr>
                <w:rFonts w:cs="Arial" w:asciiTheme="majorEastAsia" w:hAnsiTheme="majorEastAsia" w:eastAsiaTheme="majorEastAsia"/>
                <w:szCs w:val="21"/>
                <w:lang w:eastAsia="zh-CN"/>
              </w:rPr>
            </w:pPr>
            <w:r>
              <w:rPr>
                <w:rFonts w:hint="eastAsia" w:cs="Arial" w:asciiTheme="majorEastAsia" w:hAnsiTheme="majorEastAsia" w:eastAsiaTheme="majorEastAsia"/>
                <w:szCs w:val="21"/>
                <w:lang w:eastAsia="zh-CN"/>
              </w:rPr>
              <w:t>招标人设有最高投标限价的，投标人的投标报价不得超过最高投标限价。</w:t>
            </w:r>
          </w:p>
        </w:tc>
        <w:tc>
          <w:tcPr>
            <w:tcW w:w="2082" w:type="dxa"/>
            <w:shd w:val="clear" w:color="auto" w:fill="auto"/>
            <w:vAlign w:val="center"/>
          </w:tcPr>
          <w:p>
            <w:pPr>
              <w:jc w:val="both"/>
              <w:rPr>
                <w:szCs w:val="21"/>
                <w:lang w:eastAsia="zh-CN"/>
              </w:rPr>
            </w:pPr>
            <w:r>
              <w:rPr>
                <w:rFonts w:hint="eastAsia"/>
                <w:iCs/>
                <w:szCs w:val="21"/>
                <w:lang w:eastAsia="zh-CN"/>
              </w:rPr>
              <w:t>关键</w:t>
            </w:r>
          </w:p>
        </w:tc>
      </w:tr>
      <w:permEnd w:id="38"/>
      <w:permEnd w:id="39"/>
    </w:tbl>
    <w:p>
      <w:pPr>
        <w:rPr>
          <w:lang w:eastAsia="zh-CN"/>
        </w:rPr>
      </w:pPr>
    </w:p>
    <w:p>
      <w:pPr>
        <w:pStyle w:val="31"/>
        <w:numPr>
          <w:ilvl w:val="0"/>
          <w:numId w:val="3"/>
        </w:numPr>
        <w:spacing w:after="158" w:afterLines="50"/>
        <w:ind w:left="426" w:hanging="426" w:hangingChars="202"/>
        <w:outlineLvl w:val="0"/>
        <w:rPr>
          <w:rFonts w:ascii="Times New Roman" w:hAnsi="Times New Roman"/>
          <w:b/>
        </w:rPr>
      </w:pPr>
      <w:bookmarkStart w:id="55" w:name="_Toc20689"/>
      <w:bookmarkStart w:id="56" w:name="_Toc522716126"/>
      <w:bookmarkStart w:id="57" w:name="_Toc522107746"/>
      <w:r>
        <w:rPr>
          <w:rFonts w:hint="eastAsia" w:ascii="Times New Roman" w:hAnsi="Times New Roman"/>
          <w:b/>
        </w:rPr>
        <w:t>验收要求</w:t>
      </w:r>
      <w:bookmarkEnd w:id="55"/>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6"/>
              </w:numPr>
              <w:ind w:left="470" w:hanging="120" w:firstLineChars="0"/>
              <w:rPr>
                <w:rFonts w:ascii="Times New Roman" w:hAnsi="Times New Roman"/>
                <w:szCs w:val="21"/>
              </w:rPr>
            </w:pPr>
            <w:permStart w:id="40" w:edGrp="everyone" w:colFirst="1" w:colLast="1"/>
            <w:permStart w:id="41" w:edGrp="everyone" w:colFirst="2" w:colLast="2"/>
          </w:p>
        </w:tc>
        <w:tc>
          <w:tcPr>
            <w:tcW w:w="7128" w:type="dxa"/>
            <w:shd w:val="clear" w:color="auto" w:fill="auto"/>
            <w:vAlign w:val="center"/>
          </w:tcPr>
          <w:p>
            <w:pPr>
              <w:jc w:val="both"/>
              <w:rPr>
                <w:szCs w:val="21"/>
                <w:lang w:eastAsia="zh-CN"/>
              </w:rPr>
            </w:pPr>
            <w:r>
              <w:rPr>
                <w:i/>
                <w:iCs/>
                <w:color w:val="4F81BD" w:themeColor="accent1"/>
                <w:szCs w:val="21"/>
                <w:lang w:eastAsia="zh-CN"/>
                <w14:textFill>
                  <w14:solidFill>
                    <w14:schemeClr w14:val="accent1"/>
                  </w14:solidFill>
                </w14:textFill>
              </w:rPr>
              <w:t xml:space="preserve"> </w:t>
            </w:r>
            <w:r>
              <w:rPr>
                <w:rFonts w:hint="eastAsia" w:cs="Arial" w:asciiTheme="majorEastAsia" w:hAnsiTheme="majorEastAsia" w:eastAsiaTheme="majorEastAsia"/>
                <w:szCs w:val="21"/>
                <w:lang w:eastAsia="zh-CN"/>
              </w:rPr>
              <w:t>经双方沟通、评估或第三方检查，确认是否达到预期目标</w:t>
            </w:r>
            <w:r>
              <w:rPr>
                <w:rFonts w:hint="eastAsia" w:cs="Arial" w:asciiTheme="majorEastAsia" w:hAnsiTheme="majorEastAsia" w:eastAsiaTheme="majorEastAsia"/>
                <w:szCs w:val="21"/>
                <w:lang w:val="en-US" w:eastAsia="zh-CN"/>
              </w:rPr>
              <w:t>后完成验收</w:t>
            </w:r>
            <w:r>
              <w:rPr>
                <w:rFonts w:hint="eastAsia" w:cs="Arial" w:asciiTheme="majorEastAsia" w:hAnsiTheme="majorEastAsia" w:eastAsiaTheme="majorEastAsia"/>
                <w:szCs w:val="21"/>
                <w:lang w:eastAsia="zh-CN"/>
              </w:rPr>
              <w:t>。</w:t>
            </w:r>
          </w:p>
        </w:tc>
        <w:tc>
          <w:tcPr>
            <w:tcW w:w="2125" w:type="dxa"/>
            <w:shd w:val="clear" w:color="auto" w:fill="auto"/>
            <w:vAlign w:val="center"/>
          </w:tcPr>
          <w:p>
            <w:pPr>
              <w:jc w:val="both"/>
              <w:rPr>
                <w:szCs w:val="21"/>
                <w:lang w:eastAsia="zh-CN"/>
              </w:rPr>
            </w:pPr>
            <w:r>
              <w:rPr>
                <w:rFonts w:hint="eastAsia"/>
                <w:iCs/>
                <w:szCs w:val="21"/>
                <w:lang w:eastAsia="zh-CN"/>
              </w:rPr>
              <w:t>关键</w:t>
            </w:r>
          </w:p>
        </w:tc>
      </w:tr>
      <w:permEnd w:id="40"/>
      <w:permEnd w:id="41"/>
    </w:tbl>
    <w:p>
      <w:pPr>
        <w:pStyle w:val="31"/>
        <w:spacing w:after="158" w:afterLines="50"/>
        <w:ind w:firstLine="0" w:firstLineChars="0"/>
        <w:outlineLvl w:val="0"/>
        <w:rPr>
          <w:rFonts w:ascii="Times New Roman" w:hAnsi="Times New Roman"/>
          <w:b/>
        </w:rPr>
      </w:pPr>
    </w:p>
    <w:p>
      <w:pPr>
        <w:pStyle w:val="31"/>
        <w:numPr>
          <w:ilvl w:val="0"/>
          <w:numId w:val="3"/>
        </w:numPr>
        <w:spacing w:after="158" w:afterLines="50"/>
        <w:ind w:left="426" w:hanging="426" w:hangingChars="202"/>
        <w:outlineLvl w:val="0"/>
        <w:rPr>
          <w:rFonts w:ascii="Times New Roman" w:hAnsi="Times New Roman"/>
          <w:b/>
        </w:rPr>
      </w:pPr>
      <w:bookmarkStart w:id="58" w:name="_Toc5372"/>
      <w:r>
        <w:rPr>
          <w:rFonts w:ascii="Times New Roman" w:hAnsi="Times New Roman"/>
          <w:b/>
        </w:rPr>
        <w:t>附件</w:t>
      </w:r>
      <w:bookmarkEnd w:id="56"/>
      <w:bookmarkEnd w:id="57"/>
      <w:bookmarkEnd w:id="58"/>
    </w:p>
    <w:bookmarkEnd w:id="39"/>
    <w:bookmarkEnd w:id="40"/>
    <w:bookmarkEnd w:id="41"/>
    <w:bookmarkEnd w:id="42"/>
    <w:bookmarkEnd w:id="43"/>
    <w:bookmarkEnd w:id="44"/>
    <w:bookmarkEnd w:id="45"/>
    <w:bookmarkEnd w:id="46"/>
    <w:bookmarkEnd w:id="47"/>
    <w:bookmarkEnd w:id="48"/>
    <w:bookmarkEnd w:id="49"/>
    <w:bookmarkEnd w:id="50"/>
    <w:p>
      <w:pPr>
        <w:pStyle w:val="41"/>
        <w:spacing w:before="0" w:line="360" w:lineRule="auto"/>
        <w:ind w:left="357"/>
        <w:jc w:val="left"/>
        <w:rPr>
          <w:rFonts w:hint="default"/>
          <w:color w:val="auto"/>
          <w:szCs w:val="21"/>
          <w:lang w:val="en-US" w:eastAsia="zh-CN"/>
        </w:rPr>
      </w:pPr>
      <w:r>
        <w:rPr>
          <w:rFonts w:hint="eastAsia"/>
          <w:color w:val="auto"/>
          <w:szCs w:val="21"/>
          <w:lang w:val="en-US" w:eastAsia="zh-CN"/>
        </w:rPr>
        <w:t>N/A</w:t>
      </w:r>
    </w:p>
    <w:sectPr>
      <w:headerReference r:id="rId4" w:type="first"/>
      <w:footerReference r:id="rId7" w:type="first"/>
      <w:footerReference r:id="rId5" w:type="default"/>
      <w:headerReference r:id="rId3" w:type="even"/>
      <w:footerReference r:id="rId6" w:type="even"/>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1">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2">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4">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AD217B8"/>
    <w:multiLevelType w:val="multilevel"/>
    <w:tmpl w:val="7AD217B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5"/>
  </w:num>
  <w:num w:numId="3">
    <w:abstractNumId w:val="3"/>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formatting="1"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zZWFkOWJkYTU1YmRhZGRhOGVlY2Q4ZGM2MGVlMzUifQ=="/>
  </w:docVars>
  <w:rsids>
    <w:rsidRoot w:val="00391016"/>
    <w:rsid w:val="00001AE0"/>
    <w:rsid w:val="000021A6"/>
    <w:rsid w:val="00002F06"/>
    <w:rsid w:val="000038A4"/>
    <w:rsid w:val="0000520B"/>
    <w:rsid w:val="000059AD"/>
    <w:rsid w:val="00005CB9"/>
    <w:rsid w:val="00005E76"/>
    <w:rsid w:val="00006273"/>
    <w:rsid w:val="00006FD5"/>
    <w:rsid w:val="0001160E"/>
    <w:rsid w:val="000117C7"/>
    <w:rsid w:val="000164C1"/>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7A5"/>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45A"/>
    <w:rsid w:val="00373FFA"/>
    <w:rsid w:val="0037455F"/>
    <w:rsid w:val="00376C31"/>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3B3"/>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2725"/>
    <w:rsid w:val="005E65FA"/>
    <w:rsid w:val="005F19CE"/>
    <w:rsid w:val="005F28F4"/>
    <w:rsid w:val="005F43BB"/>
    <w:rsid w:val="005F503E"/>
    <w:rsid w:val="005F6CB3"/>
    <w:rsid w:val="005F7612"/>
    <w:rsid w:val="005F7663"/>
    <w:rsid w:val="005F7D63"/>
    <w:rsid w:val="00607170"/>
    <w:rsid w:val="00607408"/>
    <w:rsid w:val="00610AEE"/>
    <w:rsid w:val="00616BAC"/>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938"/>
    <w:rsid w:val="006E79FB"/>
    <w:rsid w:val="006F229A"/>
    <w:rsid w:val="006F3BB9"/>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24EF"/>
    <w:rsid w:val="00752689"/>
    <w:rsid w:val="00756D1D"/>
    <w:rsid w:val="0075722E"/>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904BA9"/>
    <w:rsid w:val="00904E7E"/>
    <w:rsid w:val="0091086B"/>
    <w:rsid w:val="00911129"/>
    <w:rsid w:val="00912EA3"/>
    <w:rsid w:val="00914B6E"/>
    <w:rsid w:val="009156A2"/>
    <w:rsid w:val="0091579A"/>
    <w:rsid w:val="0091615D"/>
    <w:rsid w:val="00923F7E"/>
    <w:rsid w:val="00924C96"/>
    <w:rsid w:val="00925030"/>
    <w:rsid w:val="00925B32"/>
    <w:rsid w:val="00930A64"/>
    <w:rsid w:val="00930BE5"/>
    <w:rsid w:val="00930E7A"/>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5218"/>
    <w:rsid w:val="009A6806"/>
    <w:rsid w:val="009B1717"/>
    <w:rsid w:val="009B22D2"/>
    <w:rsid w:val="009B2839"/>
    <w:rsid w:val="009B4C17"/>
    <w:rsid w:val="009B5BF6"/>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45ED5"/>
    <w:rsid w:val="00F51743"/>
    <w:rsid w:val="00F529D4"/>
    <w:rsid w:val="00F54F27"/>
    <w:rsid w:val="00F55FC8"/>
    <w:rsid w:val="00F601CC"/>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2DF1"/>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23C4883"/>
    <w:rsid w:val="0F1753D8"/>
    <w:rsid w:val="14502B69"/>
    <w:rsid w:val="14E81807"/>
    <w:rsid w:val="16402E58"/>
    <w:rsid w:val="169E2405"/>
    <w:rsid w:val="1EDA036C"/>
    <w:rsid w:val="1F741824"/>
    <w:rsid w:val="30D95F31"/>
    <w:rsid w:val="359820B3"/>
    <w:rsid w:val="37633C30"/>
    <w:rsid w:val="40211663"/>
    <w:rsid w:val="46461153"/>
    <w:rsid w:val="4B6837CD"/>
    <w:rsid w:val="4E811DFD"/>
    <w:rsid w:val="5760524B"/>
    <w:rsid w:val="597A1E4D"/>
    <w:rsid w:val="5AAE26C2"/>
    <w:rsid w:val="5F2815EB"/>
    <w:rsid w:val="6EE16165"/>
    <w:rsid w:val="70B63291"/>
    <w:rsid w:val="768A2964"/>
    <w:rsid w:val="774C0175"/>
    <w:rsid w:val="78D96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qFormat="1" w:unhideWhenUsed="0" w:uiPriority="39" w:semiHidden="0" w:name="toc 2" w:locked="1"/>
    <w:lsdException w:qFormat="1" w:unhideWhenUsed="0"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name="annotation text" w:locked="1"/>
    <w:lsdException w:qFormat="1" w:unhideWhenUsed="0" w:uiPriority="0" w:semiHidden="0" w:name="header" w:locked="1"/>
    <w:lsdException w:qFormat="1" w:unhideWhenUsed="0" w:uiPriority="99" w:semiHidden="0" w:name="footer" w:locked="1"/>
    <w:lsdException w:unhideWhenUsed="0" w:uiPriority="0" w:semiHidden="0" w:name="index heading" w:locked="1"/>
    <w:lsdException w:qFormat="1" w:uiPriority="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ocked="1"/>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qFormat="1"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unhideWhenUsed="0" w:uiPriority="0" w:semiHidden="0" w:name="Normal (Web)" w:locked="1"/>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ocked="1"/>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ocked="1"/>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locked/>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locked/>
    <w:uiPriority w:val="0"/>
    <w:pPr>
      <w:keepNext/>
      <w:keepLines/>
      <w:spacing w:line="360" w:lineRule="auto"/>
      <w:outlineLvl w:val="1"/>
    </w:pPr>
    <w:rPr>
      <w:bCs/>
      <w:sz w:val="22"/>
      <w:szCs w:val="32"/>
    </w:rPr>
  </w:style>
  <w:style w:type="paragraph" w:styleId="4">
    <w:name w:val="heading 3"/>
    <w:basedOn w:val="1"/>
    <w:next w:val="1"/>
    <w:qFormat/>
    <w:locked/>
    <w:uiPriority w:val="0"/>
    <w:pPr>
      <w:keepNext/>
      <w:spacing w:line="360" w:lineRule="auto"/>
      <w:outlineLvl w:val="2"/>
    </w:pPr>
    <w:rPr>
      <w:sz w:val="22"/>
    </w:rPr>
  </w:style>
  <w:style w:type="paragraph" w:styleId="5">
    <w:name w:val="heading 4"/>
    <w:basedOn w:val="1"/>
    <w:next w:val="1"/>
    <w:qFormat/>
    <w:locked/>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locked/>
    <w:uiPriority w:val="0"/>
  </w:style>
  <w:style w:type="paragraph" w:styleId="7">
    <w:name w:val="Body Text 3"/>
    <w:basedOn w:val="1"/>
    <w:qFormat/>
    <w:locked/>
    <w:uiPriority w:val="0"/>
    <w:pPr>
      <w:spacing w:after="120"/>
    </w:pPr>
    <w:rPr>
      <w:sz w:val="16"/>
      <w:szCs w:val="16"/>
    </w:rPr>
  </w:style>
  <w:style w:type="paragraph" w:styleId="8">
    <w:name w:val="Body Text"/>
    <w:basedOn w:val="1"/>
    <w:qFormat/>
    <w:locked/>
    <w:uiPriority w:val="0"/>
    <w:pPr>
      <w:ind w:right="56"/>
    </w:pPr>
    <w:rPr>
      <w:b/>
      <w:sz w:val="22"/>
    </w:rPr>
  </w:style>
  <w:style w:type="paragraph" w:styleId="9">
    <w:name w:val="Body Text Indent"/>
    <w:basedOn w:val="1"/>
    <w:qFormat/>
    <w:locked/>
    <w:uiPriority w:val="0"/>
    <w:pPr>
      <w:spacing w:after="120"/>
      <w:ind w:left="420" w:leftChars="200"/>
    </w:pPr>
  </w:style>
  <w:style w:type="paragraph" w:styleId="10">
    <w:name w:val="toc 3"/>
    <w:basedOn w:val="1"/>
    <w:next w:val="1"/>
    <w:qFormat/>
    <w:locked/>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locked/>
    <w:uiPriority w:val="0"/>
    <w:pPr>
      <w:spacing w:after="120" w:line="480" w:lineRule="auto"/>
      <w:ind w:left="420" w:leftChars="200"/>
    </w:pPr>
  </w:style>
  <w:style w:type="paragraph" w:styleId="12">
    <w:name w:val="Balloon Text"/>
    <w:basedOn w:val="1"/>
    <w:semiHidden/>
    <w:qFormat/>
    <w:locked/>
    <w:uiPriority w:val="0"/>
    <w:rPr>
      <w:sz w:val="18"/>
      <w:szCs w:val="18"/>
    </w:rPr>
  </w:style>
  <w:style w:type="paragraph" w:styleId="13">
    <w:name w:val="footer"/>
    <w:basedOn w:val="1"/>
    <w:link w:val="34"/>
    <w:qFormat/>
    <w:locked/>
    <w:uiPriority w:val="99"/>
    <w:pPr>
      <w:tabs>
        <w:tab w:val="center" w:pos="4320"/>
        <w:tab w:val="right" w:pos="8640"/>
      </w:tabs>
    </w:pPr>
  </w:style>
  <w:style w:type="paragraph" w:styleId="14">
    <w:name w:val="header"/>
    <w:basedOn w:val="1"/>
    <w:link w:val="26"/>
    <w:qFormat/>
    <w:locked/>
    <w:uiPriority w:val="0"/>
    <w:pPr>
      <w:tabs>
        <w:tab w:val="center" w:pos="4320"/>
        <w:tab w:val="right" w:pos="8640"/>
      </w:tabs>
    </w:pPr>
  </w:style>
  <w:style w:type="paragraph" w:styleId="15">
    <w:name w:val="toc 1"/>
    <w:basedOn w:val="1"/>
    <w:next w:val="1"/>
    <w:qFormat/>
    <w:locked/>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locked/>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locked/>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locked/>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locked/>
    <w:uiPriority w:val="0"/>
  </w:style>
  <w:style w:type="character" w:styleId="23">
    <w:name w:val="Hyperlink"/>
    <w:qFormat/>
    <w:locked/>
    <w:uiPriority w:val="99"/>
    <w:rPr>
      <w:color w:val="0000FF"/>
      <w:u w:val="single"/>
    </w:rPr>
  </w:style>
  <w:style w:type="character" w:styleId="24">
    <w:name w:val="annotation reference"/>
    <w:semiHidden/>
    <w:qFormat/>
    <w:locked/>
    <w:uiPriority w:val="0"/>
    <w:rPr>
      <w:sz w:val="21"/>
      <w:szCs w:val="21"/>
    </w:rPr>
  </w:style>
  <w:style w:type="paragraph" w:customStyle="1" w:styleId="25">
    <w:name w:val="Table"/>
    <w:basedOn w:val="1"/>
    <w:qFormat/>
    <w:locked/>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0"/>
    <w:rPr>
      <w:rFonts w:eastAsia="宋体"/>
      <w:sz w:val="24"/>
      <w:lang w:val="en-GB" w:eastAsia="en-US" w:bidi="ar-SA"/>
    </w:rPr>
  </w:style>
  <w:style w:type="paragraph" w:customStyle="1" w:styleId="27">
    <w:name w:val="Default Text"/>
    <w:basedOn w:val="1"/>
    <w:qFormat/>
    <w:locked/>
    <w:uiPriority w:val="0"/>
    <w:pPr>
      <w:overflowPunct/>
      <w:textAlignment w:val="auto"/>
    </w:pPr>
    <w:rPr>
      <w:rFonts w:ascii="Arial" w:hAnsi="Arial"/>
      <w:szCs w:val="24"/>
      <w:lang w:val="en-US"/>
    </w:rPr>
  </w:style>
  <w:style w:type="paragraph" w:customStyle="1" w:styleId="28">
    <w:name w:val="Style"/>
    <w:basedOn w:val="1"/>
    <w:qFormat/>
    <w:locked/>
    <w:uiPriority w:val="0"/>
    <w:pPr>
      <w:overflowPunct/>
      <w:textAlignment w:val="auto"/>
    </w:pPr>
    <w:rPr>
      <w:rFonts w:ascii="Arial" w:hAnsi="Arial"/>
      <w:szCs w:val="24"/>
      <w:lang w:val="en-US"/>
    </w:rPr>
  </w:style>
  <w:style w:type="paragraph" w:customStyle="1" w:styleId="29">
    <w:name w:val="正文1"/>
    <w:basedOn w:val="1"/>
    <w:qFormat/>
    <w:locked/>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locked/>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locked/>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locked/>
    <w:uiPriority w:val="1"/>
    <w:rPr>
      <w:rFonts w:cs="Arial"/>
      <w:i/>
      <w:color w:val="0070C0"/>
    </w:rPr>
  </w:style>
  <w:style w:type="character" w:customStyle="1" w:styleId="36">
    <w:name w:val="keyword"/>
    <w:basedOn w:val="21"/>
    <w:qFormat/>
    <w:locked/>
    <w:uiPriority w:val="0"/>
  </w:style>
  <w:style w:type="paragraph" w:customStyle="1" w:styleId="37">
    <w:name w:val="numbering blue"/>
    <w:basedOn w:val="1"/>
    <w:link w:val="38"/>
    <w:qFormat/>
    <w:locked/>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locked/>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0"/>
    <w:rPr>
      <w:sz w:val="24"/>
      <w:lang w:eastAsia="en-US"/>
    </w:rPr>
  </w:style>
  <w:style w:type="paragraph" w:customStyle="1" w:styleId="41">
    <w:name w:val="Text"/>
    <w:basedOn w:val="1"/>
    <w:link w:val="40"/>
    <w:qFormat/>
    <w:locked/>
    <w:uiPriority w:val="0"/>
    <w:pPr>
      <w:overflowPunct/>
      <w:autoSpaceDE/>
      <w:autoSpaceDN/>
      <w:adjustRightInd/>
      <w:spacing w:before="120"/>
      <w:jc w:val="both"/>
      <w:textAlignment w:val="auto"/>
    </w:pPr>
    <w:rPr>
      <w:lang w:val="en-US"/>
    </w:rPr>
  </w:style>
  <w:style w:type="character" w:customStyle="1" w:styleId="42">
    <w:name w:val="ordinary-span-edit2"/>
    <w:qFormat/>
    <w:locked/>
    <w:uiPriority w:val="0"/>
  </w:style>
  <w:style w:type="character" w:customStyle="1" w:styleId="43">
    <w:name w:val="apple-converted-space"/>
    <w:basedOn w:val="21"/>
    <w:qFormat/>
    <w:locked/>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locked/>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paragraph" w:customStyle="1" w:styleId="47">
    <w:name w:val="WPSOffice手动目录 1"/>
    <w:qFormat/>
    <w:locked/>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2224</Words>
  <Characters>2358</Characters>
  <Lines>39</Lines>
  <Paragraphs>11</Paragraphs>
  <TotalTime>0</TotalTime>
  <ScaleCrop>false</ScaleCrop>
  <LinksUpToDate>false</LinksUpToDate>
  <CharactersWithSpaces>2425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2023-10-16T07:59:00Z</dcterms:created>
  <dc:creator>Lilly</dc:creator>
  <cp:lastModifiedBy>汪洋</cp:lastModifiedBy>
  <cp:lastPrinted>2017-06-22T01:53:00Z</cp:lastPrinted>
  <dcterms:modified xsi:type="dcterms:W3CDTF">2024-09-13T01:45:51Z</dcterms:modified>
  <dc:title>生效期：</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368C39D50BB844FC86039529C82D0167</vt:lpwstr>
  </property>
</Properties>
</file>