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2717189"/>
      <w:bookmarkStart w:id="3" w:name="_Toc483227223"/>
      <w:bookmarkStart w:id="4" w:name="_Toc484532399"/>
    </w:p>
    <w:p>
      <w:pPr>
        <w:spacing w:after="158" w:afterLines="50"/>
        <w:jc w:val="center"/>
        <w:rPr>
          <w:b/>
          <w:szCs w:val="21"/>
          <w:lang w:eastAsia="zh-CN"/>
        </w:rPr>
      </w:pPr>
      <w:permStart w:id="0" w:edGrp="everyone"/>
      <w:r>
        <w:rPr>
          <w:rFonts w:hint="eastAsia"/>
          <w:b/>
          <w:sz w:val="28"/>
          <w:szCs w:val="28"/>
          <w:lang w:eastAsia="zh-CN"/>
        </w:rPr>
        <w:t>小动物呼吸暴露系统</w:t>
      </w:r>
      <w:permEnd w:id="0"/>
      <w:r>
        <w:rPr>
          <w:b/>
          <w:sz w:val="28"/>
          <w:szCs w:val="28"/>
          <w:lang w:eastAsia="zh-CN"/>
        </w:rPr>
        <w:t>用户需求说明（URS</w:t>
      </w:r>
      <w:r>
        <w:rPr>
          <w:b/>
          <w:szCs w:val="21"/>
          <w:lang w:eastAsia="zh-CN"/>
        </w:rPr>
        <w:t>）</w:t>
      </w:r>
      <w:bookmarkEnd w:id="0"/>
      <w:bookmarkEnd w:id="1"/>
      <w:bookmarkEnd w:id="2"/>
      <w:bookmarkEnd w:id="3"/>
      <w:bookmarkEnd w:id="4"/>
    </w:p>
    <w:p>
      <w:pPr>
        <w:spacing w:after="158" w:afterLines="50"/>
        <w:rPr>
          <w:b/>
          <w:szCs w:val="21"/>
          <w:lang w:eastAsia="zh-CN"/>
        </w:rPr>
      </w:pPr>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目录</w:t>
      </w:r>
      <w:permStart w:id="1"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color w:val="auto"/>
        </w:rPr>
        <w:t>1</w:t>
      </w:r>
      <w:r>
        <w:rPr>
          <w:b w:val="0"/>
          <w:bCs w:val="0"/>
          <w:caps w:val="0"/>
          <w:szCs w:val="22"/>
        </w:rPr>
        <w:tab/>
      </w:r>
      <w:r>
        <w:rPr>
          <w:rStyle w:val="23"/>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color w:val="auto"/>
        </w:rPr>
        <w:t>2</w:t>
      </w:r>
      <w:r>
        <w:rPr>
          <w:b w:val="0"/>
          <w:bCs w:val="0"/>
          <w:caps w:val="0"/>
          <w:szCs w:val="22"/>
        </w:rPr>
        <w:tab/>
      </w:r>
      <w:r>
        <w:rPr>
          <w:rStyle w:val="23"/>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color w:val="auto"/>
        </w:rPr>
        <w:t>3</w:t>
      </w:r>
      <w:r>
        <w:rPr>
          <w:b w:val="0"/>
          <w:bCs w:val="0"/>
          <w:caps w:val="0"/>
          <w:szCs w:val="22"/>
        </w:rPr>
        <w:tab/>
      </w:r>
      <w:r>
        <w:rPr>
          <w:rStyle w:val="23"/>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color w:val="auto"/>
        </w:rPr>
        <w:t>4</w:t>
      </w:r>
      <w:r>
        <w:rPr>
          <w:b w:val="0"/>
          <w:bCs w:val="0"/>
          <w:caps w:val="0"/>
          <w:szCs w:val="22"/>
        </w:rPr>
        <w:tab/>
      </w:r>
      <w:r>
        <w:rPr>
          <w:rStyle w:val="23"/>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color w:val="auto"/>
        </w:rPr>
        <w:t>5</w:t>
      </w:r>
      <w:r>
        <w:rPr>
          <w:b w:val="0"/>
          <w:bCs w:val="0"/>
          <w:caps w:val="0"/>
          <w:szCs w:val="22"/>
        </w:rPr>
        <w:tab/>
      </w:r>
      <w:r>
        <w:rPr>
          <w:rStyle w:val="23"/>
          <w:color w:val="auto"/>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color w:val="auto"/>
        </w:rPr>
        <w:t>6</w:t>
      </w:r>
      <w:r>
        <w:rPr>
          <w:b w:val="0"/>
          <w:bCs w:val="0"/>
          <w:caps w:val="0"/>
          <w:szCs w:val="22"/>
        </w:rPr>
        <w:tab/>
      </w:r>
      <w:r>
        <w:rPr>
          <w:rStyle w:val="23"/>
          <w:color w:val="auto"/>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color w:val="auto"/>
        </w:rPr>
        <w:t>7</w:t>
      </w:r>
      <w:r>
        <w:rPr>
          <w:b w:val="0"/>
          <w:bCs w:val="0"/>
          <w:caps w:val="0"/>
          <w:szCs w:val="22"/>
        </w:rPr>
        <w:tab/>
      </w:r>
      <w:r>
        <w:rPr>
          <w:rStyle w:val="23"/>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color w:val="auto"/>
        </w:rPr>
        <w:t>8</w:t>
      </w:r>
      <w:r>
        <w:rPr>
          <w:b w:val="0"/>
          <w:bCs w:val="0"/>
          <w:caps w:val="0"/>
          <w:szCs w:val="22"/>
        </w:rPr>
        <w:tab/>
      </w:r>
      <w:r>
        <w:rPr>
          <w:rStyle w:val="23"/>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color w:val="auto"/>
        </w:rPr>
        <w:t>9</w:t>
      </w:r>
      <w:r>
        <w:rPr>
          <w:b w:val="0"/>
          <w:bCs w:val="0"/>
          <w:caps w:val="0"/>
          <w:szCs w:val="22"/>
        </w:rPr>
        <w:tab/>
      </w:r>
      <w:r>
        <w:rPr>
          <w:rStyle w:val="23"/>
          <w:color w:val="auto"/>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color w:val="auto"/>
        </w:rPr>
        <w:t>10</w:t>
      </w:r>
      <w:r>
        <w:rPr>
          <w:b w:val="0"/>
          <w:bCs w:val="0"/>
          <w:caps w:val="0"/>
          <w:szCs w:val="22"/>
        </w:rPr>
        <w:tab/>
      </w:r>
      <w:r>
        <w:rPr>
          <w:rStyle w:val="23"/>
          <w:color w:val="auto"/>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color w:val="auto"/>
        </w:rPr>
        <w:t>11</w:t>
      </w:r>
      <w:r>
        <w:rPr>
          <w:b w:val="0"/>
          <w:bCs w:val="0"/>
          <w:caps w:val="0"/>
          <w:szCs w:val="22"/>
        </w:rPr>
        <w:tab/>
      </w:r>
      <w:r>
        <w:rPr>
          <w:rStyle w:val="23"/>
          <w:color w:val="auto"/>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color w:val="auto"/>
        </w:rPr>
        <w:t>12</w:t>
      </w:r>
      <w:r>
        <w:rPr>
          <w:b w:val="0"/>
          <w:bCs w:val="0"/>
          <w:caps w:val="0"/>
          <w:szCs w:val="22"/>
        </w:rPr>
        <w:tab/>
      </w:r>
      <w:r>
        <w:rPr>
          <w:rStyle w:val="23"/>
          <w:color w:val="auto"/>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1"/>
    </w:p>
    <w:p>
      <w:pPr>
        <w:rPr>
          <w:b/>
          <w:bCs/>
          <w:caps/>
          <w:kern w:val="2"/>
          <w:szCs w:val="21"/>
          <w:lang w:eastAsia="zh-CN"/>
        </w:rPr>
      </w:pPr>
      <w:r>
        <w:rPr>
          <w:b/>
          <w:bCs/>
          <w:caps/>
          <w:kern w:val="2"/>
          <w:szCs w:val="21"/>
          <w:lang w:eastAsia="zh-CN"/>
        </w:rPr>
        <w:br w:type="page"/>
      </w:r>
    </w:p>
    <w:p>
      <w:pPr>
        <w:pStyle w:val="31"/>
        <w:numPr>
          <w:ilvl w:val="0"/>
          <w:numId w:val="3"/>
        </w:numPr>
      </w:pPr>
      <w:bookmarkStart w:id="5" w:name="_Toc522716115"/>
      <w:bookmarkStart w:id="6" w:name="_Toc522107735"/>
      <w:r>
        <w:t>目的</w:t>
      </w:r>
      <w:bookmarkEnd w:id="5"/>
      <w:bookmarkEnd w:id="6"/>
    </w:p>
    <w:p>
      <w:pPr>
        <w:pStyle w:val="41"/>
        <w:spacing w:before="0" w:line="360" w:lineRule="auto"/>
        <w:ind w:left="357"/>
        <w:jc w:val="left"/>
        <w:rPr>
          <w:szCs w:val="21"/>
          <w:lang w:eastAsia="zh-CN"/>
        </w:rPr>
      </w:pPr>
      <w:bookmarkStart w:id="7" w:name="_Toc482370061"/>
      <w:bookmarkStart w:id="8" w:name="_Toc481702475"/>
      <w:bookmarkStart w:id="9" w:name="_Toc482370757"/>
      <w:bookmarkStart w:id="10" w:name="_Toc482359936"/>
      <w:bookmarkStart w:id="11" w:name="_Toc482360281"/>
      <w:bookmarkStart w:id="12" w:name="_Toc482370349"/>
      <w:bookmarkStart w:id="13" w:name="_Toc482625279"/>
      <w:bookmarkStart w:id="14" w:name="_Toc482370141"/>
      <w:bookmarkStart w:id="15" w:name="_Toc482369805"/>
      <w:r>
        <w:rPr>
          <w:szCs w:val="21"/>
          <w:lang w:eastAsia="zh-CN"/>
        </w:rPr>
        <w:t>本文件的目的是描述武汉生物制品研究所有限责任公司</w:t>
      </w:r>
      <w:r>
        <w:rPr>
          <w:rFonts w:hint="eastAsia"/>
          <w:szCs w:val="21"/>
          <w:lang w:eastAsia="zh-CN"/>
        </w:rPr>
        <w:t>新发传染病研究室小动物呼吸暴露系统</w:t>
      </w:r>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pPr>
      <w:bookmarkStart w:id="16" w:name="_Toc522716116"/>
      <w:bookmarkStart w:id="17" w:name="_Toc522107736"/>
      <w: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新发传染病研究室小动物呼吸暴露系统</w:t>
      </w:r>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pPr>
      <w:bookmarkStart w:id="18" w:name="_Toc522107737"/>
      <w:bookmarkStart w:id="19" w:name="_Toc522716117"/>
      <w:r>
        <w:t>参考文件</w:t>
      </w:r>
      <w:bookmarkEnd w:id="18"/>
      <w:bookmarkEnd w:id="19"/>
    </w:p>
    <w:p>
      <w:pPr>
        <w:pStyle w:val="41"/>
        <w:numPr>
          <w:ilvl w:val="0"/>
          <w:numId w:val="4"/>
        </w:numPr>
        <w:spacing w:before="0" w:line="360" w:lineRule="auto"/>
        <w:jc w:val="left"/>
        <w:rPr>
          <w:szCs w:val="21"/>
          <w:lang w:eastAsia="zh-CN"/>
        </w:rPr>
      </w:pPr>
      <w:r>
        <w:rPr>
          <w:szCs w:val="21"/>
          <w:lang w:eastAsia="zh-CN"/>
        </w:rPr>
        <w:t>GMP法规指南和SOP</w:t>
      </w:r>
    </w:p>
    <w:p>
      <w:pPr>
        <w:pStyle w:val="41"/>
        <w:numPr>
          <w:ilvl w:val="0"/>
          <w:numId w:val="5"/>
        </w:numPr>
        <w:spacing w:before="0" w:line="360" w:lineRule="auto"/>
        <w:ind w:left="777"/>
        <w:jc w:val="left"/>
        <w:rPr>
          <w:szCs w:val="21"/>
          <w:lang w:eastAsia="zh-CN"/>
        </w:rPr>
      </w:pPr>
      <w:r>
        <w:rPr>
          <w:szCs w:val="21"/>
          <w:lang w:eastAsia="zh-CN"/>
        </w:rPr>
        <w:t>SOP-06-12-0005 用户需求编写审批SOP</w:t>
      </w:r>
    </w:p>
    <w:p>
      <w:pPr>
        <w:pStyle w:val="41"/>
        <w:numPr>
          <w:ilvl w:val="0"/>
          <w:numId w:val="4"/>
        </w:numPr>
        <w:spacing w:before="0" w:line="360" w:lineRule="auto"/>
        <w:jc w:val="left"/>
        <w:rPr>
          <w:szCs w:val="21"/>
          <w:lang w:eastAsia="zh-CN"/>
        </w:rPr>
      </w:pPr>
      <w:r>
        <w:rPr>
          <w:szCs w:val="21"/>
          <w:lang w:eastAsia="zh-CN"/>
        </w:rPr>
        <w:t>安全及环保法规指南</w:t>
      </w:r>
    </w:p>
    <w:p>
      <w:pPr>
        <w:pStyle w:val="41"/>
        <w:numPr>
          <w:ilvl w:val="0"/>
          <w:numId w:val="5"/>
        </w:numPr>
        <w:spacing w:before="0" w:line="360" w:lineRule="auto"/>
        <w:ind w:left="777"/>
        <w:jc w:val="left"/>
        <w:rPr>
          <w:szCs w:val="21"/>
          <w:lang w:eastAsia="zh-CN"/>
        </w:rPr>
      </w:pPr>
      <w:permStart w:id="2" w:edGrp="everyone"/>
      <w:r>
        <w:rPr>
          <w:szCs w:val="21"/>
          <w:lang w:eastAsia="zh-CN"/>
        </w:rPr>
        <w:t>电气安全应符合GB4793.1和GB4793.4的要求。</w:t>
      </w:r>
    </w:p>
    <w:p>
      <w:pPr>
        <w:pStyle w:val="41"/>
        <w:numPr>
          <w:ilvl w:val="0"/>
          <w:numId w:val="5"/>
        </w:numPr>
        <w:spacing w:before="0" w:line="360" w:lineRule="auto"/>
        <w:ind w:left="777"/>
        <w:jc w:val="left"/>
        <w:rPr>
          <w:szCs w:val="21"/>
          <w:lang w:eastAsia="zh-CN"/>
        </w:rPr>
      </w:pPr>
      <w:r>
        <w:rPr>
          <w:rFonts w:hint="eastAsia"/>
          <w:szCs w:val="21"/>
          <w:lang w:eastAsia="zh-CN"/>
        </w:rPr>
        <w:t>实验室生物安全通用要求GB 19489-2008</w:t>
      </w:r>
      <w:permEnd w:id="2"/>
      <w:permStart w:id="3" w:edGrp="everyone"/>
      <w:bookmarkStart w:id="47" w:name="_GoBack"/>
      <w:bookmarkEnd w:id="47"/>
    </w:p>
    <w:permEnd w:id="3"/>
    <w:p>
      <w:pPr>
        <w:pStyle w:val="31"/>
        <w:numPr>
          <w:ilvl w:val="0"/>
          <w:numId w:val="3"/>
        </w:numPr>
      </w:pPr>
      <w:bookmarkStart w:id="20" w:name="_Toc522107739"/>
      <w:bookmarkStart w:id="21" w:name="_Toc522716119"/>
      <w:r>
        <w:t>系统描述</w:t>
      </w:r>
      <w:bookmarkEnd w:id="20"/>
      <w:bookmarkEnd w:id="21"/>
    </w:p>
    <w:p>
      <w:pPr>
        <w:pStyle w:val="41"/>
        <w:spacing w:before="0" w:line="360" w:lineRule="auto"/>
        <w:ind w:left="357"/>
        <w:rPr>
          <w:szCs w:val="21"/>
          <w:lang w:eastAsia="zh-CN"/>
        </w:rPr>
      </w:pPr>
      <w:permStart w:id="4" w:edGrp="everyone"/>
      <w:r>
        <w:rPr>
          <w:rFonts w:hint="eastAsia"/>
          <w:szCs w:val="21"/>
          <w:lang w:eastAsia="zh-CN"/>
        </w:rPr>
        <w:t>小动物呼吸暴露系统是</w:t>
      </w:r>
      <w:r>
        <w:rPr>
          <w:rFonts w:hint="eastAsia"/>
          <w:szCs w:val="21"/>
          <w:lang w:val="en-GB" w:eastAsia="zh-CN"/>
        </w:rPr>
        <w:t>用于将动物暴露于特定空气氛围中的设备，包括空气传播的污染物和传染源、药物等，可以产生更接近真实环境的深部肺部暴露</w:t>
      </w:r>
      <w:r>
        <w:rPr>
          <w:rFonts w:hint="eastAsia"/>
          <w:szCs w:val="21"/>
          <w:lang w:eastAsia="zh-CN"/>
        </w:rPr>
        <w:t>以满足多样化的吸入研究，</w:t>
      </w:r>
      <w:r>
        <w:rPr>
          <w:rFonts w:hint="eastAsia"/>
          <w:szCs w:val="21"/>
          <w:lang w:val="en-GB" w:eastAsia="zh-CN"/>
        </w:rPr>
        <w:t>可用于药物安全评价、呼吸性疾病造模和药效评价、化学品安全评价、吸入免疫等领域</w:t>
      </w:r>
      <w:r>
        <w:rPr>
          <w:szCs w:val="21"/>
          <w:lang w:eastAsia="zh-CN"/>
        </w:rPr>
        <w:t>。</w:t>
      </w:r>
      <w:permEnd w:id="4"/>
    </w:p>
    <w:p>
      <w:pPr>
        <w:pStyle w:val="31"/>
        <w:numPr>
          <w:ilvl w:val="0"/>
          <w:numId w:val="3"/>
        </w:numPr>
      </w:pPr>
      <w:bookmarkStart w:id="22" w:name="_Toc522716120"/>
      <w:r>
        <w:t>安装要求</w:t>
      </w:r>
      <w:bookmarkEnd w:id="2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val="en-US" w:eastAsia="zh-CN"/>
              </w:rPr>
            </w:pPr>
            <w:r>
              <w:rPr>
                <w:b/>
                <w:szCs w:val="21"/>
                <w:lang w:eastAsia="zh-CN"/>
              </w:rPr>
              <w:t>关键程度</w:t>
            </w:r>
            <w:r>
              <w:rPr>
                <w:rFonts w:hint="eastAsia"/>
                <w:bCs/>
                <w:szCs w:val="21"/>
                <w:lang w:val="en-US" w:eastAsia="zh-CN"/>
              </w:rPr>
              <w:t>(备注</w:t>
            </w:r>
            <w:r>
              <w:rPr>
                <w:rFonts w:hint="eastAsia" w:ascii="宋体" w:hAnsi="宋体" w:cs="宋体"/>
                <w:szCs w:val="21"/>
                <w:lang w:eastAsia="zh-CN"/>
              </w:rPr>
              <w:t>※</w:t>
            </w:r>
            <w:r>
              <w:rPr>
                <w:rFonts w:hint="eastAsia" w:ascii="宋体" w:hAnsi="宋体" w:cs="宋体"/>
                <w:szCs w:val="21"/>
                <w:lang w:val="en-US" w:eastAsia="zh-CN"/>
              </w:rPr>
              <w:t>的为必须响应）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5"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设备安装于生物安全三级实验室小动物室</w:t>
            </w:r>
          </w:p>
        </w:tc>
        <w:tc>
          <w:tcPr>
            <w:tcW w:w="2082" w:type="dxa"/>
            <w:shd w:val="clear" w:color="auto" w:fill="auto"/>
            <w:vAlign w:val="center"/>
          </w:tcPr>
          <w:p>
            <w:pPr>
              <w:jc w:val="both"/>
              <w:rPr>
                <w:szCs w:val="21"/>
                <w:lang w:eastAsia="zh-CN"/>
              </w:rPr>
            </w:pPr>
            <w:r>
              <w:rPr>
                <w:rFonts w:hint="eastAsia"/>
                <w:szCs w:val="21"/>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6"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设备接触暴露气体的部分工作尺寸不超过1300*630*630mm。</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7" w:edGrp="everyone"/>
          </w:p>
        </w:tc>
        <w:tc>
          <w:tcPr>
            <w:tcW w:w="6970"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both"/>
              <w:rPr>
                <w:szCs w:val="21"/>
                <w:lang w:eastAsia="zh-CN"/>
              </w:rPr>
            </w:pPr>
            <w:r>
              <w:rPr>
                <w:rFonts w:hint="eastAsia"/>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8"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设备接触暴露气体的部分重量（kg）不超过30kg，其他部分不超过80kg。</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85" w:type="dxa"/>
            <w:shd w:val="clear" w:color="auto" w:fill="D8D8D8" w:themeFill="background1" w:themeFillShade="D9"/>
            <w:vAlign w:val="center"/>
          </w:tcPr>
          <w:p>
            <w:pPr>
              <w:rPr>
                <w:lang w:eastAsia="zh-CN"/>
              </w:rPr>
            </w:pPr>
            <w:permStart w:id="9" w:edGrp="everyone"/>
          </w:p>
        </w:tc>
        <w:tc>
          <w:tcPr>
            <w:tcW w:w="9052" w:type="dxa"/>
            <w:gridSpan w:val="2"/>
            <w:shd w:val="clear" w:color="auto" w:fill="auto"/>
            <w:vAlign w:val="center"/>
          </w:tcPr>
          <w:p>
            <w:pPr>
              <w:jc w:val="both"/>
              <w:rPr>
                <w:szCs w:val="21"/>
                <w:lang w:eastAsia="zh-CN"/>
              </w:rPr>
            </w:pPr>
            <w:r>
              <w:rPr>
                <w:rFonts w:hint="eastAsia"/>
                <w:szCs w:val="21"/>
                <w:lang w:eastAsia="zh-CN"/>
              </w:rPr>
              <w:t xml:space="preserve">N/A </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85" w:type="dxa"/>
            <w:shd w:val="clear" w:color="auto" w:fill="auto"/>
            <w:vAlign w:val="center"/>
          </w:tcPr>
          <w:p>
            <w:pPr>
              <w:pStyle w:val="31"/>
              <w:numPr>
                <w:ilvl w:val="0"/>
                <w:numId w:val="7"/>
              </w:numPr>
            </w:pPr>
            <w:permStart w:id="10" w:edGrp="everyone"/>
          </w:p>
        </w:tc>
        <w:tc>
          <w:tcPr>
            <w:tcW w:w="6970" w:type="dxa"/>
            <w:shd w:val="clear" w:color="auto" w:fill="auto"/>
            <w:vAlign w:val="center"/>
          </w:tcPr>
          <w:p>
            <w:pPr>
              <w:spacing w:line="276" w:lineRule="auto"/>
              <w:jc w:val="both"/>
              <w:rPr>
                <w:szCs w:val="21"/>
                <w:lang w:eastAsia="zh-CN"/>
              </w:rPr>
            </w:pPr>
            <w:r>
              <w:rPr>
                <w:lang w:eastAsia="zh-CN"/>
              </w:rPr>
              <w:t>工作环境温度：能适应10</w:t>
            </w:r>
            <w:r>
              <w:rPr>
                <w:rFonts w:hint="eastAsia" w:ascii="宋体" w:hAnsi="宋体" w:cs="宋体"/>
                <w:lang w:eastAsia="zh-CN"/>
              </w:rPr>
              <w:t>℃</w:t>
            </w:r>
            <w:r>
              <w:rPr>
                <w:lang w:eastAsia="zh-CN"/>
              </w:rPr>
              <w:t>～32</w:t>
            </w:r>
            <w:r>
              <w:rPr>
                <w:rFonts w:hint="eastAsia" w:ascii="宋体" w:hAnsi="宋体" w:cs="宋体"/>
                <w:lang w:eastAsia="zh-CN"/>
              </w:rPr>
              <w:t>℃</w:t>
            </w:r>
            <w:r>
              <w:rPr>
                <w:lang w:eastAsia="zh-CN"/>
              </w:rPr>
              <w:t xml:space="preserve">环境 </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1" w:edGrp="everyone"/>
          </w:p>
        </w:tc>
        <w:tc>
          <w:tcPr>
            <w:tcW w:w="6970" w:type="dxa"/>
            <w:shd w:val="clear" w:color="auto" w:fill="auto"/>
            <w:vAlign w:val="center"/>
          </w:tcPr>
          <w:p>
            <w:pPr>
              <w:spacing w:line="276" w:lineRule="auto"/>
              <w:jc w:val="both"/>
              <w:rPr>
                <w:szCs w:val="21"/>
                <w:lang w:eastAsia="zh-CN"/>
              </w:rPr>
            </w:pPr>
            <w:r>
              <w:rPr>
                <w:lang w:eastAsia="zh-CN"/>
              </w:rPr>
              <w:t>工作环境湿度：</w:t>
            </w:r>
            <w:r>
              <w:rPr>
                <w:rFonts w:hint="eastAsia"/>
                <w:lang w:eastAsia="zh-CN"/>
              </w:rPr>
              <w:t>主机及控制电路部分</w:t>
            </w:r>
            <w:r>
              <w:rPr>
                <w:lang w:eastAsia="zh-CN"/>
              </w:rPr>
              <w:t>至少包括45%～65%</w:t>
            </w:r>
            <w:r>
              <w:rPr>
                <w:rFonts w:hint="eastAsia"/>
                <w:lang w:eastAsia="zh-CN"/>
              </w:rPr>
              <w:t>，设备接触暴露气体的部分至少包括30%~100%。</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2" w:edGrp="everyone"/>
          </w:p>
        </w:tc>
        <w:tc>
          <w:tcPr>
            <w:tcW w:w="6970" w:type="dxa"/>
            <w:shd w:val="clear" w:color="auto" w:fill="auto"/>
            <w:vAlign w:val="center"/>
          </w:tcPr>
          <w:p>
            <w:pPr>
              <w:spacing w:line="276" w:lineRule="auto"/>
              <w:jc w:val="both"/>
              <w:rPr>
                <w:lang w:eastAsia="zh-CN"/>
              </w:rPr>
            </w:pPr>
            <w:r>
              <w:rPr>
                <w:lang w:eastAsia="zh-CN"/>
              </w:rPr>
              <w:t>工作环境洁净级别：</w:t>
            </w:r>
            <w:r>
              <w:rPr>
                <w:rFonts w:hint="eastAsia"/>
                <w:lang w:eastAsia="zh-CN"/>
              </w:rPr>
              <w:t>普通区域或J7洁净度</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3" w:edGrp="everyone"/>
          </w:p>
        </w:tc>
        <w:tc>
          <w:tcPr>
            <w:tcW w:w="6970" w:type="dxa"/>
            <w:shd w:val="clear" w:color="auto" w:fill="auto"/>
            <w:vAlign w:val="center"/>
          </w:tcPr>
          <w:p>
            <w:pPr>
              <w:spacing w:line="276" w:lineRule="auto"/>
              <w:jc w:val="both"/>
              <w:rPr>
                <w:lang w:eastAsia="zh-CN"/>
              </w:rPr>
            </w:pPr>
            <w:r>
              <w:rPr>
                <w:lang w:eastAsia="zh-CN"/>
              </w:rPr>
              <w:t xml:space="preserve">交流电电源：～220±10%V，50±1Hz </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pPr>
          </w:p>
        </w:tc>
        <w:tc>
          <w:tcPr>
            <w:tcW w:w="9052" w:type="dxa"/>
            <w:gridSpan w:val="2"/>
            <w:shd w:val="clear" w:color="auto" w:fill="D9D9D9"/>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4" w:edGrp="everyone"/>
          </w:p>
        </w:tc>
        <w:tc>
          <w:tcPr>
            <w:tcW w:w="6970" w:type="dxa"/>
            <w:shd w:val="clear" w:color="auto" w:fill="auto"/>
            <w:vAlign w:val="center"/>
          </w:tcPr>
          <w:p>
            <w:pPr>
              <w:spacing w:line="276" w:lineRule="auto"/>
              <w:jc w:val="both"/>
              <w:rPr>
                <w:lang w:eastAsia="zh-CN"/>
              </w:rPr>
            </w:pPr>
            <w:r>
              <w:rPr>
                <w:rFonts w:hint="eastAsia"/>
                <w:lang w:eastAsia="zh-CN"/>
              </w:rPr>
              <w:t>设备外观应端正、整齐，不得有明显的偏歪、毛刺和锈蚀等缺陷。</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lang w:eastAsia="zh-CN"/>
              </w:rPr>
            </w:pPr>
            <w:r>
              <w:rPr>
                <w:rFonts w:hint="eastAsia"/>
                <w:lang w:eastAsia="zh-CN"/>
              </w:rPr>
              <w:t>设备内外表面应易于清洁消毒，耐腐蚀，耐氧化，耐受过氧化氢、酒精等消毒剂消毒</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082"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4"/>
    </w:tbl>
    <w:p>
      <w:pPr>
        <w:pStyle w:val="31"/>
      </w:pPr>
    </w:p>
    <w:p>
      <w:pPr>
        <w:pStyle w:val="31"/>
        <w:numPr>
          <w:ilvl w:val="0"/>
          <w:numId w:val="3"/>
        </w:numPr>
      </w:pPr>
      <w:bookmarkStart w:id="25" w:name="_Toc522716121"/>
      <w:bookmarkStart w:id="26" w:name="_Toc522107740"/>
      <w:r>
        <w:t>运行要求</w:t>
      </w:r>
      <w:bookmarkEnd w:id="25"/>
      <w:bookmarkEnd w:id="26"/>
      <w:permStart w:id="15" w:edGrp="everyone"/>
    </w:p>
    <w:permEnd w:id="1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pPr>
          </w:p>
        </w:tc>
        <w:tc>
          <w:tcPr>
            <w:tcW w:w="9052"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rPr>
                <w:lang w:eastAsia="zh-CN"/>
              </w:rPr>
            </w:pPr>
            <w:permStart w:id="16" w:edGrp="everyone"/>
          </w:p>
        </w:tc>
        <w:tc>
          <w:tcPr>
            <w:tcW w:w="9052" w:type="dxa"/>
            <w:gridSpan w:val="2"/>
            <w:shd w:val="clear" w:color="auto" w:fill="auto"/>
            <w:vAlign w:val="center"/>
          </w:tcPr>
          <w:p>
            <w:pPr>
              <w:jc w:val="both"/>
              <w:rPr>
                <w:szCs w:val="21"/>
                <w:lang w:eastAsia="zh-CN"/>
              </w:rPr>
            </w:pPr>
            <w:r>
              <w:rPr>
                <w:rFonts w:hint="eastAsia"/>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pPr>
          </w:p>
        </w:tc>
        <w:tc>
          <w:tcPr>
            <w:tcW w:w="905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pPr>
            <w:permStart w:id="17" w:edGrp="everyone"/>
          </w:p>
        </w:tc>
        <w:tc>
          <w:tcPr>
            <w:tcW w:w="9052" w:type="dxa"/>
            <w:gridSpan w:val="2"/>
            <w:shd w:val="clear" w:color="auto" w:fill="auto"/>
            <w:vAlign w:val="center"/>
          </w:tcPr>
          <w:p>
            <w:pPr>
              <w:jc w:val="both"/>
              <w:rPr>
                <w:szCs w:val="21"/>
                <w:lang w:eastAsia="zh-CN"/>
              </w:rPr>
            </w:pPr>
            <w:r>
              <w:rPr>
                <w:rFonts w:hint="eastAsia"/>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pPr>
          </w:p>
        </w:tc>
        <w:tc>
          <w:tcPr>
            <w:tcW w:w="905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8" w:edGrp="everyone"/>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支持小鼠、豚鼠、大鼠等啮齿类动物进行吸入暴露，动物接口≥20个。</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固定器适配动物接口，数量不少于2</w:t>
            </w:r>
            <w:r>
              <w:rPr>
                <w:rFonts w:ascii="宋体" w:hAnsi="宋体" w:cs="宋体"/>
                <w:szCs w:val="21"/>
                <w:lang w:eastAsia="zh-CN"/>
              </w:rPr>
              <w:t>0</w:t>
            </w:r>
            <w:r>
              <w:rPr>
                <w:rFonts w:hint="eastAsia" w:ascii="宋体" w:hAnsi="宋体" w:cs="宋体"/>
                <w:szCs w:val="21"/>
                <w:lang w:eastAsia="zh-CN"/>
              </w:rPr>
              <w:t>个。</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rFonts w:hint="eastAsia" w:ascii="宋体" w:hAnsi="宋体" w:cs="宋体"/>
                <w:szCs w:val="21"/>
                <w:lang w:eastAsia="zh-CN"/>
              </w:rPr>
            </w:pPr>
            <w:r>
              <w:rPr>
                <w:rFonts w:hint="eastAsia" w:ascii="宋体" w:hAnsi="宋体" w:cs="宋体"/>
                <w:szCs w:val="21"/>
                <w:lang w:eastAsia="zh-CN"/>
              </w:rPr>
              <w:t>固定器接口配备堵头，不适用固定器时可堵住接口，且气密性良好。</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暴露腔体各动物接口的样品分布均一性应经过计算机数值分析及试验验证，并提供数值分析和试验测试报告。</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暴露腔体采用内外腔进排气分离设计形式，且内外腔以及气溶胶喷嘴均可以进行独立拆卸清洗。</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暴露腔在装卸动物时可以进行无限制自由旋转，且不影响排气管道。</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暴露腔体配备支撑托盘用于的动物固定器的支撑以及动物排泄物的收集，每只动物的支撑盘能独立更换，可以兼容小鼠、豚鼠或其他啮齿类动物等多种规格的固定装置。</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暴露腔能进行液体、粉尘、气体样品的测试，支持通过更换适配器连接多种气溶胶发生及检测仪器。</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暴露腔应采用紧凑设计，使用标准大鼠及豚鼠固定器时可以安装在标准尺寸生物安全柜中。</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暴露腔应配备气溶胶采样接口，采样时，暴露腔体各动物接口的样品分布不会受到干扰。</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固定器应支持动物口鼻吸入给药过程中的固定。</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固定器应便于拆卸安装</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支持腔体压差传感器信号输入；</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支持快速状态恢复功能，当遇到异常断电等故障后可以在15秒内恢复之前的工作状态。</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支持传感器及流量计参数的现场校准标定。</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szCs w:val="21"/>
                <w:lang w:eastAsia="zh-CN"/>
              </w:rPr>
              <w:t>控制单元</w:t>
            </w:r>
            <w:r>
              <w:rPr>
                <w:rFonts w:hint="eastAsia" w:ascii="宋体" w:hAnsi="宋体" w:cs="宋体"/>
                <w:szCs w:val="21"/>
                <w:lang w:eastAsia="zh-CN"/>
              </w:rPr>
              <w:t>可以联机控制试验废气处理单元，整体安装在生物安全柜或通风橱中。</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采用整体抛弃式高效过滤器，过滤装置对0.3um的粒子去除率要求达到99.97%。</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废气处理单元正常工作噪音≤50dB，可以连续工作不小于8小时。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可以与试验控制单元联机设定工作状态及参数。</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带排气流量检测装置，检测范围0-30LPM。</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19"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配备空压机和抽气泵，连续运行时间不低于3小时</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19"/>
    </w:tbl>
    <w:p>
      <w:pPr>
        <w:pStyle w:val="31"/>
        <w:numPr>
          <w:ilvl w:val="0"/>
          <w:numId w:val="3"/>
        </w:numPr>
      </w:pPr>
      <w:bookmarkStart w:id="27" w:name="_Toc522716122"/>
      <w:bookmarkStart w:id="28" w:name="_Toc522107742"/>
      <w:bookmarkStart w:id="29" w:name="_Toc482370767"/>
      <w:bookmarkStart w:id="30" w:name="_Toc483400317"/>
      <w:bookmarkStart w:id="31" w:name="_Toc482360291"/>
      <w:bookmarkStart w:id="32" w:name="_Toc481702480"/>
      <w:bookmarkStart w:id="33" w:name="_Toc482370151"/>
      <w:bookmarkStart w:id="34" w:name="_Toc482370359"/>
      <w:bookmarkStart w:id="35" w:name="_Toc482359946"/>
      <w:bookmarkStart w:id="36" w:name="_Toc482369815"/>
      <w:bookmarkStart w:id="37" w:name="_Toc482370071"/>
      <w:bookmarkStart w:id="38" w:name="_Toc483227237"/>
      <w:bookmarkStart w:id="39" w:name="_Toc482625289"/>
      <w:bookmarkStart w:id="40" w:name="_Toc482717202"/>
      <w:r>
        <w:t>电气、自动控制要求</w:t>
      </w:r>
      <w:bookmarkEnd w:id="27"/>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21" w:edGrp="everyone"/>
          </w:p>
        </w:tc>
        <w:tc>
          <w:tcPr>
            <w:tcW w:w="6970" w:type="dxa"/>
            <w:shd w:val="clear" w:color="auto" w:fill="auto"/>
          </w:tcPr>
          <w:p>
            <w:pPr>
              <w:spacing w:line="276" w:lineRule="auto"/>
              <w:jc w:val="both"/>
              <w:rPr>
                <w:szCs w:val="21"/>
                <w:lang w:eastAsia="zh-CN"/>
              </w:rPr>
            </w:pPr>
            <w:r>
              <w:rPr>
                <w:rFonts w:hint="eastAsia"/>
                <w:lang w:eastAsia="zh-CN"/>
              </w:rPr>
              <w:t>设备具有控制单元可以对气溶胶发生流量、稀释流量、排气流量进行实时控制，流量控制范围0-50LPM，控制精度1.0%FS。</w:t>
            </w:r>
          </w:p>
        </w:tc>
        <w:tc>
          <w:tcPr>
            <w:tcW w:w="2082" w:type="dxa"/>
            <w:shd w:val="clear" w:color="auto" w:fill="auto"/>
            <w:vAlign w:val="center"/>
          </w:tcPr>
          <w:p>
            <w:pPr>
              <w:jc w:val="both"/>
              <w:rPr>
                <w:szCs w:val="21"/>
                <w:lang w:eastAsia="zh-CN"/>
              </w:rPr>
            </w:pPr>
            <w:r>
              <w:rPr>
                <w:rFonts w:hint="eastAsia"/>
              </w:rPr>
              <w:t>关键</w:t>
            </w:r>
            <w:r>
              <w:rPr>
                <w:rFonts w:hint="eastAsia" w:ascii="宋体" w:hAnsi="宋体" w:cs="宋体"/>
                <w:szCs w:val="21"/>
                <w:lang w:eastAsia="zh-CN"/>
              </w:rPr>
              <w:t>※</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22"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设备对腔体压差进行实时监测，当压差偏离设定值时触发报警。</w:t>
            </w:r>
          </w:p>
        </w:tc>
        <w:tc>
          <w:tcPr>
            <w:tcW w:w="2082" w:type="dxa"/>
            <w:shd w:val="clear" w:color="auto" w:fill="auto"/>
            <w:vAlign w:val="center"/>
          </w:tcPr>
          <w:p>
            <w:pPr>
              <w:jc w:val="both"/>
              <w:rPr>
                <w:szCs w:val="21"/>
                <w:lang w:eastAsia="zh-CN"/>
              </w:rPr>
            </w:pPr>
            <w:r>
              <w:rPr>
                <w:rFonts w:hint="eastAsia"/>
                <w:szCs w:val="21"/>
                <w:lang w:eastAsia="zh-CN"/>
              </w:rPr>
              <w:t>关键</w:t>
            </w:r>
            <w:r>
              <w:rPr>
                <w:rFonts w:hint="eastAsia" w:ascii="宋体" w:hAnsi="宋体" w:cs="宋体"/>
                <w:szCs w:val="21"/>
                <w:lang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rPr>
                <w:lang w:eastAsia="zh-CN"/>
              </w:rPr>
            </w:pPr>
            <w:permStart w:id="23" w:edGrp="everyone"/>
          </w:p>
        </w:tc>
        <w:tc>
          <w:tcPr>
            <w:tcW w:w="9052" w:type="dxa"/>
            <w:gridSpan w:val="2"/>
            <w:shd w:val="clear" w:color="auto" w:fill="auto"/>
            <w:vAlign w:val="center"/>
          </w:tcPr>
          <w:p>
            <w:pPr>
              <w:jc w:val="both"/>
              <w:rPr>
                <w:szCs w:val="21"/>
                <w:lang w:eastAsia="zh-CN"/>
              </w:rPr>
            </w:pPr>
            <w:r>
              <w:rPr>
                <w:rFonts w:hint="eastAsia"/>
                <w:szCs w:val="21"/>
                <w:lang w:eastAsia="zh-CN"/>
              </w:rPr>
              <w:t>N/A</w:t>
            </w:r>
          </w:p>
        </w:tc>
      </w:tr>
      <w:permEnd w:id="23"/>
    </w:tbl>
    <w:p>
      <w:pPr>
        <w:spacing w:after="158" w:afterLines="50"/>
        <w:rPr>
          <w:b/>
          <w:lang w:eastAsia="zh-CN"/>
        </w:rPr>
      </w:pPr>
    </w:p>
    <w:p>
      <w:pPr>
        <w:pStyle w:val="31"/>
        <w:numPr>
          <w:ilvl w:val="0"/>
          <w:numId w:val="3"/>
        </w:numPr>
      </w:pPr>
      <w:bookmarkStart w:id="41" w:name="_Toc522716123"/>
      <w:r>
        <w:t>安全要求</w:t>
      </w:r>
      <w:bookmarkEnd w:id="28"/>
      <w:bookmarkEnd w:id="41"/>
      <w:permStart w:id="24" w:edGrp="everyone"/>
    </w:p>
    <w:permEnd w:id="2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pPr>
            <w:permStart w:id="25" w:edGrp="everyone"/>
          </w:p>
        </w:tc>
        <w:tc>
          <w:tcPr>
            <w:tcW w:w="9052" w:type="dxa"/>
            <w:gridSpan w:val="2"/>
            <w:shd w:val="clear" w:color="auto" w:fill="auto"/>
            <w:vAlign w:val="center"/>
          </w:tcPr>
          <w:p>
            <w:pPr>
              <w:jc w:val="both"/>
              <w:rPr>
                <w:szCs w:val="21"/>
                <w:lang w:eastAsia="zh-CN"/>
              </w:rPr>
            </w:pPr>
            <w:r>
              <w:rPr>
                <w:rFonts w:hint="eastAsia"/>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pPr>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26" w:edGrp="everyone"/>
          </w:p>
        </w:tc>
        <w:tc>
          <w:tcPr>
            <w:tcW w:w="6970" w:type="dxa"/>
            <w:shd w:val="clear" w:color="auto" w:fill="auto"/>
            <w:vAlign w:val="center"/>
          </w:tcPr>
          <w:p>
            <w:pPr>
              <w:jc w:val="both"/>
              <w:rPr>
                <w:szCs w:val="21"/>
                <w:lang w:eastAsia="zh-CN"/>
              </w:rPr>
            </w:pPr>
            <w:r>
              <w:rPr>
                <w:rFonts w:hint="eastAsia"/>
                <w:szCs w:val="21"/>
                <w:lang w:eastAsia="zh-CN"/>
              </w:rPr>
              <w:t>有断电保护措施</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6"/>
    </w:tbl>
    <w:p>
      <w:pPr>
        <w:rPr>
          <w:szCs w:val="21"/>
          <w:lang w:eastAsia="zh-CN"/>
        </w:rPr>
      </w:pPr>
    </w:p>
    <w:p>
      <w:pPr>
        <w:pStyle w:val="31"/>
        <w:numPr>
          <w:ilvl w:val="0"/>
          <w:numId w:val="3"/>
        </w:numPr>
      </w:pPr>
      <w:bookmarkStart w:id="42" w:name="_Toc522716124"/>
      <w:bookmarkStart w:id="43" w:name="_Toc522107743"/>
      <w:r>
        <w:t>文件要求</w:t>
      </w:r>
      <w:bookmarkEnd w:id="42"/>
      <w:bookmarkEnd w:id="43"/>
      <w:permStart w:id="27" w:edGrp="everyone"/>
    </w:p>
    <w:permEnd w:id="2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28" w:edGrp="everyone"/>
          </w:p>
        </w:tc>
        <w:tc>
          <w:tcPr>
            <w:tcW w:w="6970" w:type="dxa"/>
            <w:shd w:val="clear" w:color="auto" w:fill="auto"/>
            <w:vAlign w:val="center"/>
          </w:tcPr>
          <w:p>
            <w:pPr>
              <w:jc w:val="both"/>
              <w:rPr>
                <w:szCs w:val="21"/>
                <w:lang w:eastAsia="zh-CN"/>
              </w:rPr>
            </w:pPr>
            <w:r>
              <w:rPr>
                <w:rFonts w:hint="eastAsia"/>
                <w:szCs w:val="21"/>
                <w:lang w:eastAsia="zh-CN"/>
              </w:rPr>
              <w:t>投标文件、合同及订单。</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29" w:edGrp="everyone"/>
          </w:p>
        </w:tc>
        <w:tc>
          <w:tcPr>
            <w:tcW w:w="6970" w:type="dxa"/>
            <w:shd w:val="clear" w:color="auto" w:fill="auto"/>
            <w:vAlign w:val="center"/>
          </w:tcPr>
          <w:p>
            <w:pPr>
              <w:jc w:val="both"/>
              <w:rPr>
                <w:szCs w:val="21"/>
                <w:lang w:eastAsia="zh-CN"/>
              </w:rPr>
            </w:pPr>
            <w:r>
              <w:rPr>
                <w:rFonts w:hint="eastAsia"/>
                <w:szCs w:val="21"/>
                <w:lang w:eastAsia="zh-CN"/>
              </w:rPr>
              <w:t>卖方发运清单及相关检验报告</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系统选型文件，包括设备标准技术文件、功能说明、设计说明、软硬件配置清单与说明。</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设备安装文件：各种安装处理记录及报告</w:t>
            </w:r>
            <w:r>
              <w:rPr>
                <w:rFonts w:hint="eastAsia"/>
                <w:szCs w:val="21"/>
                <w:lang w:eastAsia="zh-CN"/>
              </w:rPr>
              <w:tab/>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供应商或厂家提供第三方计量和校准报告：设备开箱验收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零部件、易损件、备件、消耗品、仪器仪表清单，包括名称、编号、对应厂家名称、生产地、规格及必要说明。</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jc w:val="both"/>
              <w:rPr>
                <w:szCs w:val="21"/>
                <w:lang w:eastAsia="zh-CN"/>
              </w:rPr>
            </w:pPr>
            <w:r>
              <w:rPr>
                <w:rFonts w:hint="eastAsia"/>
                <w:szCs w:val="21"/>
                <w:lang w:eastAsia="zh-CN"/>
              </w:rPr>
              <w:t>设备厂家文件：出厂测试合格证、相关检测报告、各种标示。</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9"/>
    </w:tbl>
    <w:p>
      <w:pPr>
        <w:rPr>
          <w:szCs w:val="21"/>
          <w:lang w:eastAsia="zh-CN"/>
        </w:rPr>
      </w:pPr>
    </w:p>
    <w:p>
      <w:pPr>
        <w:pStyle w:val="31"/>
        <w:numPr>
          <w:ilvl w:val="0"/>
          <w:numId w:val="3"/>
        </w:numPr>
      </w:pPr>
      <w:bookmarkStart w:id="44" w:name="_Toc522716125"/>
      <w:r>
        <w:t>服务要求</w:t>
      </w:r>
      <w:bookmarkEnd w:id="44"/>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1" w:edGrp="everyone"/>
          </w:p>
        </w:tc>
        <w:tc>
          <w:tcPr>
            <w:tcW w:w="6970"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w:t>
            </w:r>
            <w:r>
              <w:rPr>
                <w:rFonts w:hint="eastAsia"/>
                <w:lang w:eastAsia="zh-CN"/>
              </w:rPr>
              <w:t>操</w:t>
            </w:r>
            <w:r>
              <w:rPr>
                <w:lang w:eastAsia="zh-CN"/>
              </w:rPr>
              <w:t>作人员及设备维护、维修人员，并填写培训记录。</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2" w:edGrp="everyone"/>
          </w:p>
        </w:tc>
        <w:tc>
          <w:tcPr>
            <w:tcW w:w="6970" w:type="dxa"/>
            <w:shd w:val="clear" w:color="auto" w:fill="auto"/>
            <w:vAlign w:val="center"/>
          </w:tcPr>
          <w:p>
            <w:pPr>
              <w:spacing w:line="276" w:lineRule="auto"/>
              <w:jc w:val="both"/>
              <w:rPr>
                <w:szCs w:val="21"/>
                <w:lang w:eastAsia="zh-CN"/>
              </w:rPr>
            </w:pPr>
            <w:r>
              <w:rPr>
                <w:rFonts w:hint="eastAsia"/>
                <w:lang w:eastAsia="zh-CN"/>
              </w:rPr>
              <w:t>操</w:t>
            </w:r>
            <w:r>
              <w:rPr>
                <w:lang w:eastAsia="zh-CN"/>
              </w:rPr>
              <w:t>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3" w:edGrp="everyone"/>
          </w:p>
        </w:tc>
        <w:tc>
          <w:tcPr>
            <w:tcW w:w="6970"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4" w:edGrp="everyone"/>
          </w:p>
        </w:tc>
        <w:tc>
          <w:tcPr>
            <w:tcW w:w="6970"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pPr>
          </w:p>
        </w:tc>
        <w:tc>
          <w:tcPr>
            <w:tcW w:w="9052" w:type="dxa"/>
            <w:gridSpan w:val="2"/>
            <w:shd w:val="clear" w:color="auto" w:fill="auto"/>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pPr>
          </w:p>
        </w:tc>
        <w:tc>
          <w:tcPr>
            <w:tcW w:w="9052" w:type="dxa"/>
            <w:gridSpan w:val="2"/>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5"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设备保质期从确认验收文件签署之后开始计算。</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6"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设备质保期为一年以上，保质期内免费保修并免费更换所有配件，保质期后应提供良好的售后服务</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rFonts w:hint="eastAsia"/>
                <w:szCs w:val="21"/>
                <w:lang w:eastAsia="zh-CN"/>
              </w:rPr>
              <w:t>售后服务必须响应及时，要求仪器出现须厂家维修的故障后，应在4小时内明确答复，当电话沟通无法解决时，须48小时内派人至现场解决。</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免费保修期后，厂家应终生提供及时的维修、维护，厂家应定期回访，解决仪器运行当中可能出现的疑问，排除潜在故障，使仪器保持良好工作状态。</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rFonts w:hint="eastAsia"/>
                <w:szCs w:val="21"/>
                <w:lang w:eastAsia="zh-CN"/>
              </w:rPr>
              <w:t>厂家应提供合格的备件，用于仪器相应部件的维修、更换。</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szCs w:val="21"/>
                <w:lang w:eastAsia="zh-CN"/>
              </w:rPr>
            </w:pPr>
            <w:r>
              <w:rPr>
                <w:rFonts w:hint="eastAsia"/>
                <w:szCs w:val="21"/>
                <w:lang w:eastAsia="zh-CN"/>
              </w:rPr>
              <w:t>保质期内，设备若存在生物安全方面问题，厂家应协助解决。</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pPr>
          </w:p>
        </w:tc>
        <w:tc>
          <w:tcPr>
            <w:tcW w:w="9052" w:type="dxa"/>
            <w:gridSpan w:val="2"/>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85" w:type="dxa"/>
            <w:shd w:val="clear" w:color="auto" w:fill="auto"/>
            <w:vAlign w:val="center"/>
          </w:tcPr>
          <w:p>
            <w:pPr>
              <w:pStyle w:val="31"/>
              <w:numPr>
                <w:ilvl w:val="0"/>
                <w:numId w:val="7"/>
              </w:numPr>
            </w:pPr>
            <w:permStart w:id="37"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85" w:type="dxa"/>
            <w:shd w:val="clear" w:color="auto" w:fill="auto"/>
            <w:vAlign w:val="center"/>
          </w:tcPr>
          <w:p>
            <w:pPr>
              <w:pStyle w:val="31"/>
              <w:numPr>
                <w:ilvl w:val="0"/>
                <w:numId w:val="7"/>
              </w:numPr>
            </w:pPr>
          </w:p>
        </w:tc>
        <w:tc>
          <w:tcPr>
            <w:tcW w:w="6970" w:type="dxa"/>
            <w:shd w:val="clear" w:color="auto" w:fill="auto"/>
            <w:vAlign w:val="center"/>
          </w:tcPr>
          <w:p>
            <w:pPr>
              <w:spacing w:line="276" w:lineRule="auto"/>
              <w:jc w:val="both"/>
              <w:rPr>
                <w:rFonts w:hint="eastAsia"/>
                <w:szCs w:val="21"/>
                <w:lang w:eastAsia="zh-CN"/>
              </w:rPr>
            </w:pPr>
            <w:r>
              <w:rPr>
                <w:rFonts w:hint="eastAsia"/>
                <w:szCs w:val="21"/>
                <w:lang w:eastAsia="zh-CN"/>
              </w:rPr>
              <w:t>卖方工程师协助完成暴露塔气密性，浓度均一性、稳定性确认。</w:t>
            </w:r>
          </w:p>
        </w:tc>
        <w:tc>
          <w:tcPr>
            <w:tcW w:w="2082" w:type="dxa"/>
            <w:shd w:val="clear" w:color="auto" w:fill="auto"/>
            <w:vAlign w:val="center"/>
          </w:tcPr>
          <w:p>
            <w:pPr>
              <w:jc w:val="both"/>
              <w:rPr>
                <w:rFonts w:hint="eastAsia"/>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pPr>
            <w:permStart w:id="38"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供应商进厂施工需遵守安全和施工规定。确认试车验收合格后，买卖双方签订验收报告。</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8"/>
    </w:tbl>
    <w:p/>
    <w:p>
      <w:pPr>
        <w:pStyle w:val="31"/>
        <w:numPr>
          <w:ilvl w:val="0"/>
          <w:numId w:val="3"/>
        </w:numPr>
      </w:pPr>
      <w:bookmarkStart w:id="45" w:name="_Toc522716126"/>
      <w:bookmarkStart w:id="46" w:name="_Toc522107746"/>
      <w: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39" w:edGrp="everyone"/>
      <w:r>
        <w:rPr>
          <w:rFonts w:hint="eastAsia"/>
          <w:szCs w:val="21"/>
          <w:lang w:eastAsia="zh-CN"/>
        </w:rPr>
        <w:t>不适用</w:t>
      </w:r>
      <w:permEnd w:id="39"/>
    </w:p>
    <w:sectPr>
      <w:headerReference r:id="rId4" w:type="first"/>
      <w:footerReference r:id="rId7" w:type="first"/>
      <w:footerReference r:id="rId5" w:type="default"/>
      <w:headerReference r:id="rId3" w:type="even"/>
      <w:footerReference r:id="rId6" w:type="even"/>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Verdana"/>
    <w:panose1 w:val="02010601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MmYxYjE0NGI3MTYyYjE3MTBhYjYxYzVhOWEzNW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0F2B"/>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4C40"/>
    <w:rsid w:val="0007673E"/>
    <w:rsid w:val="00077AE1"/>
    <w:rsid w:val="00077AE6"/>
    <w:rsid w:val="000818AC"/>
    <w:rsid w:val="00082297"/>
    <w:rsid w:val="00082C13"/>
    <w:rsid w:val="00083D58"/>
    <w:rsid w:val="000844A8"/>
    <w:rsid w:val="00084F90"/>
    <w:rsid w:val="00086CA0"/>
    <w:rsid w:val="00087002"/>
    <w:rsid w:val="00090CFF"/>
    <w:rsid w:val="00092C03"/>
    <w:rsid w:val="00093DDE"/>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48"/>
    <w:rsid w:val="000B417D"/>
    <w:rsid w:val="000B45E0"/>
    <w:rsid w:val="000B4EC4"/>
    <w:rsid w:val="000B5888"/>
    <w:rsid w:val="000C0A41"/>
    <w:rsid w:val="000C0DD3"/>
    <w:rsid w:val="000C0FA5"/>
    <w:rsid w:val="000C3C81"/>
    <w:rsid w:val="000C41B6"/>
    <w:rsid w:val="000C7137"/>
    <w:rsid w:val="000C7A06"/>
    <w:rsid w:val="000D103F"/>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9AB"/>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3A"/>
    <w:rsid w:val="0015752C"/>
    <w:rsid w:val="0016077F"/>
    <w:rsid w:val="00161486"/>
    <w:rsid w:val="0016194A"/>
    <w:rsid w:val="00161F7F"/>
    <w:rsid w:val="00162A78"/>
    <w:rsid w:val="00163A08"/>
    <w:rsid w:val="00164CDC"/>
    <w:rsid w:val="00164E0D"/>
    <w:rsid w:val="00166311"/>
    <w:rsid w:val="00166478"/>
    <w:rsid w:val="00167B0E"/>
    <w:rsid w:val="00171A51"/>
    <w:rsid w:val="001743AD"/>
    <w:rsid w:val="001746E7"/>
    <w:rsid w:val="001757AB"/>
    <w:rsid w:val="00176883"/>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6B76"/>
    <w:rsid w:val="001A01D3"/>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491"/>
    <w:rsid w:val="001D4742"/>
    <w:rsid w:val="001D474B"/>
    <w:rsid w:val="001D48B0"/>
    <w:rsid w:val="001D5549"/>
    <w:rsid w:val="001E0376"/>
    <w:rsid w:val="001E13E0"/>
    <w:rsid w:val="001E1B21"/>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18"/>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7E4"/>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22C2"/>
    <w:rsid w:val="002C4FCF"/>
    <w:rsid w:val="002C527C"/>
    <w:rsid w:val="002C7BF6"/>
    <w:rsid w:val="002D0253"/>
    <w:rsid w:val="002D03CD"/>
    <w:rsid w:val="002D2477"/>
    <w:rsid w:val="002D26A7"/>
    <w:rsid w:val="002D2AAB"/>
    <w:rsid w:val="002D691F"/>
    <w:rsid w:val="002D6A50"/>
    <w:rsid w:val="002D6D1C"/>
    <w:rsid w:val="002E1D21"/>
    <w:rsid w:val="002E3B36"/>
    <w:rsid w:val="002E59BF"/>
    <w:rsid w:val="002E63F6"/>
    <w:rsid w:val="002E69A1"/>
    <w:rsid w:val="002F1C5E"/>
    <w:rsid w:val="002F1D63"/>
    <w:rsid w:val="002F2CD1"/>
    <w:rsid w:val="002F340E"/>
    <w:rsid w:val="002F4392"/>
    <w:rsid w:val="002F4641"/>
    <w:rsid w:val="002F4B22"/>
    <w:rsid w:val="003013CA"/>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BD6"/>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18B3"/>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B04"/>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56D"/>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14"/>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39F"/>
    <w:rsid w:val="00587AC1"/>
    <w:rsid w:val="00587DE8"/>
    <w:rsid w:val="00590694"/>
    <w:rsid w:val="00590AA6"/>
    <w:rsid w:val="00591A70"/>
    <w:rsid w:val="00592624"/>
    <w:rsid w:val="00593AF8"/>
    <w:rsid w:val="00593EC9"/>
    <w:rsid w:val="005964B1"/>
    <w:rsid w:val="005965FD"/>
    <w:rsid w:val="00596664"/>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44E"/>
    <w:rsid w:val="005C7601"/>
    <w:rsid w:val="005D1094"/>
    <w:rsid w:val="005D158C"/>
    <w:rsid w:val="005D3394"/>
    <w:rsid w:val="005D3989"/>
    <w:rsid w:val="005D42FF"/>
    <w:rsid w:val="005E2725"/>
    <w:rsid w:val="005E65FA"/>
    <w:rsid w:val="005F09AF"/>
    <w:rsid w:val="005F19CE"/>
    <w:rsid w:val="005F28F4"/>
    <w:rsid w:val="005F43BB"/>
    <w:rsid w:val="005F503E"/>
    <w:rsid w:val="005F6CB3"/>
    <w:rsid w:val="005F7612"/>
    <w:rsid w:val="005F7663"/>
    <w:rsid w:val="005F7D63"/>
    <w:rsid w:val="00607170"/>
    <w:rsid w:val="00607408"/>
    <w:rsid w:val="00610AEE"/>
    <w:rsid w:val="0061378A"/>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5E87"/>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4894"/>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17B"/>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07FCC"/>
    <w:rsid w:val="00710573"/>
    <w:rsid w:val="00710808"/>
    <w:rsid w:val="007116CB"/>
    <w:rsid w:val="0071211E"/>
    <w:rsid w:val="00712B1B"/>
    <w:rsid w:val="0071622D"/>
    <w:rsid w:val="007168CC"/>
    <w:rsid w:val="007171C0"/>
    <w:rsid w:val="007176BB"/>
    <w:rsid w:val="00717811"/>
    <w:rsid w:val="00720A17"/>
    <w:rsid w:val="00720D4B"/>
    <w:rsid w:val="00721535"/>
    <w:rsid w:val="00723A0F"/>
    <w:rsid w:val="00726CB6"/>
    <w:rsid w:val="00727255"/>
    <w:rsid w:val="0072779B"/>
    <w:rsid w:val="00727CCF"/>
    <w:rsid w:val="0073446D"/>
    <w:rsid w:val="007349FF"/>
    <w:rsid w:val="00734B45"/>
    <w:rsid w:val="00736FFB"/>
    <w:rsid w:val="00740080"/>
    <w:rsid w:val="00741A30"/>
    <w:rsid w:val="00743B24"/>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05"/>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547D"/>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602"/>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FE8"/>
    <w:rsid w:val="008823E4"/>
    <w:rsid w:val="008837C4"/>
    <w:rsid w:val="008849F3"/>
    <w:rsid w:val="00884E78"/>
    <w:rsid w:val="0088513D"/>
    <w:rsid w:val="0088673B"/>
    <w:rsid w:val="00887265"/>
    <w:rsid w:val="00887500"/>
    <w:rsid w:val="008905AD"/>
    <w:rsid w:val="008920F2"/>
    <w:rsid w:val="00893218"/>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E0E"/>
    <w:rsid w:val="008E7312"/>
    <w:rsid w:val="008F297F"/>
    <w:rsid w:val="008F447E"/>
    <w:rsid w:val="00904BA9"/>
    <w:rsid w:val="00904E7E"/>
    <w:rsid w:val="0091086B"/>
    <w:rsid w:val="00911129"/>
    <w:rsid w:val="00912486"/>
    <w:rsid w:val="00912EA3"/>
    <w:rsid w:val="00914B6E"/>
    <w:rsid w:val="009156A2"/>
    <w:rsid w:val="0091579A"/>
    <w:rsid w:val="0091615D"/>
    <w:rsid w:val="00923F7E"/>
    <w:rsid w:val="00924C96"/>
    <w:rsid w:val="00925030"/>
    <w:rsid w:val="00925B32"/>
    <w:rsid w:val="00930A64"/>
    <w:rsid w:val="00930BE5"/>
    <w:rsid w:val="00930E00"/>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6D1"/>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B74"/>
    <w:rsid w:val="00A23F10"/>
    <w:rsid w:val="00A23F72"/>
    <w:rsid w:val="00A26AB8"/>
    <w:rsid w:val="00A322BF"/>
    <w:rsid w:val="00A3373F"/>
    <w:rsid w:val="00A33F51"/>
    <w:rsid w:val="00A349DF"/>
    <w:rsid w:val="00A35802"/>
    <w:rsid w:val="00A40311"/>
    <w:rsid w:val="00A41032"/>
    <w:rsid w:val="00A4106C"/>
    <w:rsid w:val="00A428E7"/>
    <w:rsid w:val="00A43E49"/>
    <w:rsid w:val="00A44018"/>
    <w:rsid w:val="00A45DE9"/>
    <w:rsid w:val="00A45E9C"/>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97A7F"/>
    <w:rsid w:val="00AA1A89"/>
    <w:rsid w:val="00AA346E"/>
    <w:rsid w:val="00AA3770"/>
    <w:rsid w:val="00AA3CFA"/>
    <w:rsid w:val="00AA41C3"/>
    <w:rsid w:val="00AA423C"/>
    <w:rsid w:val="00AA53E2"/>
    <w:rsid w:val="00AA73FD"/>
    <w:rsid w:val="00AB1EEA"/>
    <w:rsid w:val="00AB2F87"/>
    <w:rsid w:val="00AB32C3"/>
    <w:rsid w:val="00AB5E2B"/>
    <w:rsid w:val="00AB6069"/>
    <w:rsid w:val="00AB6467"/>
    <w:rsid w:val="00AC0575"/>
    <w:rsid w:val="00AC0758"/>
    <w:rsid w:val="00AC0934"/>
    <w:rsid w:val="00AC1710"/>
    <w:rsid w:val="00AC17EE"/>
    <w:rsid w:val="00AC2BFD"/>
    <w:rsid w:val="00AC3A4A"/>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0B3D"/>
    <w:rsid w:val="00AF32EA"/>
    <w:rsid w:val="00AF3DED"/>
    <w:rsid w:val="00AF48B1"/>
    <w:rsid w:val="00AF4FB8"/>
    <w:rsid w:val="00AF6713"/>
    <w:rsid w:val="00AF6BD6"/>
    <w:rsid w:val="00AF753A"/>
    <w:rsid w:val="00B021ED"/>
    <w:rsid w:val="00B0250D"/>
    <w:rsid w:val="00B032B1"/>
    <w:rsid w:val="00B03F46"/>
    <w:rsid w:val="00B0533B"/>
    <w:rsid w:val="00B059B8"/>
    <w:rsid w:val="00B07418"/>
    <w:rsid w:val="00B11547"/>
    <w:rsid w:val="00B11EF0"/>
    <w:rsid w:val="00B1226C"/>
    <w:rsid w:val="00B145F5"/>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35C"/>
    <w:rsid w:val="00BA5072"/>
    <w:rsid w:val="00BA5B65"/>
    <w:rsid w:val="00BA7BFE"/>
    <w:rsid w:val="00BB0C4D"/>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05A"/>
    <w:rsid w:val="00BD15A2"/>
    <w:rsid w:val="00BD19CE"/>
    <w:rsid w:val="00BD2153"/>
    <w:rsid w:val="00BD337A"/>
    <w:rsid w:val="00BD558D"/>
    <w:rsid w:val="00BD5CC3"/>
    <w:rsid w:val="00BE1F47"/>
    <w:rsid w:val="00BE24AD"/>
    <w:rsid w:val="00BE2787"/>
    <w:rsid w:val="00BE51BB"/>
    <w:rsid w:val="00BE6B38"/>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169C2"/>
    <w:rsid w:val="00C22382"/>
    <w:rsid w:val="00C2355B"/>
    <w:rsid w:val="00C274A6"/>
    <w:rsid w:val="00C31B2F"/>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552C"/>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6857"/>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5F9"/>
    <w:rsid w:val="00D97C51"/>
    <w:rsid w:val="00DA070D"/>
    <w:rsid w:val="00DA3B2F"/>
    <w:rsid w:val="00DA4731"/>
    <w:rsid w:val="00DA5040"/>
    <w:rsid w:val="00DA7D5F"/>
    <w:rsid w:val="00DB053E"/>
    <w:rsid w:val="00DB11B2"/>
    <w:rsid w:val="00DB161E"/>
    <w:rsid w:val="00DB31B5"/>
    <w:rsid w:val="00DB3698"/>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3D89"/>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0AA"/>
    <w:rsid w:val="00E51372"/>
    <w:rsid w:val="00E51CAF"/>
    <w:rsid w:val="00E51E95"/>
    <w:rsid w:val="00E51F9D"/>
    <w:rsid w:val="00E5202F"/>
    <w:rsid w:val="00E5211A"/>
    <w:rsid w:val="00E53A9F"/>
    <w:rsid w:val="00E549AF"/>
    <w:rsid w:val="00E57A36"/>
    <w:rsid w:val="00E60540"/>
    <w:rsid w:val="00E61C74"/>
    <w:rsid w:val="00E63D8F"/>
    <w:rsid w:val="00E706B6"/>
    <w:rsid w:val="00E7697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263"/>
    <w:rsid w:val="00E965D7"/>
    <w:rsid w:val="00E96D30"/>
    <w:rsid w:val="00EA1327"/>
    <w:rsid w:val="00EA623C"/>
    <w:rsid w:val="00EA6395"/>
    <w:rsid w:val="00EB044B"/>
    <w:rsid w:val="00EB067C"/>
    <w:rsid w:val="00EB1CC4"/>
    <w:rsid w:val="00EB3C66"/>
    <w:rsid w:val="00EB4B03"/>
    <w:rsid w:val="00EB5DEE"/>
    <w:rsid w:val="00EB64CB"/>
    <w:rsid w:val="00EB6D46"/>
    <w:rsid w:val="00EC07F3"/>
    <w:rsid w:val="00EC3194"/>
    <w:rsid w:val="00EC518D"/>
    <w:rsid w:val="00EC5693"/>
    <w:rsid w:val="00EC71D3"/>
    <w:rsid w:val="00ED02FE"/>
    <w:rsid w:val="00ED1EC9"/>
    <w:rsid w:val="00ED213C"/>
    <w:rsid w:val="00ED3737"/>
    <w:rsid w:val="00ED3856"/>
    <w:rsid w:val="00ED3E2E"/>
    <w:rsid w:val="00ED4CC8"/>
    <w:rsid w:val="00ED6A08"/>
    <w:rsid w:val="00EE05EE"/>
    <w:rsid w:val="00EE0AE2"/>
    <w:rsid w:val="00EE35B4"/>
    <w:rsid w:val="00EE5643"/>
    <w:rsid w:val="00EE56E1"/>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8C0"/>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6A1"/>
    <w:rsid w:val="00F81A81"/>
    <w:rsid w:val="00F81CC5"/>
    <w:rsid w:val="00F8760D"/>
    <w:rsid w:val="00F87AAD"/>
    <w:rsid w:val="00F9174C"/>
    <w:rsid w:val="00F91D5C"/>
    <w:rsid w:val="00F92097"/>
    <w:rsid w:val="00F92C5A"/>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1D5"/>
    <w:rsid w:val="00FB676C"/>
    <w:rsid w:val="00FB67CC"/>
    <w:rsid w:val="00FB728E"/>
    <w:rsid w:val="00FC0ADE"/>
    <w:rsid w:val="00FC0FF1"/>
    <w:rsid w:val="00FC1FDF"/>
    <w:rsid w:val="00FC2980"/>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96A4191"/>
    <w:rsid w:val="1EE01AE4"/>
    <w:rsid w:val="2B5143A0"/>
    <w:rsid w:val="30D95F31"/>
    <w:rsid w:val="31EF213F"/>
    <w:rsid w:val="70DB66DA"/>
    <w:rsid w:val="7590503C"/>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spacing w:line="276" w:lineRule="auto"/>
      <w:jc w:val="both"/>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673</Words>
  <Characters>3838</Characters>
  <Lines>31</Lines>
  <Paragraphs>9</Paragraphs>
  <TotalTime>61</TotalTime>
  <ScaleCrop>false</ScaleCrop>
  <LinksUpToDate>false</LinksUpToDate>
  <CharactersWithSpaces>4502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2025-02-19T06:40:00Z</dcterms:created>
  <dc:creator>Lilly</dc:creator>
  <cp:lastModifiedBy>汪洋</cp:lastModifiedBy>
  <cp:lastPrinted>2017-06-22T01:53:00Z</cp:lastPrinted>
  <dcterms:modified xsi:type="dcterms:W3CDTF">2025-03-25T06:11:29Z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370031DA0EB64ABF898A7EFD9FF4D2CC_13</vt:lpwstr>
  </property>
  <property fmtid="{D5CDD505-2E9C-101B-9397-08002B2CF9AE}" pid="4" name="KSOTemplateDocerSaveRecord">
    <vt:lpwstr>eyJoZGlkIjoiMzIwYmIwMzgyY2U4NDAxMzYzOWFjYWYyZWYwMTIxNWIiLCJ1c2VySWQiOiI5NjUwMTM0NDkifQ==</vt:lpwstr>
  </property>
</Properties>
</file>