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3666358"/>
      <w:bookmarkStart w:id="2" w:name="_Toc483227223"/>
      <w:bookmarkStart w:id="3" w:name="_Toc484532399"/>
      <w:bookmarkStart w:id="4" w:name="_Toc482717189"/>
    </w:p>
    <w:p>
      <w:pPr>
        <w:spacing w:afterLines="50"/>
        <w:jc w:val="center"/>
        <w:rPr>
          <w:rFonts w:hint="default"/>
          <w:b/>
          <w:szCs w:val="21"/>
          <w:lang w:val="en-US" w:eastAsia="zh-CN"/>
        </w:rPr>
      </w:pPr>
      <w:r>
        <w:rPr>
          <w:rFonts w:hint="eastAsia"/>
          <w:b/>
          <w:sz w:val="28"/>
          <w:szCs w:val="28"/>
          <w:lang w:eastAsia="zh-CN"/>
        </w:rPr>
        <w:t>质量控制室</w:t>
      </w:r>
      <w:r>
        <w:rPr>
          <w:rFonts w:hint="eastAsia"/>
          <w:b/>
          <w:sz w:val="28"/>
          <w:szCs w:val="28"/>
          <w:lang w:val="en-US" w:eastAsia="zh-CN"/>
        </w:rPr>
        <w:t>光密度仪</w:t>
      </w:r>
      <w:r>
        <w:rPr>
          <w:b/>
          <w:sz w:val="28"/>
          <w:szCs w:val="28"/>
          <w:lang w:eastAsia="zh-CN"/>
        </w:rPr>
        <w:t>用户需求说明（URS</w:t>
      </w:r>
      <w:bookmarkEnd w:id="0"/>
      <w:bookmarkEnd w:id="1"/>
      <w:bookmarkEnd w:id="2"/>
      <w:bookmarkEnd w:id="3"/>
      <w:bookmarkEnd w:id="4"/>
      <w:r>
        <w:rPr>
          <w:rFonts w:hint="eastAsia"/>
          <w:b/>
          <w:sz w:val="28"/>
          <w:szCs w:val="28"/>
          <w:lang w:eastAsia="zh-CN"/>
        </w:rPr>
        <w:t>）</w:t>
      </w:r>
    </w:p>
    <w:p>
      <w:pPr>
        <w:spacing w:afterLines="50"/>
        <w:rPr>
          <w:b/>
          <w:szCs w:val="21"/>
          <w:lang w:eastAsia="zh-CN"/>
        </w:rPr>
      </w:pPr>
      <w:bookmarkStart w:id="47" w:name="_GoBack"/>
      <w:bookmarkEnd w:id="47"/>
    </w:p>
    <w:p>
      <w:pPr>
        <w:spacing w:afterLines="50"/>
        <w:rPr>
          <w:b/>
          <w:szCs w:val="21"/>
          <w:lang w:eastAsia="zh-CN"/>
        </w:rPr>
      </w:pPr>
    </w:p>
    <w:p>
      <w:pPr>
        <w:spacing w:afterLines="50"/>
        <w:rPr>
          <w:b/>
          <w:szCs w:val="21"/>
          <w:lang w:eastAsia="zh-CN"/>
        </w:rPr>
      </w:pPr>
    </w:p>
    <w:p>
      <w:pPr>
        <w:spacing w:afterLines="50"/>
        <w:rPr>
          <w:b/>
          <w:szCs w:val="21"/>
          <w:lang w:eastAsia="zh-CN"/>
        </w:rPr>
      </w:pPr>
    </w:p>
    <w:p>
      <w:pPr>
        <w:pStyle w:val="33"/>
        <w:keepNext w:val="0"/>
        <w:keepLines w:val="0"/>
        <w:widowControl w:val="0"/>
        <w:spacing w:afterLines="50" w:line="240" w:lineRule="auto"/>
        <w:rPr>
          <w:sz w:val="21"/>
          <w:szCs w:val="21"/>
          <w:lang w:eastAsia="zh-CN"/>
        </w:rPr>
      </w:pPr>
    </w:p>
    <w:p>
      <w:pPr>
        <w:pStyle w:val="33"/>
        <w:keepNext w:val="0"/>
        <w:keepLines w:val="0"/>
        <w:widowControl w:val="0"/>
        <w:spacing w:afterLines="50" w:line="240" w:lineRule="auto"/>
        <w:jc w:val="center"/>
        <w:rPr>
          <w:sz w:val="21"/>
          <w:szCs w:val="21"/>
          <w:lang w:val="zh-CN" w:eastAsia="zh-CN"/>
        </w:rPr>
      </w:pPr>
      <w:r>
        <w:rPr>
          <w:sz w:val="21"/>
          <w:szCs w:val="21"/>
          <w:lang w:val="zh-CN" w:eastAsia="zh-CN"/>
        </w:rPr>
        <w:t xml:space="preserve">目录 </w:t>
      </w:r>
    </w:p>
    <w:p>
      <w:pPr>
        <w:pStyle w:val="15"/>
        <w:rPr>
          <w:b w:val="0"/>
          <w:bCs w:val="0"/>
          <w:caps w:val="0"/>
          <w:szCs w:val="22"/>
        </w:rPr>
      </w:pPr>
      <w:permStart w:id="0"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0"/>
    </w:p>
    <w:p>
      <w:pPr>
        <w:rPr>
          <w:b/>
          <w:bCs/>
          <w:caps/>
          <w:kern w:val="2"/>
          <w:szCs w:val="21"/>
          <w:lang w:eastAsia="zh-CN"/>
        </w:rPr>
      </w:pPr>
      <w:r>
        <w:rPr>
          <w:b/>
          <w:bCs/>
          <w:caps/>
          <w:kern w:val="2"/>
          <w:szCs w:val="21"/>
          <w:lang w:eastAsia="zh-CN"/>
        </w:rPr>
        <w:br w:type="page"/>
      </w:r>
    </w:p>
    <w:p>
      <w:pPr>
        <w:pStyle w:val="31"/>
        <w:numPr>
          <w:ilvl w:val="0"/>
          <w:numId w:val="3"/>
        </w:numPr>
        <w:spacing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69805"/>
      <w:bookmarkStart w:id="8" w:name="_Toc482370061"/>
      <w:bookmarkStart w:id="9" w:name="_Toc482370349"/>
      <w:bookmarkStart w:id="10" w:name="_Toc481702475"/>
      <w:bookmarkStart w:id="11" w:name="_Toc482360281"/>
      <w:bookmarkStart w:id="12" w:name="_Toc482359936"/>
      <w:bookmarkStart w:id="13" w:name="_Toc482370141"/>
      <w:bookmarkStart w:id="14" w:name="_Toc482625279"/>
      <w:bookmarkStart w:id="15" w:name="_Toc482370757"/>
      <w:r>
        <w:rPr>
          <w:szCs w:val="21"/>
          <w:lang w:eastAsia="zh-CN"/>
        </w:rPr>
        <w:t>本文件的目的是描述武汉生物制品研究所有限责任公司</w:t>
      </w:r>
      <w:permStart w:id="1" w:edGrp="everyone"/>
      <w:r>
        <w:rPr>
          <w:rFonts w:hint="eastAsia"/>
          <w:szCs w:val="21"/>
          <w:lang w:val="en-US" w:eastAsia="zh-CN"/>
        </w:rPr>
        <w:t>质量控制室</w:t>
      </w:r>
      <w:r>
        <w:rPr>
          <w:rFonts w:hint="eastAsia"/>
          <w:sz w:val="22"/>
          <w:lang w:eastAsia="zh-CN"/>
        </w:rPr>
        <w:t>光密度仪</w:t>
      </w:r>
      <w:permEnd w:id="1"/>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2" w:edGrp="everyone"/>
      <w:r>
        <w:rPr>
          <w:rFonts w:hint="eastAsia"/>
          <w:szCs w:val="21"/>
          <w:lang w:val="en-US" w:eastAsia="zh-CN"/>
        </w:rPr>
        <w:t>质量控制室</w:t>
      </w:r>
      <w:r>
        <w:rPr>
          <w:rFonts w:hint="eastAsia"/>
          <w:sz w:val="22"/>
          <w:lang w:eastAsia="zh-CN"/>
        </w:rPr>
        <w:t>光密度仪</w:t>
      </w:r>
      <w:permEnd w:id="2"/>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i w:val="0"/>
          <w:iCs/>
          <w:color w:val="auto"/>
          <w:szCs w:val="21"/>
          <w:lang w:eastAsia="zh-CN"/>
        </w:rPr>
      </w:pPr>
      <w:permStart w:id="3" w:edGrp="everyone"/>
      <w:r>
        <w:rPr>
          <w:i w:val="0"/>
          <w:iCs/>
          <w:color w:val="auto"/>
          <w:szCs w:val="21"/>
          <w:lang w:eastAsia="zh-CN"/>
        </w:rPr>
        <w:t xml:space="preserve">中国药典 </w:t>
      </w:r>
      <w:r>
        <w:rPr>
          <w:i w:val="0"/>
          <w:iCs/>
          <w:color w:val="auto"/>
          <w:szCs w:val="21"/>
        </w:rPr>
        <w:t>20</w:t>
      </w:r>
      <w:r>
        <w:rPr>
          <w:rFonts w:hint="eastAsia"/>
          <w:i w:val="0"/>
          <w:iCs/>
          <w:color w:val="auto"/>
          <w:szCs w:val="21"/>
          <w:lang w:val="en-US" w:eastAsia="zh-CN"/>
        </w:rPr>
        <w:t>20</w:t>
      </w:r>
      <w:r>
        <w:rPr>
          <w:i w:val="0"/>
          <w:iCs/>
          <w:color w:val="auto"/>
          <w:szCs w:val="21"/>
        </w:rPr>
        <w:t>年版</w:t>
      </w:r>
    </w:p>
    <w:p>
      <w:pPr>
        <w:pStyle w:val="41"/>
        <w:numPr>
          <w:ilvl w:val="0"/>
          <w:numId w:val="5"/>
        </w:numPr>
        <w:spacing w:before="0" w:line="360" w:lineRule="auto"/>
        <w:ind w:left="777"/>
        <w:jc w:val="left"/>
        <w:rPr>
          <w:rFonts w:ascii="宋体" w:hAnsi="宋体" w:cs="宋体"/>
          <w:sz w:val="21"/>
          <w:szCs w:val="18"/>
          <w:lang w:eastAsia="zh-CN"/>
        </w:rPr>
      </w:pPr>
      <w:r>
        <w:rPr>
          <w:rFonts w:hint="eastAsia" w:ascii="宋体" w:hAnsi="宋体" w:cs="宋体"/>
          <w:sz w:val="21"/>
          <w:szCs w:val="16"/>
          <w:lang w:eastAsia="zh-CN"/>
        </w:rPr>
        <w:t>《药品生产质量管理规范》（2010修订版）及附录</w:t>
      </w:r>
    </w:p>
    <w:p>
      <w:pPr>
        <w:pStyle w:val="41"/>
        <w:numPr>
          <w:ilvl w:val="0"/>
          <w:numId w:val="5"/>
        </w:numPr>
        <w:spacing w:before="0" w:line="360" w:lineRule="auto"/>
        <w:ind w:left="777"/>
        <w:jc w:val="left"/>
        <w:rPr>
          <w:i w:val="0"/>
          <w:iCs/>
          <w:color w:val="4472C4"/>
          <w:szCs w:val="21"/>
          <w:lang w:eastAsia="zh-CN"/>
        </w:rPr>
      </w:pPr>
      <w:r>
        <w:rPr>
          <w:rFonts w:hint="eastAsia" w:ascii="宋体" w:hAnsi="宋体" w:cs="宋体"/>
          <w:sz w:val="21"/>
          <w:szCs w:val="16"/>
          <w:lang w:eastAsia="zh-CN"/>
        </w:rPr>
        <w:t>GMP附件2《确认与验证》（2015版）</w:t>
      </w:r>
    </w:p>
    <w:permEnd w:id="3"/>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i/>
          <w:color w:val="0070C0"/>
          <w:szCs w:val="21"/>
          <w:lang w:eastAsia="zh-CN"/>
        </w:rPr>
      </w:pPr>
      <w:permStart w:id="4" w:edGrp="everyone"/>
      <w:r>
        <w:rPr>
          <w:i w:val="0"/>
          <w:iCs/>
          <w:color w:val="auto"/>
          <w:szCs w:val="21"/>
          <w:lang w:eastAsia="zh-CN"/>
        </w:rPr>
        <w:t>电气安全应符合GB4793.1和GB4793.4的要求。</w:t>
      </w:r>
    </w:p>
    <w:permEnd w:id="4"/>
    <w:p>
      <w:pPr>
        <w:pStyle w:val="31"/>
        <w:numPr>
          <w:ilvl w:val="0"/>
          <w:numId w:val="3"/>
        </w:numPr>
        <w:spacing w:afterLines="50"/>
        <w:ind w:left="426" w:hanging="426" w:hangingChars="202"/>
        <w:outlineLvl w:val="0"/>
        <w:rPr>
          <w:rFonts w:ascii="Times New Roman" w:hAnsi="Times New Roman"/>
          <w:b/>
        </w:rPr>
      </w:pPr>
      <w:bookmarkStart w:id="20" w:name="_Toc522716119"/>
      <w:bookmarkStart w:id="21" w:name="_Toc522107739"/>
      <w:r>
        <w:rPr>
          <w:rFonts w:ascii="Times New Roman" w:hAnsi="Times New Roman"/>
          <w:b/>
        </w:rPr>
        <w:t>系统描述</w:t>
      </w:r>
      <w:bookmarkEnd w:id="20"/>
      <w:bookmarkEnd w:id="21"/>
    </w:p>
    <w:p>
      <w:pPr>
        <w:pStyle w:val="31"/>
        <w:numPr>
          <w:ilvl w:val="0"/>
          <w:numId w:val="0"/>
        </w:numPr>
        <w:spacing w:afterLines="50"/>
        <w:ind w:leftChars="-202" w:firstLine="840" w:firstLineChars="400"/>
        <w:outlineLvl w:val="0"/>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质量控制室需购买1台光密度仪主要为温度监测指示标签（VVM）的密度差提供测试。</w:t>
      </w:r>
    </w:p>
    <w:p>
      <w:pPr>
        <w:pStyle w:val="31"/>
        <w:numPr>
          <w:ilvl w:val="0"/>
          <w:numId w:val="3"/>
        </w:numPr>
        <w:spacing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 w:edGrp="everyone"/>
          </w:p>
        </w:tc>
        <w:tc>
          <w:tcPr>
            <w:tcW w:w="7128" w:type="dxa"/>
            <w:shd w:val="clear" w:color="auto" w:fill="auto"/>
            <w:vAlign w:val="center"/>
          </w:tcPr>
          <w:p>
            <w:pPr>
              <w:spacing w:line="276" w:lineRule="auto"/>
              <w:jc w:val="both"/>
              <w:rPr>
                <w:i/>
                <w:color w:val="0070C0"/>
                <w:szCs w:val="21"/>
                <w:lang w:eastAsia="zh-CN"/>
              </w:rPr>
            </w:pPr>
            <w:r>
              <w:rPr>
                <w:rFonts w:hint="eastAsia"/>
                <w:color w:val="000000"/>
                <w:szCs w:val="21"/>
                <w:lang w:val="en-US" w:eastAsia="zh-CN"/>
              </w:rPr>
              <w:t>质量控制室原辅料生化检测区</w:t>
            </w:r>
          </w:p>
        </w:tc>
        <w:tc>
          <w:tcPr>
            <w:tcW w:w="2125" w:type="dxa"/>
            <w:shd w:val="clear" w:color="auto" w:fill="auto"/>
            <w:vAlign w:val="center"/>
          </w:tcPr>
          <w:p>
            <w:pPr>
              <w:jc w:val="both"/>
              <w:rPr>
                <w:i w:val="0"/>
                <w:iCs/>
                <w:color w:val="auto"/>
                <w:szCs w:val="21"/>
                <w:lang w:eastAsia="zh-CN"/>
              </w:rPr>
            </w:pPr>
            <w:r>
              <w:rPr>
                <w:rFonts w:hint="eastAsia"/>
                <w:i w:val="0"/>
                <w:iCs/>
                <w:color w:val="auto"/>
                <w:szCs w:val="21"/>
                <w:lang w:val="en-US" w:eastAsia="zh-CN"/>
              </w:rPr>
              <w:t>关键</w:t>
            </w:r>
          </w:p>
        </w:tc>
      </w:tr>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i w:val="0"/>
                <w:iCs/>
                <w:color w:val="auto"/>
                <w:szCs w:val="21"/>
                <w:lang w:eastAsia="zh-CN"/>
              </w:rPr>
            </w:pPr>
            <w:r>
              <w:rPr>
                <w:i w:val="0"/>
                <w:iCs/>
                <w:color w:val="auto"/>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 w:edGrp="everyone"/>
          </w:p>
        </w:tc>
        <w:tc>
          <w:tcPr>
            <w:tcW w:w="7128" w:type="dxa"/>
            <w:shd w:val="clear" w:color="auto" w:fill="auto"/>
            <w:vAlign w:val="center"/>
          </w:tcPr>
          <w:p>
            <w:pPr>
              <w:spacing w:line="276" w:lineRule="auto"/>
              <w:jc w:val="both"/>
              <w:rPr>
                <w:i/>
                <w:szCs w:val="21"/>
                <w:lang w:eastAsia="zh-CN"/>
              </w:rPr>
            </w:pPr>
            <w:r>
              <w:rPr>
                <w:rFonts w:hint="eastAsia"/>
                <w:color w:val="000000"/>
                <w:szCs w:val="21"/>
                <w:lang w:val="en-US" w:eastAsia="zh-CN"/>
              </w:rPr>
              <w:t xml:space="preserve">不大于600（长）*500（宽）*500（高）mm </w:t>
            </w:r>
          </w:p>
        </w:tc>
        <w:tc>
          <w:tcPr>
            <w:tcW w:w="2125" w:type="dxa"/>
            <w:shd w:val="clear" w:color="auto" w:fill="auto"/>
            <w:vAlign w:val="center"/>
          </w:tcPr>
          <w:p>
            <w:pPr>
              <w:jc w:val="both"/>
              <w:rPr>
                <w:i w:val="0"/>
                <w:iCs/>
                <w:color w:val="auto"/>
                <w:szCs w:val="21"/>
                <w:lang w:eastAsia="zh-CN"/>
              </w:rPr>
            </w:pPr>
            <w:r>
              <w:rPr>
                <w:rFonts w:hint="eastAsia"/>
                <w:i w:val="0"/>
                <w:iCs/>
                <w:color w:val="auto"/>
                <w:szCs w:val="21"/>
                <w:lang w:val="en-US" w:eastAsia="zh-CN"/>
              </w:rPr>
              <w:t>关键</w:t>
            </w:r>
          </w:p>
        </w:tc>
      </w:tr>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7" w:edGrp="everyone"/>
          </w:p>
        </w:tc>
        <w:tc>
          <w:tcPr>
            <w:tcW w:w="7128" w:type="dxa"/>
            <w:shd w:val="clear" w:color="auto" w:fill="auto"/>
            <w:vAlign w:val="center"/>
          </w:tcPr>
          <w:p>
            <w:pPr>
              <w:spacing w:line="276" w:lineRule="auto"/>
              <w:jc w:val="both"/>
              <w:rPr>
                <w:color w:val="auto"/>
                <w:szCs w:val="21"/>
                <w:lang w:val="en-US" w:eastAsia="zh-CN"/>
              </w:rPr>
            </w:pPr>
            <w:r>
              <w:rPr>
                <w:color w:val="auto"/>
                <w:szCs w:val="21"/>
                <w:lang w:eastAsia="zh-CN"/>
              </w:rPr>
              <w:t>设备的形式尺寸应符合制造商说明书及技术文件规定的要求。</w:t>
            </w:r>
          </w:p>
        </w:tc>
        <w:tc>
          <w:tcPr>
            <w:tcW w:w="2125" w:type="dxa"/>
            <w:shd w:val="clear" w:color="auto" w:fill="auto"/>
            <w:vAlign w:val="center"/>
          </w:tcPr>
          <w:p>
            <w:pPr>
              <w:jc w:val="both"/>
              <w:rPr>
                <w:i w:val="0"/>
                <w:iCs/>
                <w:color w:val="auto"/>
                <w:szCs w:val="21"/>
                <w:lang w:eastAsia="zh-CN"/>
              </w:rPr>
            </w:pPr>
            <w:r>
              <w:rPr>
                <w:rFonts w:hint="eastAsia"/>
                <w:i w:val="0"/>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auto"/>
                <w:szCs w:val="21"/>
                <w:lang w:eastAsia="zh-CN"/>
              </w:rPr>
            </w:pPr>
            <w:r>
              <w:rPr>
                <w:color w:val="auto"/>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both"/>
              <w:rPr>
                <w:i w:val="0"/>
                <w:iCs/>
                <w:color w:val="auto"/>
                <w:szCs w:val="21"/>
                <w:lang w:eastAsia="zh-CN"/>
              </w:rPr>
            </w:pPr>
            <w:r>
              <w:rPr>
                <w:rFonts w:hint="eastAsia"/>
                <w:i w:val="0"/>
                <w:iCs/>
                <w:color w:val="auto"/>
                <w:szCs w:val="21"/>
                <w:lang w:val="en-US" w:eastAsia="zh-CN"/>
              </w:rPr>
              <w:t>关键</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8" w:edGrp="everyone"/>
          </w:p>
        </w:tc>
        <w:tc>
          <w:tcPr>
            <w:tcW w:w="7128" w:type="dxa"/>
            <w:shd w:val="clear" w:color="auto" w:fill="auto"/>
            <w:vAlign w:val="center"/>
          </w:tcPr>
          <w:p>
            <w:pPr>
              <w:spacing w:line="276" w:lineRule="auto"/>
              <w:jc w:val="both"/>
              <w:rPr>
                <w:i/>
                <w:color w:val="0070C0"/>
                <w:szCs w:val="21"/>
                <w:lang w:eastAsia="zh-CN"/>
              </w:rPr>
            </w:pPr>
            <w:r>
              <w:rPr>
                <w:rFonts w:hint="eastAsia"/>
                <w:color w:val="000000"/>
                <w:szCs w:val="21"/>
                <w:lang w:val="en-US" w:eastAsia="zh-CN"/>
              </w:rPr>
              <w:t>重量（</w:t>
            </w:r>
            <w:r>
              <w:rPr>
                <w:color w:val="000000"/>
                <w:szCs w:val="21"/>
                <w:lang w:val="en-US" w:eastAsia="zh-CN"/>
              </w:rPr>
              <w:t>kg</w:t>
            </w:r>
            <w:r>
              <w:rPr>
                <w:rFonts w:hint="eastAsia"/>
                <w:color w:val="000000"/>
                <w:szCs w:val="21"/>
                <w:lang w:val="en-US" w:eastAsia="zh-CN"/>
              </w:rPr>
              <w:t>）不超出房间地面承重要求</w:t>
            </w:r>
          </w:p>
        </w:tc>
        <w:tc>
          <w:tcPr>
            <w:tcW w:w="2125" w:type="dxa"/>
            <w:shd w:val="clear" w:color="auto" w:fill="auto"/>
            <w:vAlign w:val="center"/>
          </w:tcPr>
          <w:p>
            <w:pPr>
              <w:jc w:val="both"/>
              <w:rPr>
                <w:szCs w:val="21"/>
                <w:lang w:eastAsia="zh-CN"/>
              </w:rPr>
            </w:pPr>
            <w:r>
              <w:rPr>
                <w:rFonts w:hint="eastAsia"/>
                <w:i w:val="0"/>
                <w:iCs/>
                <w:color w:val="auto"/>
                <w:szCs w:val="21"/>
                <w:lang w:val="en-US"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0"/>
              </w:numPr>
              <w:ind w:left="600" w:leftChars="0"/>
              <w:rPr>
                <w:rFonts w:ascii="Times New Roman" w:hAnsi="Times New Roman"/>
                <w:szCs w:val="21"/>
              </w:rPr>
            </w:pPr>
          </w:p>
        </w:tc>
        <w:tc>
          <w:tcPr>
            <w:tcW w:w="9253" w:type="dxa"/>
            <w:gridSpan w:val="2"/>
            <w:shd w:val="clear" w:color="auto" w:fill="auto"/>
            <w:vAlign w:val="center"/>
          </w:tcPr>
          <w:p>
            <w:pPr>
              <w:jc w:val="both"/>
              <w:rPr>
                <w:rFonts w:hint="default"/>
                <w:szCs w:val="21"/>
                <w:lang w:val="en-US" w:eastAsia="zh-CN"/>
              </w:rPr>
            </w:pPr>
            <w:r>
              <w:rPr>
                <w:rFonts w:hint="eastAsia"/>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9" w:edGrp="everyone"/>
          </w:p>
        </w:tc>
        <w:tc>
          <w:tcPr>
            <w:tcW w:w="7128" w:type="dxa"/>
            <w:shd w:val="clear" w:color="auto" w:fill="auto"/>
            <w:vAlign w:val="center"/>
          </w:tcPr>
          <w:p>
            <w:pPr>
              <w:spacing w:line="276" w:lineRule="auto"/>
              <w:jc w:val="both"/>
              <w:rPr>
                <w:i w:val="0"/>
                <w:iCs/>
                <w:color w:val="auto"/>
                <w:szCs w:val="21"/>
                <w:lang w:eastAsia="zh-CN"/>
              </w:rPr>
            </w:pPr>
            <w:r>
              <w:rPr>
                <w:i w:val="0"/>
                <w:iCs/>
                <w:color w:val="auto"/>
                <w:lang w:eastAsia="zh-CN"/>
              </w:rPr>
              <w:t>工作环境温度：能适应10</w:t>
            </w:r>
            <w:r>
              <w:rPr>
                <w:rFonts w:hint="eastAsia" w:ascii="宋体" w:hAnsi="宋体" w:cs="宋体"/>
                <w:i w:val="0"/>
                <w:iCs/>
                <w:color w:val="auto"/>
                <w:lang w:eastAsia="zh-CN"/>
              </w:rPr>
              <w:t>℃</w:t>
            </w:r>
            <w:r>
              <w:rPr>
                <w:i w:val="0"/>
                <w:iCs/>
                <w:color w:val="auto"/>
                <w:lang w:eastAsia="zh-CN"/>
              </w:rPr>
              <w:t>～3</w:t>
            </w:r>
            <w:r>
              <w:rPr>
                <w:rFonts w:hint="eastAsia"/>
                <w:i w:val="0"/>
                <w:iCs/>
                <w:color w:val="auto"/>
                <w:lang w:val="en-US" w:eastAsia="zh-CN"/>
              </w:rPr>
              <w:t>0</w:t>
            </w:r>
            <w:r>
              <w:rPr>
                <w:rFonts w:hint="eastAsia" w:ascii="宋体" w:hAnsi="宋体" w:cs="宋体"/>
                <w:i w:val="0"/>
                <w:iCs/>
                <w:color w:val="auto"/>
                <w:lang w:eastAsia="zh-CN"/>
              </w:rPr>
              <w:t>℃</w:t>
            </w:r>
            <w:r>
              <w:rPr>
                <w:i w:val="0"/>
                <w:iCs/>
                <w:color w:val="auto"/>
                <w:lang w:eastAsia="zh-CN"/>
              </w:rPr>
              <w:t xml:space="preserve">环境 </w:t>
            </w:r>
          </w:p>
        </w:tc>
        <w:tc>
          <w:tcPr>
            <w:tcW w:w="2125" w:type="dxa"/>
            <w:shd w:val="clear" w:color="auto" w:fill="auto"/>
            <w:vAlign w:val="center"/>
          </w:tcPr>
          <w:p>
            <w:pPr>
              <w:jc w:val="both"/>
              <w:rPr>
                <w:i w:val="0"/>
                <w:iCs/>
                <w:color w:val="auto"/>
                <w:szCs w:val="21"/>
                <w:lang w:eastAsia="zh-CN"/>
              </w:rPr>
            </w:pPr>
            <w:r>
              <w:rPr>
                <w:rFonts w:hint="eastAsia"/>
                <w:i w:val="0"/>
                <w:iCs/>
                <w:color w:val="auto"/>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val="0"/>
                <w:iCs/>
                <w:color w:val="auto"/>
                <w:szCs w:val="21"/>
                <w:lang w:eastAsia="zh-CN"/>
              </w:rPr>
            </w:pPr>
            <w:r>
              <w:rPr>
                <w:i w:val="0"/>
                <w:iCs/>
                <w:color w:val="auto"/>
                <w:lang w:eastAsia="zh-CN"/>
              </w:rPr>
              <w:t>工作环境湿度：</w:t>
            </w:r>
            <w:r>
              <w:rPr>
                <w:rFonts w:hint="eastAsia"/>
                <w:i w:val="0"/>
                <w:iCs/>
                <w:color w:val="auto"/>
                <w:szCs w:val="21"/>
                <w:lang w:val="en-US" w:eastAsia="zh-CN"/>
              </w:rPr>
              <w:t>小于70</w:t>
            </w:r>
            <w:r>
              <w:rPr>
                <w:i w:val="0"/>
                <w:iCs/>
                <w:color w:val="auto"/>
                <w:szCs w:val="21"/>
                <w:lang w:val="en-US" w:eastAsia="zh-CN"/>
              </w:rPr>
              <w:t>%</w:t>
            </w:r>
          </w:p>
        </w:tc>
        <w:tc>
          <w:tcPr>
            <w:tcW w:w="2125" w:type="dxa"/>
            <w:shd w:val="clear" w:color="auto" w:fill="auto"/>
            <w:vAlign w:val="center"/>
          </w:tcPr>
          <w:p>
            <w:pPr>
              <w:jc w:val="both"/>
              <w:rPr>
                <w:i w:val="0"/>
                <w:iCs/>
                <w:color w:val="auto"/>
                <w:szCs w:val="21"/>
                <w:lang w:eastAsia="zh-CN"/>
              </w:rPr>
            </w:pPr>
            <w:r>
              <w:rPr>
                <w:rFonts w:hint="eastAsia"/>
                <w:i w:val="0"/>
                <w:iCs/>
                <w:color w:val="auto"/>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i w:val="0"/>
                <w:iCs/>
                <w:color w:val="auto"/>
                <w:lang w:eastAsia="zh-CN"/>
              </w:rPr>
            </w:pPr>
            <w:r>
              <w:rPr>
                <w:i w:val="0"/>
                <w:iCs/>
                <w:color w:val="auto"/>
                <w:lang w:eastAsia="zh-CN"/>
              </w:rPr>
              <w:t>工作环境洁净级别：普通区域</w:t>
            </w:r>
          </w:p>
        </w:tc>
        <w:tc>
          <w:tcPr>
            <w:tcW w:w="2125" w:type="dxa"/>
            <w:shd w:val="clear" w:color="auto" w:fill="auto"/>
            <w:vAlign w:val="center"/>
          </w:tcPr>
          <w:p>
            <w:pPr>
              <w:jc w:val="both"/>
              <w:rPr>
                <w:i w:val="0"/>
                <w:iCs/>
                <w:color w:val="auto"/>
                <w:szCs w:val="21"/>
                <w:lang w:eastAsia="zh-CN"/>
              </w:rPr>
            </w:pPr>
            <w:r>
              <w:rPr>
                <w:rFonts w:hint="eastAsia"/>
                <w:i w:val="0"/>
                <w:iCs/>
                <w:color w:val="auto"/>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rFonts w:hint="eastAsia" w:ascii="宋体" w:hAnsi="宋体" w:cs="宋体"/>
                <w:szCs w:val="21"/>
                <w:lang w:eastAsia="zh-CN"/>
              </w:rPr>
              <w:t>220V/50Hz</w:t>
            </w:r>
          </w:p>
        </w:tc>
        <w:tc>
          <w:tcPr>
            <w:tcW w:w="2125" w:type="dxa"/>
            <w:shd w:val="clear" w:color="auto" w:fill="auto"/>
            <w:vAlign w:val="center"/>
          </w:tcPr>
          <w:p>
            <w:pPr>
              <w:jc w:val="both"/>
              <w:rPr>
                <w:i w:val="0"/>
                <w:iCs/>
                <w:color w:val="auto"/>
                <w:szCs w:val="21"/>
                <w:lang w:eastAsia="zh-CN"/>
              </w:rPr>
            </w:pPr>
            <w:r>
              <w:rPr>
                <w:rFonts w:hint="eastAsia"/>
                <w:i w:val="0"/>
                <w:iCs/>
                <w:color w:val="auto"/>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color w:val="000000"/>
                <w:lang w:eastAsia="zh-CN"/>
              </w:rPr>
            </w:pPr>
            <w:r>
              <w:rPr>
                <w:rFonts w:hint="eastAsia"/>
                <w:color w:val="000000"/>
                <w:szCs w:val="21"/>
                <w:lang w:val="en-US" w:eastAsia="zh-CN"/>
              </w:rPr>
              <w:t>工作区配置防溅安全电源插座</w:t>
            </w:r>
          </w:p>
        </w:tc>
        <w:tc>
          <w:tcPr>
            <w:tcW w:w="2125" w:type="dxa"/>
            <w:shd w:val="clear" w:color="auto" w:fill="auto"/>
            <w:vAlign w:val="center"/>
          </w:tcPr>
          <w:p>
            <w:pPr>
              <w:jc w:val="both"/>
              <w:rPr>
                <w:i w:val="0"/>
                <w:iCs/>
                <w:color w:val="auto"/>
                <w:szCs w:val="21"/>
                <w:lang w:eastAsia="zh-CN"/>
              </w:rPr>
            </w:pPr>
            <w:r>
              <w:rPr>
                <w:rFonts w:hint="eastAsia"/>
                <w:i w:val="0"/>
                <w:iCs/>
                <w:color w:val="auto"/>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i/>
                <w:color w:val="000000"/>
                <w:lang w:eastAsia="zh-CN"/>
              </w:rPr>
            </w:pPr>
            <w:r>
              <w:rPr>
                <w:rFonts w:hint="eastAsia"/>
                <w:color w:val="000000"/>
                <w:szCs w:val="21"/>
                <w:lang w:val="en-US" w:eastAsia="zh-CN"/>
              </w:rPr>
              <w:t>设备外观应端正、整齐，不得有明显的偏歪、毛刺和锈蚀等缺陷。表面应易于清洁消毒，耐腐蚀</w:t>
            </w:r>
          </w:p>
        </w:tc>
        <w:tc>
          <w:tcPr>
            <w:tcW w:w="2125" w:type="dxa"/>
            <w:shd w:val="clear" w:color="auto" w:fill="auto"/>
            <w:vAlign w:val="center"/>
          </w:tcPr>
          <w:p>
            <w:pPr>
              <w:jc w:val="both"/>
              <w:rPr>
                <w:i w:val="0"/>
                <w:iCs/>
                <w:color w:val="auto"/>
                <w:szCs w:val="21"/>
                <w:lang w:eastAsia="zh-CN"/>
              </w:rPr>
            </w:pPr>
            <w:r>
              <w:rPr>
                <w:rFonts w:hint="eastAsia"/>
                <w:i w:val="0"/>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color w:val="000000"/>
                <w:szCs w:val="21"/>
                <w:lang w:val="en-US" w:eastAsia="zh-CN"/>
              </w:rPr>
            </w:pPr>
            <w:r>
              <w:rPr>
                <w:rFonts w:hint="eastAsia"/>
                <w:color w:val="000000"/>
                <w:szCs w:val="21"/>
                <w:lang w:val="en-US" w:eastAsia="zh-CN"/>
              </w:rPr>
              <w:t>设备内部表面不得有凹陷、毛刺和锈蚀等缺陷，且表面易于清洁消毒</w:t>
            </w:r>
          </w:p>
        </w:tc>
        <w:tc>
          <w:tcPr>
            <w:tcW w:w="2125" w:type="dxa"/>
            <w:shd w:val="clear" w:color="auto" w:fill="auto"/>
            <w:vAlign w:val="center"/>
          </w:tcPr>
          <w:p>
            <w:pPr>
              <w:jc w:val="both"/>
              <w:rPr>
                <w:rFonts w:hint="eastAsia"/>
                <w:i w:val="0"/>
                <w:iCs/>
                <w:color w:val="auto"/>
                <w:szCs w:val="21"/>
                <w:lang w:val="en-US" w:eastAsia="zh-CN"/>
              </w:rPr>
            </w:pPr>
            <w:r>
              <w:rPr>
                <w:rFonts w:hint="eastAsia"/>
                <w:i w:val="0"/>
                <w:iCs/>
                <w:color w:val="auto"/>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val="0"/>
                <w:iCs w:val="0"/>
                <w:color w:val="auto"/>
                <w:szCs w:val="21"/>
                <w:lang w:eastAsia="zh-CN"/>
              </w:rPr>
            </w:pPr>
            <w:r>
              <w:rPr>
                <w:i w:val="0"/>
                <w:iCs w:val="0"/>
                <w:color w:val="auto"/>
                <w:szCs w:val="21"/>
                <w:lang w:val="en-US" w:eastAsia="zh-CN"/>
              </w:rPr>
              <w:t>标识</w:t>
            </w:r>
            <w:r>
              <w:rPr>
                <w:i w:val="0"/>
                <w:iCs w:val="0"/>
                <w:color w:val="auto"/>
                <w:szCs w:val="21"/>
                <w:lang w:eastAsia="zh-CN"/>
              </w:rPr>
              <w:t xml:space="preserve">：至少应有以下永久贴牢和清楚易认的标识： </w:t>
            </w:r>
          </w:p>
          <w:p>
            <w:pPr>
              <w:spacing w:line="276" w:lineRule="auto"/>
              <w:jc w:val="both"/>
              <w:rPr>
                <w:i w:val="0"/>
                <w:iCs w:val="0"/>
                <w:color w:val="auto"/>
                <w:szCs w:val="21"/>
                <w:lang w:eastAsia="zh-CN"/>
              </w:rPr>
            </w:pPr>
            <w:r>
              <w:rPr>
                <w:i w:val="0"/>
                <w:iCs w:val="0"/>
                <w:color w:val="auto"/>
                <w:szCs w:val="21"/>
                <w:lang w:eastAsia="zh-CN"/>
              </w:rPr>
              <w:t>（1）制造/供应单位；</w:t>
            </w:r>
          </w:p>
          <w:p>
            <w:pPr>
              <w:spacing w:line="276" w:lineRule="auto"/>
              <w:jc w:val="both"/>
              <w:rPr>
                <w:i w:val="0"/>
                <w:iCs w:val="0"/>
                <w:color w:val="auto"/>
                <w:szCs w:val="21"/>
                <w:lang w:eastAsia="zh-CN"/>
              </w:rPr>
            </w:pPr>
            <w:r>
              <w:rPr>
                <w:i w:val="0"/>
                <w:iCs w:val="0"/>
                <w:color w:val="auto"/>
                <w:szCs w:val="21"/>
                <w:lang w:eastAsia="zh-CN"/>
              </w:rPr>
              <w:t>（2）产品注册号；</w:t>
            </w:r>
          </w:p>
          <w:p>
            <w:pPr>
              <w:spacing w:line="276" w:lineRule="auto"/>
              <w:jc w:val="both"/>
              <w:rPr>
                <w:i w:val="0"/>
                <w:iCs w:val="0"/>
                <w:color w:val="auto"/>
                <w:szCs w:val="21"/>
                <w:lang w:eastAsia="zh-CN"/>
              </w:rPr>
            </w:pPr>
            <w:r>
              <w:rPr>
                <w:i w:val="0"/>
                <w:iCs w:val="0"/>
                <w:color w:val="auto"/>
                <w:szCs w:val="21"/>
                <w:lang w:eastAsia="zh-CN"/>
              </w:rPr>
              <w:t>（3）型号；</w:t>
            </w:r>
          </w:p>
          <w:p>
            <w:pPr>
              <w:spacing w:line="276" w:lineRule="auto"/>
              <w:jc w:val="both"/>
              <w:rPr>
                <w:i w:val="0"/>
                <w:iCs w:val="0"/>
                <w:color w:val="auto"/>
                <w:szCs w:val="21"/>
                <w:lang w:eastAsia="zh-CN"/>
              </w:rPr>
            </w:pPr>
            <w:r>
              <w:rPr>
                <w:i w:val="0"/>
                <w:iCs w:val="0"/>
                <w:color w:val="auto"/>
                <w:szCs w:val="21"/>
                <w:lang w:eastAsia="zh-CN"/>
              </w:rPr>
              <w:t>（4）生产日期或编号；</w:t>
            </w:r>
          </w:p>
          <w:p>
            <w:pPr>
              <w:spacing w:line="276" w:lineRule="auto"/>
              <w:jc w:val="both"/>
              <w:rPr>
                <w:i w:val="0"/>
                <w:iCs w:val="0"/>
                <w:color w:val="auto"/>
                <w:szCs w:val="21"/>
                <w:lang w:eastAsia="zh-CN"/>
              </w:rPr>
            </w:pPr>
            <w:r>
              <w:rPr>
                <w:i w:val="0"/>
                <w:iCs w:val="0"/>
                <w:color w:val="auto"/>
                <w:szCs w:val="21"/>
                <w:lang w:eastAsia="zh-CN"/>
              </w:rPr>
              <w:t>（5）对设备必要的说明；</w:t>
            </w:r>
          </w:p>
          <w:p>
            <w:pPr>
              <w:spacing w:line="276" w:lineRule="auto"/>
              <w:jc w:val="both"/>
              <w:rPr>
                <w:i w:val="0"/>
                <w:iCs w:val="0"/>
                <w:color w:val="auto"/>
                <w:szCs w:val="21"/>
                <w:lang w:eastAsia="zh-CN"/>
              </w:rPr>
            </w:pPr>
            <w:r>
              <w:rPr>
                <w:i w:val="0"/>
                <w:iCs w:val="0"/>
                <w:color w:val="auto"/>
                <w:szCs w:val="21"/>
                <w:lang w:eastAsia="zh-CN"/>
              </w:rPr>
              <w:t>（</w:t>
            </w:r>
            <w:r>
              <w:rPr>
                <w:rFonts w:hint="eastAsia"/>
                <w:i w:val="0"/>
                <w:iCs w:val="0"/>
                <w:color w:val="auto"/>
                <w:szCs w:val="21"/>
                <w:lang w:val="en-US" w:eastAsia="zh-CN"/>
              </w:rPr>
              <w:t>6</w:t>
            </w:r>
            <w:r>
              <w:rPr>
                <w:i w:val="0"/>
                <w:iCs w:val="0"/>
                <w:color w:val="auto"/>
                <w:szCs w:val="21"/>
                <w:lang w:eastAsia="zh-CN"/>
              </w:rPr>
              <w:t>）</w:t>
            </w:r>
            <w:r>
              <w:rPr>
                <w:rFonts w:hint="eastAsia"/>
                <w:i w:val="0"/>
                <w:iCs w:val="0"/>
                <w:color w:val="auto"/>
                <w:szCs w:val="21"/>
                <w:lang w:val="en-US" w:eastAsia="zh-CN"/>
              </w:rPr>
              <w:t>必要的功能标识及说明</w:t>
            </w:r>
          </w:p>
          <w:p>
            <w:pPr>
              <w:pStyle w:val="7"/>
              <w:spacing w:line="276" w:lineRule="auto"/>
              <w:rPr>
                <w:i w:val="0"/>
                <w:iCs w:val="0"/>
                <w:color w:val="auto"/>
                <w:sz w:val="21"/>
                <w:szCs w:val="21"/>
                <w:lang w:eastAsia="zh-CN"/>
              </w:rPr>
            </w:pPr>
            <w:r>
              <w:rPr>
                <w:i w:val="0"/>
                <w:iCs w:val="0"/>
                <w:color w:val="auto"/>
                <w:sz w:val="21"/>
                <w:szCs w:val="21"/>
              </w:rPr>
              <w:t>（</w:t>
            </w:r>
            <w:r>
              <w:rPr>
                <w:rFonts w:hint="eastAsia"/>
                <w:i w:val="0"/>
                <w:iCs w:val="0"/>
                <w:color w:val="auto"/>
                <w:sz w:val="21"/>
                <w:szCs w:val="21"/>
                <w:lang w:val="en-US" w:eastAsia="zh-CN"/>
              </w:rPr>
              <w:t>7</w:t>
            </w:r>
            <w:r>
              <w:rPr>
                <w:i w:val="0"/>
                <w:iCs w:val="0"/>
                <w:color w:val="auto"/>
                <w:sz w:val="21"/>
                <w:szCs w:val="21"/>
              </w:rPr>
              <w:t>）安全标识。</w:t>
            </w:r>
          </w:p>
        </w:tc>
        <w:tc>
          <w:tcPr>
            <w:tcW w:w="2125" w:type="dxa"/>
            <w:shd w:val="clear" w:color="auto" w:fill="auto"/>
            <w:vAlign w:val="center"/>
          </w:tcPr>
          <w:p>
            <w:pPr>
              <w:jc w:val="both"/>
              <w:rPr>
                <w:i w:val="0"/>
                <w:iCs w:val="0"/>
                <w:color w:val="auto"/>
                <w:szCs w:val="21"/>
                <w:lang w:eastAsia="zh-CN"/>
              </w:rPr>
            </w:pPr>
            <w:r>
              <w:rPr>
                <w:rFonts w:hint="eastAsia"/>
                <w:i w:val="0"/>
                <w:iCs w:val="0"/>
                <w:color w:val="auto"/>
                <w:szCs w:val="21"/>
                <w:lang w:val="en-US" w:eastAsia="zh-CN"/>
              </w:rPr>
              <w:t>关键</w:t>
            </w:r>
          </w:p>
        </w:tc>
      </w:tr>
      <w:bookmarkEnd w:id="23"/>
      <w:bookmarkEnd w:id="24"/>
      <w:permEnd w:id="14"/>
    </w:tbl>
    <w:p>
      <w:pPr>
        <w:pStyle w:val="31"/>
        <w:spacing w:afterLines="50"/>
        <w:ind w:left="425" w:firstLine="0" w:firstLineChars="0"/>
        <w:rPr>
          <w:rFonts w:ascii="Times New Roman" w:hAnsi="Times New Roman"/>
          <w:szCs w:val="21"/>
        </w:rPr>
      </w:pPr>
    </w:p>
    <w:p>
      <w:pPr>
        <w:pStyle w:val="31"/>
        <w:numPr>
          <w:ilvl w:val="0"/>
          <w:numId w:val="3"/>
        </w:numPr>
        <w:spacing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5" w:edGrp="everyone"/>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color w:val="EEECE1"/>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Chars="0"/>
              <w:rPr>
                <w:rFonts w:ascii="Times New Roman" w:hAnsi="Times New Roman"/>
                <w:szCs w:val="21"/>
              </w:rPr>
            </w:pPr>
          </w:p>
        </w:tc>
        <w:tc>
          <w:tcPr>
            <w:tcW w:w="9253" w:type="dxa"/>
            <w:gridSpan w:val="2"/>
            <w:vAlign w:val="center"/>
          </w:tcPr>
          <w:p>
            <w:pPr>
              <w:pStyle w:val="7"/>
              <w:spacing w:line="360" w:lineRule="auto"/>
              <w:rPr>
                <w:rFonts w:ascii="宋体"/>
                <w:b/>
                <w:color w:val="000000"/>
                <w:sz w:val="21"/>
                <w:szCs w:val="21"/>
                <w:lang w:eastAsia="zh-CN"/>
              </w:rPr>
            </w:pPr>
            <w:r>
              <w:rPr>
                <w:sz w:val="21"/>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themeColor="text1"/>
                <w:szCs w:val="21"/>
                <w14:textFill>
                  <w14:solidFill>
                    <w14:schemeClr w14:val="tx1"/>
                  </w14:solidFill>
                </w14:textFill>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s="黑体"/>
                <w:szCs w:val="21"/>
                <w:lang w:eastAsia="zh-CN"/>
              </w:rPr>
            </w:pPr>
            <w:r>
              <w:rPr>
                <w:rFonts w:hint="eastAsia" w:ascii="宋体" w:hAnsi="宋体" w:cs="宋体"/>
                <w:szCs w:val="21"/>
                <w:lang w:eastAsia="zh-CN"/>
              </w:rPr>
              <w:t>功能模块：</w:t>
            </w:r>
            <w:r>
              <w:rPr>
                <w:lang w:eastAsia="zh-CN"/>
              </w:rPr>
              <w:t>密度测试</w:t>
            </w:r>
            <w:r>
              <w:rPr>
                <w:rFonts w:hint="eastAsia"/>
                <w:lang w:eastAsia="zh-CN"/>
              </w:rPr>
              <w:t>、</w:t>
            </w:r>
            <w:r>
              <w:rPr>
                <w:lang w:eastAsia="zh-CN"/>
              </w:rPr>
              <w:t>比色测试</w:t>
            </w:r>
            <w:r>
              <w:rPr>
                <w:rFonts w:hint="eastAsia"/>
                <w:lang w:eastAsia="zh-CN"/>
              </w:rPr>
              <w:t>、</w:t>
            </w:r>
            <w:r>
              <w:rPr>
                <w:lang w:eastAsia="zh-CN"/>
              </w:rPr>
              <w:t>最佳匹配</w:t>
            </w:r>
            <w:r>
              <w:rPr>
                <w:rFonts w:hint="eastAsia"/>
                <w:lang w:eastAsia="zh-CN"/>
              </w:rPr>
              <w:t>、</w:t>
            </w:r>
            <w:r>
              <w:rPr>
                <w:lang w:eastAsia="zh-CN"/>
              </w:rPr>
              <w:t>质量控制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s="宋体"/>
                <w:szCs w:val="21"/>
                <w:lang w:eastAsia="zh-CN"/>
              </w:rPr>
            </w:pPr>
            <w:r>
              <w:rPr>
                <w:rFonts w:hint="eastAsia" w:ascii="宋体" w:hAnsi="宋体" w:cs="宋体"/>
                <w:szCs w:val="21"/>
                <w:lang w:eastAsia="zh-CN"/>
              </w:rPr>
              <w:t>光谱分析仪：</w:t>
            </w:r>
            <w:r>
              <w:rPr>
                <w:rFonts w:hint="default" w:ascii="Times New Roman" w:hAnsi="Times New Roman" w:cs="Times New Roman"/>
                <w:szCs w:val="21"/>
                <w:lang w:eastAsia="zh-CN"/>
              </w:rPr>
              <w:t>DRS</w:t>
            </w:r>
            <w:r>
              <w:rPr>
                <w:rFonts w:hint="eastAsia" w:ascii="宋体" w:hAnsi="宋体" w:cs="宋体"/>
                <w:szCs w:val="21"/>
                <w:lang w:eastAsia="zh-CN"/>
              </w:rPr>
              <w:t xml:space="preserve"> 光谱引擎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cs="宋体"/>
                <w:szCs w:val="21"/>
                <w:lang w:eastAsia="zh-CN"/>
              </w:rPr>
              <w:t>光谱范围：</w:t>
            </w:r>
            <w:r>
              <w:rPr>
                <w:rFonts w:hint="default" w:ascii="Times New Roman" w:hAnsi="Times New Roman" w:cs="Times New Roman"/>
                <w:szCs w:val="21"/>
                <w:lang w:eastAsia="zh-CN"/>
              </w:rPr>
              <w:t>400nm-700nm</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cs="宋体"/>
                <w:sz w:val="21"/>
                <w:szCs w:val="21"/>
                <w:lang w:eastAsia="zh-CN"/>
              </w:rPr>
            </w:pPr>
            <w:r>
              <w:rPr>
                <w:rFonts w:hint="eastAsia" w:ascii="Times New Roman" w:hAnsi="Times New Roman" w:cs="宋体"/>
                <w:sz w:val="21"/>
                <w:szCs w:val="21"/>
                <w:lang w:val="en-US" w:eastAsia="zh-CN"/>
              </w:rPr>
              <w:t>光谱间隔：10nm</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cs="宋体"/>
                <w:sz w:val="21"/>
                <w:szCs w:val="21"/>
                <w:lang w:val="en-US" w:eastAsia="zh-CN"/>
              </w:rPr>
            </w:pPr>
            <w:r>
              <w:rPr>
                <w:rFonts w:hint="eastAsia" w:ascii="Times New Roman" w:hAnsi="Times New Roman" w:cs="宋体"/>
                <w:sz w:val="21"/>
                <w:szCs w:val="21"/>
                <w:lang w:val="en-US" w:eastAsia="zh-CN"/>
              </w:rPr>
              <w:t>光谱报告：400nm到700nm，间隔10nm</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cs="宋体"/>
                <w:sz w:val="21"/>
                <w:szCs w:val="21"/>
                <w:lang w:val="en-US" w:eastAsia="zh-CN"/>
              </w:rPr>
            </w:pPr>
            <w:r>
              <w:rPr>
                <w:rFonts w:hint="eastAsia" w:ascii="Times New Roman" w:hAnsi="Times New Roman" w:cs="宋体"/>
                <w:sz w:val="21"/>
                <w:szCs w:val="21"/>
                <w:lang w:val="en-US" w:eastAsia="zh-CN"/>
              </w:rPr>
              <w:t>密度范围：0.0D</w:t>
            </w:r>
            <w:r>
              <w:rPr>
                <w:rFonts w:ascii="Times New Roman" w:hAnsi="Times New Roman" w:cs="宋体"/>
                <w:sz w:val="21"/>
                <w:szCs w:val="21"/>
                <w:lang w:val="en-US" w:eastAsia="zh-CN"/>
              </w:rPr>
              <w:t>-</w:t>
            </w:r>
            <w:r>
              <w:rPr>
                <w:rFonts w:hint="eastAsia" w:ascii="Times New Roman" w:hAnsi="Times New Roman" w:cs="宋体"/>
                <w:sz w:val="21"/>
                <w:szCs w:val="21"/>
                <w:lang w:val="en-US" w:eastAsia="zh-CN"/>
              </w:rPr>
              <w:t>3.0D</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cs="宋体"/>
                <w:sz w:val="21"/>
                <w:szCs w:val="21"/>
                <w:lang w:val="en-US" w:eastAsia="zh-CN"/>
              </w:rPr>
            </w:pPr>
            <w:r>
              <w:rPr>
                <w:rFonts w:hint="eastAsia" w:ascii="Times New Roman" w:hAnsi="Times New Roman" w:cs="宋体"/>
                <w:sz w:val="21"/>
                <w:szCs w:val="21"/>
                <w:lang w:val="en-US" w:eastAsia="zh-CN"/>
              </w:rPr>
              <w:t>密度标准：Status A, E, I, T 和 G</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sz w:val="21"/>
                <w:lang w:eastAsia="zh-CN"/>
              </w:rPr>
            </w:pPr>
            <w:r>
              <w:rPr>
                <w:rFonts w:hint="eastAsia" w:ascii="Times New Roman" w:hAnsi="Times New Roman" w:cs="宋体"/>
                <w:sz w:val="21"/>
                <w:szCs w:val="21"/>
                <w:lang w:eastAsia="zh-CN"/>
              </w:rPr>
              <w:t>测量几何结构：45°/0°环形照明光学元件, ISO 5-4:2009(E)</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测量时间：&lt;1sec</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测量光圈：1.5mm、2m</w:t>
            </w:r>
            <w:r>
              <w:rPr>
                <w:rFonts w:ascii="Times New Roman" w:hAnsi="Times New Roman" w:cs="宋体"/>
                <w:sz w:val="21"/>
                <w:szCs w:val="21"/>
                <w:lang w:eastAsia="zh-CN"/>
              </w:rPr>
              <w:t>m</w:t>
            </w:r>
            <w:r>
              <w:rPr>
                <w:rFonts w:hint="eastAsia" w:ascii="Times New Roman" w:hAnsi="Times New Roman" w:cs="宋体"/>
                <w:sz w:val="21"/>
                <w:szCs w:val="21"/>
                <w:lang w:eastAsia="zh-CN"/>
              </w:rPr>
              <w:t>、4m</w:t>
            </w:r>
            <w:r>
              <w:rPr>
                <w:rFonts w:ascii="Times New Roman" w:hAnsi="Times New Roman" w:cs="宋体"/>
                <w:sz w:val="21"/>
                <w:szCs w:val="21"/>
                <w:lang w:eastAsia="zh-CN"/>
              </w:rPr>
              <w:t>m</w:t>
            </w:r>
            <w:r>
              <w:rPr>
                <w:rFonts w:hint="eastAsia" w:ascii="Times New Roman" w:hAnsi="Times New Roman" w:cs="宋体"/>
                <w:sz w:val="21"/>
                <w:szCs w:val="21"/>
                <w:lang w:eastAsia="zh-CN"/>
              </w:rPr>
              <w:t>或6m</w:t>
            </w:r>
            <w:r>
              <w:rPr>
                <w:rFonts w:ascii="Times New Roman" w:hAnsi="Times New Roman" w:cs="宋体"/>
                <w:sz w:val="21"/>
                <w:szCs w:val="21"/>
                <w:lang w:eastAsia="zh-CN"/>
              </w:rPr>
              <w:t>m</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观察角度：2°和10°</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光源：充气钨丝灯（光源 A 类）和 UV LED</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测量条件：</w:t>
            </w:r>
          </w:p>
          <w:p>
            <w:pPr>
              <w:spacing w:line="276" w:lineRule="auto"/>
              <w:ind w:firstLine="420" w:firstLineChars="200"/>
              <w:jc w:val="both"/>
              <w:rPr>
                <w:rFonts w:ascii="Times New Roman" w:hAnsi="Times New Roman" w:cs="宋体"/>
                <w:sz w:val="21"/>
                <w:szCs w:val="21"/>
                <w:lang w:eastAsia="zh-CN"/>
              </w:rPr>
            </w:pPr>
            <w:r>
              <w:rPr>
                <w:rFonts w:hint="eastAsia" w:ascii="Times New Roman" w:hAnsi="Times New Roman" w:cs="宋体"/>
                <w:sz w:val="21"/>
                <w:szCs w:val="21"/>
                <w:lang w:eastAsia="zh-CN"/>
              </w:rPr>
              <w:t>M0：非偏振，无滤镜，包含紫外线</w:t>
            </w:r>
          </w:p>
          <w:p>
            <w:pPr>
              <w:spacing w:line="276" w:lineRule="auto"/>
              <w:ind w:firstLine="420" w:firstLineChars="200"/>
              <w:jc w:val="both"/>
              <w:rPr>
                <w:rFonts w:ascii="Times New Roman" w:hAnsi="Times New Roman" w:cs="宋体"/>
                <w:sz w:val="21"/>
                <w:szCs w:val="21"/>
                <w:lang w:eastAsia="zh-CN"/>
              </w:rPr>
            </w:pPr>
            <w:r>
              <w:rPr>
                <w:rFonts w:hint="eastAsia" w:ascii="Times New Roman" w:hAnsi="Times New Roman" w:cs="宋体"/>
                <w:sz w:val="21"/>
                <w:szCs w:val="21"/>
                <w:lang w:eastAsia="zh-CN"/>
              </w:rPr>
              <w:t>M1：D50</w:t>
            </w:r>
          </w:p>
          <w:p>
            <w:pPr>
              <w:spacing w:line="276" w:lineRule="auto"/>
              <w:ind w:firstLine="420" w:firstLineChars="200"/>
              <w:jc w:val="both"/>
              <w:rPr>
                <w:rFonts w:ascii="Times New Roman" w:hAnsi="Times New Roman" w:cs="宋体"/>
                <w:sz w:val="21"/>
                <w:szCs w:val="21"/>
                <w:lang w:eastAsia="zh-CN"/>
              </w:rPr>
            </w:pPr>
            <w:r>
              <w:rPr>
                <w:rFonts w:hint="eastAsia" w:ascii="Times New Roman" w:hAnsi="Times New Roman" w:cs="宋体"/>
                <w:sz w:val="21"/>
                <w:szCs w:val="21"/>
                <w:lang w:eastAsia="zh-CN"/>
              </w:rPr>
              <w:t>M2：不包含 UV 的滤镜</w:t>
            </w:r>
          </w:p>
          <w:p>
            <w:pPr>
              <w:spacing w:line="276" w:lineRule="auto"/>
              <w:ind w:firstLine="420" w:firstLineChars="200"/>
              <w:jc w:val="both"/>
              <w:rPr>
                <w:rFonts w:ascii="Times New Roman" w:hAnsi="Times New Roman" w:cs="宋体"/>
                <w:sz w:val="21"/>
                <w:szCs w:val="21"/>
                <w:lang w:eastAsia="zh-CN"/>
              </w:rPr>
            </w:pPr>
            <w:r>
              <w:rPr>
                <w:rFonts w:hint="eastAsia" w:ascii="Times New Roman" w:hAnsi="Times New Roman" w:cs="宋体"/>
                <w:sz w:val="21"/>
                <w:szCs w:val="21"/>
                <w:lang w:eastAsia="zh-CN"/>
              </w:rPr>
              <w:t>M3：偏振镜</w:t>
            </w:r>
            <w:r>
              <w:rPr>
                <w:rFonts w:hint="eastAsia" w:ascii="Times New Roman" w:hAnsi="Times New Roman" w:cs="宋体"/>
                <w:sz w:val="21"/>
                <w:szCs w:val="21"/>
                <w:lang w:eastAsia="zh-CN"/>
              </w:rPr>
              <w:tab/>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单次测量：M0, M2, M3</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色差模式：</w:t>
            </w:r>
            <w:r>
              <w:rPr>
                <w:rFonts w:ascii="Times New Roman" w:hAnsi="Times New Roman" w:cs="宋体"/>
                <w:sz w:val="21"/>
                <w:szCs w:val="21"/>
                <w:lang w:eastAsia="zh-CN"/>
              </w:rPr>
              <w:t xml:space="preserve">CIE </w:t>
            </w:r>
            <w:r>
              <w:rPr>
                <w:rFonts w:hint="eastAsia" w:ascii="Times New Roman" w:hAnsi="Times New Roman" w:eastAsia="微软雅黑" w:cs="微软雅黑"/>
                <w:sz w:val="21"/>
                <w:szCs w:val="21"/>
                <w:lang w:eastAsia="zh-CN"/>
              </w:rPr>
              <w:t>∆</w:t>
            </w:r>
            <w:r>
              <w:rPr>
                <w:rFonts w:ascii="Times New Roman" w:hAnsi="Times New Roman" w:cs="宋体"/>
                <w:sz w:val="21"/>
                <w:szCs w:val="21"/>
                <w:lang w:eastAsia="zh-CN"/>
              </w:rPr>
              <w:t xml:space="preserve">E* (1976), </w:t>
            </w:r>
            <w:r>
              <w:rPr>
                <w:rFonts w:hint="eastAsia" w:ascii="Times New Roman" w:hAnsi="Times New Roman" w:eastAsia="微软雅黑" w:cs="微软雅黑"/>
                <w:sz w:val="21"/>
                <w:szCs w:val="21"/>
                <w:lang w:eastAsia="zh-CN"/>
              </w:rPr>
              <w:t>∆</w:t>
            </w:r>
            <w:r>
              <w:rPr>
                <w:rFonts w:ascii="Times New Roman" w:hAnsi="Times New Roman" w:cs="宋体"/>
                <w:sz w:val="21"/>
                <w:szCs w:val="21"/>
                <w:lang w:eastAsia="zh-CN"/>
              </w:rPr>
              <w:t xml:space="preserve">ECMC, CIE </w:t>
            </w:r>
            <w:r>
              <w:rPr>
                <w:rFonts w:hint="eastAsia" w:ascii="Times New Roman" w:hAnsi="Times New Roman" w:eastAsia="微软雅黑" w:cs="微软雅黑"/>
                <w:sz w:val="21"/>
                <w:szCs w:val="21"/>
                <w:lang w:eastAsia="zh-CN"/>
              </w:rPr>
              <w:t>∆</w:t>
            </w:r>
            <w:r>
              <w:rPr>
                <w:rFonts w:ascii="Times New Roman" w:hAnsi="Times New Roman" w:cs="宋体"/>
                <w:sz w:val="21"/>
                <w:szCs w:val="21"/>
                <w:lang w:eastAsia="zh-CN"/>
              </w:rPr>
              <w:t xml:space="preserve">E* (2000), and CIE </w:t>
            </w:r>
            <w:r>
              <w:rPr>
                <w:rFonts w:hint="eastAsia" w:ascii="Times New Roman" w:hAnsi="Times New Roman" w:eastAsia="微软雅黑" w:cs="微软雅黑"/>
                <w:sz w:val="21"/>
                <w:szCs w:val="21"/>
                <w:lang w:eastAsia="zh-CN"/>
              </w:rPr>
              <w:t>∆</w:t>
            </w:r>
            <w:r>
              <w:rPr>
                <w:rFonts w:ascii="Times New Roman" w:hAnsi="Times New Roman" w:cs="宋体"/>
                <w:sz w:val="21"/>
                <w:szCs w:val="21"/>
                <w:lang w:eastAsia="zh-CN"/>
              </w:rPr>
              <w:t>E* (1994)</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色彩空间：CIE L*a*b*, CIE L*C*h°</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照明体：A, C, D50, D55, D65, D75, F2, F7, F11, F12</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标准：20'000多种标准（包括所有M模式的数据）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校准：自动开启集成参考白片</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Times New Roman" w:hAnsi="Times New Roman" w:cs="宋体"/>
                <w:sz w:val="21"/>
                <w:szCs w:val="21"/>
                <w:lang w:eastAsia="zh-CN"/>
              </w:rPr>
            </w:pPr>
            <w:r>
              <w:rPr>
                <w:rFonts w:hint="eastAsia" w:ascii="Times New Roman" w:hAnsi="Times New Roman" w:cs="宋体"/>
                <w:sz w:val="21"/>
                <w:szCs w:val="21"/>
                <w:lang w:eastAsia="zh-CN"/>
              </w:rPr>
              <w:t>校正：支持网络自动校正功能</w:t>
            </w:r>
          </w:p>
        </w:tc>
        <w:tc>
          <w:tcPr>
            <w:tcW w:w="2125" w:type="dxa"/>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一致性：平均：0.25ΔEab，最大：0.45ΔEab（对于 M3：0.55ΔEab）</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短期重复性-白色：0.05 ΔEab（标准偏差）白色 BCRA</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短期重复性-密度： CMYK 的密度为 +/-0.01 D</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储存温度范围：-20℃至 50℃</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数据接口：USB 2.0</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仪器显示：彩色触摸屏</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支持语言：中文（简体）、英语</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合格/不合格指示：是</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s="宋体"/>
                <w:sz w:val="21"/>
                <w:szCs w:val="21"/>
                <w:lang w:eastAsia="zh-CN"/>
              </w:rPr>
            </w:pPr>
            <w:r>
              <w:rPr>
                <w:rFonts w:hint="eastAsia" w:ascii="Times New Roman" w:hAnsi="Times New Roman" w:cs="宋体"/>
                <w:sz w:val="21"/>
                <w:szCs w:val="21"/>
                <w:lang w:eastAsia="zh-CN"/>
              </w:rPr>
              <w:t>G7认证：带嵌入式G7、PSO、JapanColor作业模板</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sz w:val="21"/>
                <w:lang w:eastAsia="zh-CN"/>
              </w:rPr>
            </w:pPr>
            <w:r>
              <w:rPr>
                <w:rFonts w:hint="eastAsia" w:ascii="Times New Roman" w:hAnsi="Times New Roman"/>
                <w:sz w:val="21"/>
                <w:lang w:eastAsia="zh-CN"/>
              </w:rPr>
              <w:t>可存储、查询、导出结果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ascii="宋体" w:hAnsi="宋体" w:cs="宋体"/>
                <w:kern w:val="2"/>
                <w:szCs w:val="21"/>
                <w:lang w:val="en-US" w:eastAsia="zh-CN"/>
              </w:rPr>
              <w:t>测控程序必须是稳定可靠的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Calibri" w:hAnsi="Calibri"/>
                <w:lang w:val="en-US" w:eastAsia="zh-CN"/>
              </w:rPr>
            </w:pPr>
            <w:r>
              <w:rPr>
                <w:rFonts w:hint="eastAsia" w:ascii="宋体" w:hAnsi="宋体" w:cs="宋体"/>
                <w:kern w:val="2"/>
                <w:szCs w:val="21"/>
                <w:lang w:val="en-US" w:eastAsia="zh-CN"/>
              </w:rPr>
              <w:t>配置：</w:t>
            </w:r>
            <w:r>
              <w:rPr>
                <w:rFonts w:hint="default" w:ascii="Times New Roman" w:hAnsi="Times New Roman" w:cs="Times New Roman"/>
                <w:szCs w:val="21"/>
                <w:lang w:eastAsia="zh-CN"/>
              </w:rPr>
              <w:t>USB</w:t>
            </w:r>
            <w:r>
              <w:rPr>
                <w:rFonts w:hint="eastAsia" w:ascii="宋体" w:hAnsi="宋体" w:cs="宋体"/>
                <w:szCs w:val="21"/>
                <w:lang w:eastAsia="zh-CN"/>
              </w:rPr>
              <w:t>线，电源，软件和说明书光盘，充电器，快速入门指南，手提箱，设备证书</w:t>
            </w:r>
          </w:p>
        </w:tc>
        <w:tc>
          <w:tcPr>
            <w:tcW w:w="2125" w:type="dxa"/>
            <w:vAlign w:val="center"/>
          </w:tcPr>
          <w:p>
            <w:pPr>
              <w:jc w:val="both"/>
              <w:rPr>
                <w:szCs w:val="21"/>
                <w:lang w:eastAsia="zh-CN"/>
              </w:rPr>
            </w:pPr>
            <w:r>
              <w:rPr>
                <w:rFonts w:hint="eastAsia"/>
                <w:szCs w:val="21"/>
                <w:lang w:eastAsia="zh-CN"/>
              </w:rPr>
              <w:t>关键</w:t>
            </w:r>
          </w:p>
        </w:tc>
      </w:tr>
    </w:tbl>
    <w:p>
      <w:pPr>
        <w:pStyle w:val="41"/>
        <w:spacing w:before="0" w:line="360" w:lineRule="auto"/>
        <w:ind w:left="357"/>
        <w:jc w:val="left"/>
        <w:rPr>
          <w:bCs/>
          <w:i/>
          <w:color w:val="4472C4"/>
          <w:kern w:val="44"/>
          <w:szCs w:val="21"/>
          <w:lang w:eastAsia="zh-CN"/>
        </w:rPr>
      </w:pPr>
    </w:p>
    <w:permEnd w:id="15"/>
    <w:p>
      <w:pPr>
        <w:pStyle w:val="31"/>
        <w:numPr>
          <w:ilvl w:val="0"/>
          <w:numId w:val="3"/>
        </w:numPr>
        <w:spacing w:afterLines="50"/>
        <w:ind w:left="426" w:hanging="426" w:hangingChars="202"/>
        <w:outlineLvl w:val="0"/>
        <w:rPr>
          <w:rFonts w:ascii="Times New Roman" w:hAnsi="Times New Roman"/>
          <w:b/>
        </w:rPr>
      </w:pPr>
      <w:bookmarkStart w:id="27" w:name="_Toc522716122"/>
      <w:bookmarkStart w:id="28" w:name="_Toc522107742"/>
      <w:bookmarkStart w:id="29" w:name="_Toc482625289"/>
      <w:bookmarkStart w:id="30" w:name="_Toc482370151"/>
      <w:bookmarkStart w:id="31" w:name="_Toc482359946"/>
      <w:bookmarkStart w:id="32" w:name="_Toc481702480"/>
      <w:bookmarkStart w:id="33" w:name="_Toc482369815"/>
      <w:bookmarkStart w:id="34" w:name="_Toc483400317"/>
      <w:bookmarkStart w:id="35" w:name="_Toc482360291"/>
      <w:bookmarkStart w:id="36" w:name="_Toc483227237"/>
      <w:bookmarkStart w:id="37" w:name="_Toc482370071"/>
      <w:bookmarkStart w:id="38" w:name="_Toc482717202"/>
      <w:bookmarkStart w:id="39" w:name="_Toc482370359"/>
      <w:bookmarkStart w:id="40" w:name="_Toc482370767"/>
      <w:r>
        <w:rPr>
          <w:rFonts w:ascii="Times New Roman" w:hAnsi="Times New Roman"/>
          <w:b/>
        </w:rPr>
        <w:t>电气、自动控制要求</w:t>
      </w:r>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i/>
                <w:szCs w:val="21"/>
                <w:lang w:eastAsia="zh-CN"/>
              </w:rPr>
            </w:pPr>
            <w:r>
              <w:rPr>
                <w:rFonts w:hint="eastAsia"/>
                <w:szCs w:val="21"/>
                <w:lang w:eastAsia="zh-CN"/>
              </w:rPr>
              <w:t>系统断电对系统设置及数据完整性无影响</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0"/>
              </w:numPr>
              <w:ind w:left="840" w:leftChars="0"/>
              <w:rPr>
                <w:rFonts w:ascii="Times New Roman" w:hAnsi="Times New Roman"/>
                <w:szCs w:val="21"/>
              </w:rPr>
            </w:pPr>
            <w:permStart w:id="17" w:edGrp="everyone"/>
          </w:p>
        </w:tc>
        <w:tc>
          <w:tcPr>
            <w:tcW w:w="9253" w:type="dxa"/>
            <w:gridSpan w:val="2"/>
            <w:shd w:val="clear" w:color="auto" w:fill="auto"/>
            <w:vAlign w:val="center"/>
          </w:tcPr>
          <w:p>
            <w:pPr>
              <w:jc w:val="both"/>
              <w:rPr>
                <w:rFonts w:hint="default"/>
                <w:szCs w:val="21"/>
                <w:lang w:val="en-US" w:eastAsia="zh-CN"/>
              </w:rPr>
            </w:pPr>
            <w:r>
              <w:rPr>
                <w:rFonts w:hint="eastAsia"/>
                <w:szCs w:val="21"/>
                <w:lang w:val="en-US" w:eastAsia="zh-CN"/>
              </w:rPr>
              <w:t>N/A</w:t>
            </w:r>
          </w:p>
        </w:tc>
      </w:tr>
      <w:permEnd w:id="17"/>
    </w:tbl>
    <w:p>
      <w:pPr>
        <w:spacing w:afterLines="50"/>
        <w:rPr>
          <w:b/>
          <w:lang w:eastAsia="zh-CN"/>
        </w:rPr>
      </w:pPr>
    </w:p>
    <w:p>
      <w:pPr>
        <w:pStyle w:val="31"/>
        <w:numPr>
          <w:ilvl w:val="0"/>
          <w:numId w:val="3"/>
        </w:numPr>
        <w:spacing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bl>
    <w:p>
      <w:pPr>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jc w:val="both"/>
              <w:rPr>
                <w:szCs w:val="21"/>
                <w:lang w:eastAsia="zh-CN"/>
              </w:rPr>
            </w:pPr>
            <w:r>
              <w:rPr>
                <w:rFonts w:hint="eastAsia" w:ascii="宋体" w:hAnsi="宋体" w:cs="宋体"/>
                <w:color w:val="000000"/>
                <w:szCs w:val="21"/>
                <w:lang w:eastAsia="zh-CN"/>
              </w:rPr>
              <w:t>供应商所提供的文件需要与执行和设计约束的一致</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jc w:val="both"/>
              <w:rPr>
                <w:szCs w:val="21"/>
                <w:lang w:eastAsia="zh-CN"/>
              </w:rPr>
            </w:pPr>
            <w:r>
              <w:rPr>
                <w:rFonts w:hint="eastAsia"/>
                <w:szCs w:val="21"/>
                <w:lang w:eastAsia="zh-CN"/>
              </w:rPr>
              <w:t>投标文件、合同及订单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卖方发运清单及相关检验报告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设计选型文件：设备详细的设计说明、功能说明、配置说明与清单等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图纸：各种验证、维修等活动所需的电子版及打印版系统实物图、布局图、设备尺寸图、设备局部图（与功能相关的细节图）、</w:t>
            </w:r>
            <w:r>
              <w:rPr>
                <w:szCs w:val="21"/>
                <w:lang w:eastAsia="zh-CN"/>
              </w:rPr>
              <w:t>P&amp;ID</w:t>
            </w:r>
            <w:r>
              <w:rPr>
                <w:rFonts w:hint="eastAsia"/>
                <w:szCs w:val="21"/>
                <w:lang w:eastAsia="zh-CN"/>
              </w:rPr>
              <w:t>图、控制原理图、接线图、</w:t>
            </w:r>
            <w:r>
              <w:rPr>
                <w:szCs w:val="21"/>
                <w:lang w:eastAsia="zh-CN"/>
              </w:rPr>
              <w:t>PLC</w:t>
            </w:r>
            <w:r>
              <w:rPr>
                <w:rFonts w:hint="eastAsia"/>
                <w:szCs w:val="21"/>
                <w:lang w:eastAsia="zh-CN"/>
              </w:rPr>
              <w:t>图、拓扑图、架构图、图纸清单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零配件、部件、易损件、备件及仪器仪表清单：包括编号、对应厂家名称、生产地、规格及必要说明</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设备厂家文件：出厂测试合格证、相关检测报告、各种标示</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设备交付计划表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第三方校验报告及计量证书</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必要的材质清单及材质证书</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安全报告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调试文件：调试计划、调试方案、设备测试记录，检测清单，测试报告，调试总结报告、现场验收报告等。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eastAsia"/>
                <w:szCs w:val="21"/>
                <w:lang w:eastAsia="zh-CN"/>
              </w:rPr>
            </w:pPr>
            <w:r>
              <w:rPr>
                <w:rFonts w:hint="eastAsia"/>
                <w:szCs w:val="21"/>
                <w:lang w:eastAsia="zh-CN"/>
              </w:rPr>
              <w:t>使用操作说明书及维护保养说明（即运行及维护手册）</w:t>
            </w:r>
            <w:r>
              <w:rPr>
                <w:szCs w:val="21"/>
                <w:lang w:eastAsia="zh-CN"/>
              </w:rPr>
              <w:t>3</w:t>
            </w:r>
            <w:r>
              <w:rPr>
                <w:rFonts w:hint="eastAsia"/>
                <w:szCs w:val="21"/>
                <w:lang w:eastAsia="zh-CN"/>
              </w:rPr>
              <w:t>份</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eastAsia"/>
                <w:szCs w:val="21"/>
                <w:lang w:eastAsia="zh-CN"/>
              </w:rPr>
            </w:pPr>
            <w:r>
              <w:rPr>
                <w:rFonts w:hint="eastAsia"/>
                <w:szCs w:val="21"/>
                <w:lang w:eastAsia="zh-CN"/>
              </w:rPr>
              <w:t>提供设备及其零部件使用寿命清单</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文件具体要求：</w:t>
            </w:r>
          </w:p>
          <w:p>
            <w:pPr>
              <w:numPr>
                <w:ilvl w:val="1"/>
                <w:numId w:val="11"/>
              </w:numPr>
              <w:tabs>
                <w:tab w:val="left" w:pos="370"/>
              </w:tabs>
              <w:jc w:val="both"/>
              <w:rPr>
                <w:szCs w:val="21"/>
                <w:lang w:eastAsia="zh-CN"/>
              </w:rPr>
            </w:pPr>
            <w:r>
              <w:rPr>
                <w:rFonts w:hint="eastAsia"/>
                <w:szCs w:val="21"/>
                <w:lang w:eastAsia="zh-CN"/>
              </w:rPr>
              <w:t>系统相关方案中，应明确本系统的配置、规格，并且通过分析阐述每一个系统环节的必要性；</w:t>
            </w:r>
          </w:p>
          <w:p>
            <w:pPr>
              <w:numPr>
                <w:ilvl w:val="1"/>
                <w:numId w:val="11"/>
              </w:numPr>
              <w:tabs>
                <w:tab w:val="left" w:pos="370"/>
              </w:tabs>
              <w:ind w:left="1440" w:leftChars="0" w:hanging="420" w:firstLineChars="0"/>
              <w:jc w:val="both"/>
              <w:rPr>
                <w:rFonts w:hint="eastAsia"/>
                <w:szCs w:val="21"/>
                <w:lang w:eastAsia="zh-CN"/>
              </w:rPr>
            </w:pPr>
            <w:r>
              <w:rPr>
                <w:rFonts w:hint="eastAsia"/>
                <w:szCs w:val="21"/>
                <w:lang w:eastAsia="zh-CN"/>
              </w:rPr>
              <w:t>标书中明确系统所有组件的品牌、材质、型号，并且注明每一个组件的保修期。</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eastAsia"/>
                <w:szCs w:val="21"/>
                <w:lang w:eastAsia="zh-CN"/>
              </w:rPr>
            </w:pPr>
            <w:r>
              <w:rPr>
                <w:rFonts w:hint="eastAsia"/>
                <w:szCs w:val="21"/>
                <w:lang w:eastAsia="zh-CN"/>
              </w:rPr>
              <w:t>上述条款规定的文件需提供电子版，并在设备开箱验收时将最终批准的电子版全套资料交工程技术部存档</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permEnd w:id="19"/>
    </w:tbl>
    <w:p>
      <w:pPr>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left="846"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7128" w:type="dxa"/>
            <w:shd w:val="clear" w:color="auto" w:fill="auto"/>
            <w:vAlign w:val="center"/>
          </w:tcPr>
          <w:p>
            <w:pPr>
              <w:spacing w:line="276" w:lineRule="auto"/>
              <w:jc w:val="both"/>
              <w:rPr>
                <w:color w:val="0070C0"/>
                <w:szCs w:val="21"/>
                <w:lang w:eastAsia="zh-CN"/>
              </w:rPr>
            </w:pPr>
            <w:r>
              <w:rPr>
                <w:color w:val="auto"/>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auto"/>
                <w:szCs w:val="21"/>
              </w:rPr>
            </w:pPr>
            <w:permStart w:id="21" w:edGrp="everyone"/>
          </w:p>
        </w:tc>
        <w:tc>
          <w:tcPr>
            <w:tcW w:w="7128" w:type="dxa"/>
            <w:shd w:val="clear" w:color="auto" w:fill="auto"/>
            <w:vAlign w:val="center"/>
          </w:tcPr>
          <w:p>
            <w:pPr>
              <w:spacing w:line="276" w:lineRule="auto"/>
              <w:jc w:val="both"/>
              <w:rPr>
                <w:color w:val="auto"/>
                <w:szCs w:val="21"/>
                <w:lang w:eastAsia="zh-CN"/>
              </w:rPr>
            </w:pPr>
            <w:r>
              <w:rPr>
                <w:color w:val="auto"/>
                <w:lang w:eastAsia="zh-CN"/>
              </w:rPr>
              <w:t>生产操作人员培训包括设备结构原理、性能、操作、清洗消毒、故障排除等基本</w:t>
            </w:r>
            <w:r>
              <w:rPr>
                <w:color w:val="auto"/>
                <w:szCs w:val="21"/>
                <w:lang w:eastAsia="zh-CN"/>
              </w:rPr>
              <w:t>知识</w:t>
            </w:r>
            <w:r>
              <w:rPr>
                <w:color w:val="auto"/>
                <w:lang w:eastAsia="zh-CN"/>
              </w:rPr>
              <w:t>。合格标准为用户参加培训人员能够独立正确操作设备，会排除常见故障。</w:t>
            </w:r>
          </w:p>
        </w:tc>
        <w:tc>
          <w:tcPr>
            <w:tcW w:w="2125" w:type="dxa"/>
            <w:shd w:val="clear" w:color="auto" w:fill="auto"/>
            <w:vAlign w:val="center"/>
          </w:tcPr>
          <w:p>
            <w:pPr>
              <w:jc w:val="both"/>
              <w:rPr>
                <w:color w:val="auto"/>
                <w:szCs w:val="21"/>
                <w:lang w:eastAsia="zh-CN"/>
              </w:rPr>
            </w:pPr>
            <w:r>
              <w:rPr>
                <w:rFonts w:hint="eastAsia"/>
                <w:color w:val="auto"/>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auto"/>
                <w:szCs w:val="21"/>
              </w:rPr>
            </w:pPr>
            <w:permStart w:id="22" w:edGrp="everyone"/>
          </w:p>
        </w:tc>
        <w:tc>
          <w:tcPr>
            <w:tcW w:w="7128" w:type="dxa"/>
            <w:shd w:val="clear" w:color="auto" w:fill="auto"/>
            <w:vAlign w:val="center"/>
          </w:tcPr>
          <w:p>
            <w:pPr>
              <w:spacing w:line="276" w:lineRule="auto"/>
              <w:jc w:val="both"/>
              <w:rPr>
                <w:color w:val="auto"/>
                <w:lang w:eastAsia="zh-CN"/>
              </w:rPr>
            </w:pPr>
            <w:r>
              <w:rPr>
                <w:color w:val="auto"/>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color w:val="auto"/>
                <w:szCs w:val="21"/>
                <w:lang w:eastAsia="zh-CN"/>
              </w:rPr>
            </w:pPr>
            <w:r>
              <w:rPr>
                <w:rFonts w:hint="eastAsia"/>
                <w:color w:val="auto"/>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left="846" w:leftChars="0" w:hanging="420"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color w:val="auto"/>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auto"/>
                <w:szCs w:val="21"/>
              </w:rPr>
            </w:pPr>
            <w:permStart w:id="23" w:edGrp="everyone"/>
          </w:p>
        </w:tc>
        <w:tc>
          <w:tcPr>
            <w:tcW w:w="7128" w:type="dxa"/>
            <w:shd w:val="clear" w:color="auto" w:fill="auto"/>
            <w:vAlign w:val="center"/>
          </w:tcPr>
          <w:p>
            <w:pPr>
              <w:spacing w:line="276" w:lineRule="auto"/>
              <w:jc w:val="both"/>
              <w:rPr>
                <w:color w:val="auto"/>
                <w:szCs w:val="21"/>
                <w:lang w:eastAsia="zh-CN"/>
              </w:rPr>
            </w:pPr>
            <w:r>
              <w:rPr>
                <w:color w:val="auto"/>
                <w:lang w:eastAsia="zh-CN"/>
              </w:rPr>
              <w:t>设备运输在运输途中需做好防护措施，不得有任何损伤。</w:t>
            </w:r>
          </w:p>
        </w:tc>
        <w:tc>
          <w:tcPr>
            <w:tcW w:w="2125" w:type="dxa"/>
            <w:shd w:val="clear" w:color="auto" w:fill="auto"/>
            <w:vAlign w:val="center"/>
          </w:tcPr>
          <w:p>
            <w:pPr>
              <w:jc w:val="both"/>
              <w:rPr>
                <w:color w:val="auto"/>
                <w:szCs w:val="21"/>
                <w:lang w:eastAsia="zh-CN"/>
              </w:rPr>
            </w:pPr>
            <w:r>
              <w:rPr>
                <w:rFonts w:hint="eastAsia"/>
                <w:color w:val="auto"/>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color w:val="0070C0"/>
                <w:lang w:eastAsia="zh-CN"/>
              </w:rPr>
            </w:pPr>
            <w:r>
              <w:rPr>
                <w:rFonts w:hint="eastAsia"/>
                <w:lang w:eastAsia="zh-CN"/>
              </w:rPr>
              <w:t>设备供应商按照设备使用人员要求负责分批次运输到质量控制室</w:t>
            </w:r>
            <w:r>
              <w:rPr>
                <w:rFonts w:hint="eastAsia"/>
                <w:lang w:val="en-US" w:eastAsia="zh-CN"/>
              </w:rPr>
              <w:t>原材料生化检测区</w:t>
            </w:r>
            <w:r>
              <w:rPr>
                <w:rFonts w:hint="eastAsia"/>
                <w:lang w:eastAsia="zh-CN"/>
              </w:rPr>
              <w:t>摆放安装</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left="846"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0"/>
              </w:numPr>
              <w:ind w:left="426" w:leftChars="0"/>
              <w:rPr>
                <w:rFonts w:ascii="Times New Roman" w:hAnsi="Times New Roman"/>
                <w:szCs w:val="21"/>
              </w:rPr>
            </w:pPr>
            <w:permStart w:id="25" w:edGrp="everyone"/>
          </w:p>
        </w:tc>
        <w:tc>
          <w:tcPr>
            <w:tcW w:w="9253" w:type="dxa"/>
            <w:gridSpan w:val="2"/>
            <w:shd w:val="clear" w:color="auto" w:fill="auto"/>
            <w:vAlign w:val="center"/>
          </w:tcPr>
          <w:p>
            <w:pPr>
              <w:jc w:val="both"/>
              <w:rPr>
                <w:szCs w:val="21"/>
                <w:lang w:eastAsia="zh-CN"/>
              </w:rPr>
            </w:pPr>
            <w:r>
              <w:rPr>
                <w:rFonts w:hint="eastAsia"/>
                <w:i/>
                <w:szCs w:val="21"/>
                <w:lang w:val="en-US" w:eastAsia="zh-CN"/>
              </w:rPr>
              <w:t>N/A</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left="846"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szCs w:val="21"/>
                <w:lang w:eastAsia="zh-CN"/>
              </w:rPr>
            </w:pPr>
            <w:r>
              <w:rPr>
                <w:rFonts w:hint="eastAsia" w:ascii="宋体" w:hAnsi="宋体" w:cs="宋体"/>
                <w:szCs w:val="21"/>
                <w:lang w:eastAsia="zh-CN"/>
              </w:rPr>
              <w:t>仪器保修期自安装之日起计不少于</w:t>
            </w:r>
            <w:r>
              <w:rPr>
                <w:rFonts w:hint="default" w:ascii="Times New Roman" w:hAnsi="Times New Roman" w:cs="Times New Roman"/>
                <w:szCs w:val="21"/>
                <w:lang w:eastAsia="zh-CN"/>
              </w:rPr>
              <w:t>1</w:t>
            </w:r>
            <w:r>
              <w:rPr>
                <w:rFonts w:hint="eastAsia" w:ascii="宋体" w:hAnsi="宋体" w:cs="宋体"/>
                <w:szCs w:val="21"/>
                <w:lang w:eastAsia="zh-CN"/>
              </w:rPr>
              <w:t>年（含</w:t>
            </w:r>
            <w:r>
              <w:rPr>
                <w:rFonts w:hint="default" w:ascii="Times New Roman" w:hAnsi="Times New Roman" w:cs="Times New Roman"/>
                <w:szCs w:val="21"/>
                <w:lang w:eastAsia="zh-CN"/>
              </w:rPr>
              <w:t>1</w:t>
            </w:r>
            <w:r>
              <w:rPr>
                <w:rFonts w:hint="eastAsia" w:ascii="宋体" w:hAnsi="宋体" w:cs="宋体"/>
                <w:szCs w:val="21"/>
                <w:lang w:eastAsia="zh-CN"/>
              </w:rPr>
              <w:t>年）</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szCs w:val="21"/>
                <w:lang w:eastAsia="zh-CN"/>
              </w:rPr>
            </w:pPr>
            <w:r>
              <w:rPr>
                <w:rFonts w:hint="eastAsia" w:ascii="宋体" w:hAnsi="宋体" w:cs="宋体"/>
                <w:szCs w:val="21"/>
                <w:lang w:eastAsia="zh-CN"/>
              </w:rPr>
              <w:t>保修期间，在用户正确操作过程中（人为因素除外），仪器发生故障或配件损坏，供方售后服务部需免费上门维修并更换损坏配件；如人为损坏或超出保修期，则根据仪器损坏程度收取更换配件的费用。</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szCs w:val="21"/>
                <w:lang w:eastAsia="zh-CN"/>
              </w:rPr>
            </w:pPr>
            <w:r>
              <w:rPr>
                <w:rFonts w:hint="eastAsia"/>
                <w:lang w:eastAsia="zh-CN"/>
              </w:rPr>
              <w:t>售后服务必须响应及时，要求设备出现须厂家维修的故障后，应在</w:t>
            </w:r>
            <w:r>
              <w:rPr>
                <w:lang w:eastAsia="zh-CN"/>
              </w:rPr>
              <w:t>4</w:t>
            </w:r>
            <w:r>
              <w:rPr>
                <w:rFonts w:hint="eastAsia"/>
                <w:lang w:eastAsia="zh-CN"/>
              </w:rPr>
              <w:t>小时内明确答复，当电话沟通无法解决时，须</w:t>
            </w:r>
            <w:r>
              <w:rPr>
                <w:lang w:eastAsia="zh-CN"/>
              </w:rPr>
              <w:t>24</w:t>
            </w:r>
            <w:r>
              <w:rPr>
                <w:rFonts w:hint="eastAsia"/>
                <w:lang w:eastAsia="zh-CN"/>
              </w:rPr>
              <w:t>小时内派人至现场解决</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szCs w:val="21"/>
                <w:lang w:eastAsia="zh-CN"/>
              </w:rPr>
            </w:pPr>
            <w:r>
              <w:rPr>
                <w:rFonts w:hint="eastAsia" w:ascii="宋体" w:hAnsi="宋体" w:cs="宋体"/>
                <w:szCs w:val="21"/>
                <w:lang w:eastAsia="zh-CN"/>
              </w:rPr>
              <w:t>在保修期外，提供终身免费的技术支持及使用指导服务，只收取基本材料费及运费。</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spacing w:line="276" w:lineRule="auto"/>
              <w:jc w:val="both"/>
              <w:rPr>
                <w:szCs w:val="21"/>
                <w:lang w:eastAsia="zh-CN"/>
              </w:rPr>
            </w:pPr>
            <w:r>
              <w:rPr>
                <w:rFonts w:hint="eastAsia"/>
                <w:lang w:eastAsia="zh-CN"/>
              </w:rPr>
              <w:t>厂家应提供合格的备件，用于设备相应部件的维修、更换</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left="846"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spacing w:line="276" w:lineRule="auto"/>
              <w:jc w:val="both"/>
              <w:rPr>
                <w:szCs w:val="21"/>
                <w:lang w:eastAsia="zh-CN"/>
              </w:rPr>
            </w:pPr>
            <w:r>
              <w:rPr>
                <w:rFonts w:hint="eastAsia"/>
                <w:lang w:eastAsia="zh-CN"/>
              </w:rPr>
              <w:t>货物到达买方使用现场后，由买卖双方共同验收，</w:t>
            </w:r>
            <w:r>
              <w:rPr>
                <w:rFonts w:hint="eastAsia" w:ascii="宋体" w:hAnsi="宋体" w:cs="宋体"/>
                <w:szCs w:val="21"/>
                <w:lang w:eastAsia="zh-CN"/>
              </w:rPr>
              <w:t>仪器安装完毕，仪器安装人员需对仪器进行调试，直至仪器正常运转</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tabs>
                <w:tab w:val="left" w:pos="2098"/>
              </w:tabs>
              <w:spacing w:line="276" w:lineRule="auto"/>
              <w:jc w:val="both"/>
              <w:rPr>
                <w:szCs w:val="21"/>
                <w:lang w:eastAsia="zh-CN"/>
              </w:rPr>
            </w:pPr>
            <w:r>
              <w:rPr>
                <w:rFonts w:hint="eastAsia"/>
                <w:lang w:eastAsia="zh-CN"/>
              </w:rPr>
              <w:t>卖方工程师免费为买方提供调试</w:t>
            </w:r>
            <w:r>
              <w:rPr>
                <w:rFonts w:hint="eastAsia" w:ascii="宋体" w:hAnsi="宋体" w:cs="宋体"/>
                <w:szCs w:val="21"/>
                <w:lang w:eastAsia="zh-CN"/>
              </w:rPr>
              <w:t>供应商可提供安装、调试、培训等技术支持。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供应商进厂施工需遵守安全和施工规定</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确认验收合格后，买卖双方签订验收报告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2"/>
    </w:tbl>
    <w:p/>
    <w:p>
      <w:pPr>
        <w:pStyle w:val="31"/>
        <w:numPr>
          <w:ilvl w:val="0"/>
          <w:numId w:val="3"/>
        </w:numPr>
        <w:spacing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color w:val="auto"/>
          <w:szCs w:val="21"/>
          <w:lang w:eastAsia="zh-CN"/>
        </w:rPr>
      </w:pPr>
      <w:permStart w:id="33" w:edGrp="everyone"/>
      <w:r>
        <w:rPr>
          <w:rFonts w:hint="eastAsia"/>
          <w:color w:val="auto"/>
          <w:szCs w:val="21"/>
          <w:lang w:eastAsia="zh-CN"/>
        </w:rPr>
        <w:t>不适用</w:t>
      </w:r>
      <w:permEnd w:id="33"/>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2768E53C"/>
    <w:multiLevelType w:val="multilevel"/>
    <w:tmpl w:val="2768E53C"/>
    <w:lvl w:ilvl="0" w:tentative="0">
      <w:start w:val="1"/>
      <w:numFmt w:val="decimal"/>
      <w:lvlText w:val="11.%1"/>
      <w:lvlJc w:val="left"/>
      <w:pPr>
        <w:ind w:left="846"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BAED0C7"/>
    <w:multiLevelType w:val="multilevel"/>
    <w:tmpl w:val="3BAED0C7"/>
    <w:lvl w:ilvl="0" w:tentative="0">
      <w:start w:val="24"/>
      <w:numFmt w:val="decimal"/>
      <w:lvlText w:val="URS %1"/>
      <w:lvlJc w:val="left"/>
      <w:pPr>
        <w:ind w:left="846" w:hanging="420"/>
      </w:pPr>
      <w:rPr>
        <w:rFonts w:hint="default"/>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1"/>
  </w:num>
  <w:num w:numId="3">
    <w:abstractNumId w:val="6"/>
  </w:num>
  <w:num w:numId="4">
    <w:abstractNumId w:val="10"/>
  </w:num>
  <w:num w:numId="5">
    <w:abstractNumId w:val="5"/>
  </w:num>
  <w:num w:numId="6">
    <w:abstractNumId w:val="0"/>
  </w:num>
  <w:num w:numId="7">
    <w:abstractNumId w:val="4"/>
  </w:num>
  <w:num w:numId="8">
    <w:abstractNumId w:val="3"/>
  </w:num>
  <w:num w:numId="9">
    <w:abstractNumId w:val="8"/>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formatting="1"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MzMyNThhMjE2MzgwM2Q2ZmYxMmJhY2ViNDVlYzE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325024"/>
    <w:rsid w:val="1EE01AE4"/>
    <w:rsid w:val="26345AE8"/>
    <w:rsid w:val="301167E8"/>
    <w:rsid w:val="30D95F31"/>
    <w:rsid w:val="3F923BD9"/>
    <w:rsid w:val="456A5AA0"/>
    <w:rsid w:val="68F25ADB"/>
    <w:rsid w:val="70781894"/>
    <w:rsid w:val="70D05442"/>
    <w:rsid w:val="70DB66DA"/>
    <w:rsid w:val="768A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2"/>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Revision"/>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2952</Words>
  <Characters>3317</Characters>
  <Lines>29</Lines>
  <Paragraphs>8</Paragraphs>
  <TotalTime>3</TotalTime>
  <ScaleCrop>false</ScaleCrop>
  <LinksUpToDate>false</LinksUpToDate>
  <CharactersWithSpaces>3433</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2025-04-07T06:43:00Z</cp:lastPrinted>
  <dcterms:modified xsi:type="dcterms:W3CDTF">2025-04-27T02:18:24Z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2063C79FB622444D86B3C20B4F4A0A91_13</vt:lpwstr>
  </property>
  <property fmtid="{D5CDD505-2E9C-101B-9397-08002B2CF9AE}" pid="4" name="KSOTemplateDocerSaveRecord">
    <vt:lpwstr>eyJoZGlkIjoiNmNkZWQyMDA5Y2IyZGQ4NGZlMWZmNWExOTI4ZDI2ZDgiLCJ1c2VySWQiOiI4NzI5MTIxMDEifQ==</vt:lpwstr>
  </property>
</Properties>
</file>