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s>
      </w:pPr>
      <w:bookmarkStart w:id="0" w:name="_Toc484532399"/>
      <w:bookmarkStart w:id="1" w:name="_Toc483400307"/>
      <w:bookmarkStart w:id="2" w:name="_Toc483666358"/>
      <w:bookmarkStart w:id="3" w:name="_Toc482717189"/>
      <w:bookmarkStart w:id="4" w:name="_Toc483227223"/>
      <w:r>
        <w:tab/>
      </w:r>
    </w:p>
    <w:p>
      <w:pPr>
        <w:spacing w:after="158" w:afterLines="50"/>
        <w:jc w:val="center"/>
        <w:rPr>
          <w:b/>
          <w:szCs w:val="21"/>
          <w:lang w:eastAsia="zh-CN"/>
        </w:rPr>
      </w:pPr>
      <w:r>
        <w:rPr>
          <w:rFonts w:hint="eastAsia"/>
          <w:b/>
          <w:sz w:val="28"/>
          <w:szCs w:val="28"/>
          <w:lang w:eastAsia="zh-CN"/>
        </w:rPr>
        <w:t>细菌类疫苗室冻干机</w:t>
      </w:r>
      <w:r>
        <w:rPr>
          <w:b/>
          <w:sz w:val="28"/>
          <w:szCs w:val="28"/>
          <w:lang w:eastAsia="zh-CN"/>
        </w:rPr>
        <w:t>用户需求说明（URS</w:t>
      </w:r>
      <w:r>
        <w:rPr>
          <w:b/>
          <w:szCs w:val="21"/>
          <w:lang w:eastAsia="zh-CN"/>
        </w:rPr>
        <w:t>）</w:t>
      </w:r>
      <w:bookmarkEnd w:id="0"/>
      <w:bookmarkEnd w:id="1"/>
      <w:bookmarkEnd w:id="2"/>
      <w:bookmarkEnd w:id="3"/>
      <w:bookmarkEnd w:id="4"/>
    </w:p>
    <w:p>
      <w:pPr>
        <w:spacing w:after="158" w:afterLines="50"/>
        <w:rPr>
          <w:b/>
          <w:szCs w:val="21"/>
          <w:lang w:eastAsia="zh-CN"/>
        </w:rPr>
      </w:pPr>
    </w:p>
    <w:p>
      <w:pPr>
        <w:pStyle w:val="33"/>
        <w:keepNext w:val="0"/>
        <w:keepLines w:val="0"/>
        <w:widowControl w:val="0"/>
        <w:spacing w:after="158" w:afterLines="50" w:line="240" w:lineRule="auto"/>
        <w:rPr>
          <w:sz w:val="21"/>
          <w:szCs w:val="21"/>
          <w:lang w:eastAsia="zh-CN"/>
        </w:rPr>
      </w:pPr>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bookmarkStart w:id="48" w:name="_GoBack"/>
      <w:bookmarkEnd w:id="48"/>
    </w:p>
    <w:p>
      <w:pPr>
        <w:pStyle w:val="15"/>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0"/>
    </w:p>
    <w:p>
      <w:pPr>
        <w:rPr>
          <w:b/>
          <w:bCs/>
          <w:caps/>
          <w:kern w:val="2"/>
          <w:szCs w:val="21"/>
          <w:lang w:eastAsia="zh-CN"/>
        </w:rPr>
      </w:pPr>
      <w:r>
        <w:rPr>
          <w:b/>
          <w:bCs/>
          <w:caps/>
          <w:kern w:val="2"/>
          <w:szCs w:val="21"/>
          <w:lang w:eastAsia="zh-CN"/>
        </w:rPr>
        <w:br w:type="page"/>
      </w:r>
    </w:p>
    <w:p>
      <w:pPr>
        <w:pStyle w:val="31"/>
        <w:numPr>
          <w:ilvl w:val="0"/>
          <w:numId w:val="3"/>
        </w:numPr>
      </w:pPr>
      <w:bookmarkStart w:id="5" w:name="_Toc522107735"/>
      <w:bookmarkStart w:id="6" w:name="_Toc522716115"/>
      <w:r>
        <w:t>目的</w:t>
      </w:r>
      <w:bookmarkEnd w:id="5"/>
      <w:bookmarkEnd w:id="6"/>
    </w:p>
    <w:p>
      <w:pPr>
        <w:pStyle w:val="41"/>
        <w:spacing w:before="0" w:line="360" w:lineRule="auto"/>
        <w:ind w:left="357"/>
        <w:jc w:val="left"/>
        <w:rPr>
          <w:szCs w:val="21"/>
          <w:lang w:eastAsia="zh-CN"/>
        </w:rPr>
      </w:pPr>
      <w:bookmarkStart w:id="7" w:name="_Toc482370141"/>
      <w:bookmarkStart w:id="8" w:name="_Toc482370061"/>
      <w:bookmarkStart w:id="9" w:name="_Toc482625279"/>
      <w:bookmarkStart w:id="10" w:name="_Toc482370349"/>
      <w:bookmarkStart w:id="11" w:name="_Toc481702475"/>
      <w:bookmarkStart w:id="12" w:name="_Toc482369805"/>
      <w:bookmarkStart w:id="13" w:name="_Toc482360281"/>
      <w:bookmarkStart w:id="14" w:name="_Toc482370757"/>
      <w:bookmarkStart w:id="15" w:name="_Toc482359936"/>
      <w:r>
        <w:rPr>
          <w:szCs w:val="21"/>
          <w:lang w:eastAsia="zh-CN"/>
        </w:rPr>
        <w:t>本文件的目的是描述武汉生物制品研究所有限责任公司</w:t>
      </w:r>
      <w:permStart w:id="1" w:edGrp="everyone"/>
      <w:bookmarkStart w:id="16" w:name="_Hlk203550512"/>
      <w:r>
        <w:rPr>
          <w:rFonts w:hint="eastAsia"/>
          <w:szCs w:val="21"/>
          <w:lang w:eastAsia="zh-CN"/>
        </w:rPr>
        <w:t>细菌类疫苗室冻干机</w:t>
      </w:r>
      <w:permEnd w:id="1"/>
      <w:bookmarkEnd w:id="16"/>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pPr>
      <w:bookmarkStart w:id="17" w:name="_Toc522107736"/>
      <w:bookmarkStart w:id="18" w:name="_Toc522716116"/>
      <w: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eastAsia="zh-CN"/>
        </w:rPr>
        <w:t>细菌类疫苗室冻干机</w:t>
      </w:r>
      <w:permEnd w:id="2"/>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pPr>
      <w:bookmarkStart w:id="19" w:name="_Toc522716117"/>
      <w:bookmarkStart w:id="20" w:name="_Toc522107737"/>
      <w: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000000"/>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3" w:edGrp="everyone"/>
      <w:r>
        <w:rPr>
          <w:color w:val="000000"/>
          <w:szCs w:val="21"/>
          <w:lang w:eastAsia="zh-CN"/>
        </w:rPr>
        <w:t xml:space="preserve">中国药典 </w:t>
      </w:r>
      <w:r>
        <w:rPr>
          <w:rFonts w:hint="eastAsia"/>
          <w:color w:val="000000"/>
          <w:szCs w:val="21"/>
          <w:lang w:eastAsia="zh-CN"/>
        </w:rPr>
        <w:t>2020</w:t>
      </w:r>
      <w:r>
        <w:rPr>
          <w:color w:val="000000"/>
          <w:szCs w:val="21"/>
          <w:lang w:eastAsia="zh-CN"/>
        </w:rPr>
        <w:t>年版</w:t>
      </w:r>
    </w:p>
    <w:permEnd w:id="3"/>
    <w:p>
      <w:pPr>
        <w:pStyle w:val="41"/>
        <w:numPr>
          <w:ilvl w:val="0"/>
          <w:numId w:val="5"/>
        </w:numPr>
        <w:spacing w:before="0" w:line="360" w:lineRule="auto"/>
        <w:ind w:left="777"/>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4" w:edGrp="everyone"/>
      <w:r>
        <w:rPr>
          <w:color w:val="000000"/>
          <w:szCs w:val="21"/>
          <w:lang w:eastAsia="zh-CN"/>
        </w:rPr>
        <w:t>电气安全应符合GB4793.1和GB4793.4的要求。</w:t>
      </w:r>
    </w:p>
    <w:permEnd w:id="4"/>
    <w:p>
      <w:pPr>
        <w:pStyle w:val="41"/>
        <w:tabs>
          <w:tab w:val="left" w:pos="890"/>
        </w:tabs>
        <w:spacing w:before="0" w:line="360" w:lineRule="auto"/>
        <w:jc w:val="left"/>
        <w:rPr>
          <w:rFonts w:hint="eastAsia"/>
          <w:szCs w:val="21"/>
          <w:lang w:eastAsia="zh-CN"/>
        </w:rPr>
      </w:pPr>
      <w:permStart w:id="5" w:edGrp="everyone"/>
    </w:p>
    <w:permEnd w:id="5"/>
    <w:p>
      <w:pPr>
        <w:pStyle w:val="31"/>
        <w:numPr>
          <w:ilvl w:val="0"/>
          <w:numId w:val="3"/>
        </w:numPr>
      </w:pPr>
      <w:bookmarkStart w:id="21" w:name="_Toc522716119"/>
      <w:bookmarkStart w:id="22" w:name="_Toc522107739"/>
      <w:r>
        <w:t>系统描述</w:t>
      </w:r>
      <w:bookmarkEnd w:id="21"/>
      <w:bookmarkEnd w:id="22"/>
    </w:p>
    <w:p>
      <w:pPr>
        <w:pStyle w:val="41"/>
        <w:spacing w:before="0" w:line="360" w:lineRule="auto"/>
        <w:ind w:left="425"/>
        <w:jc w:val="left"/>
        <w:rPr>
          <w:sz w:val="24"/>
          <w:lang w:eastAsia="zh-CN"/>
        </w:rPr>
      </w:pPr>
      <w:bookmarkStart w:id="23" w:name="_Toc522716120"/>
      <w:r>
        <w:rPr>
          <w:rFonts w:hint="eastAsia" w:ascii="宋体" w:hAnsi="宋体"/>
          <w:lang w:eastAsia="zh-CN"/>
        </w:rPr>
        <w:t>细菌类疫苗室购买</w:t>
      </w:r>
      <w:r>
        <w:rPr>
          <w:rFonts w:hint="eastAsia"/>
          <w:lang w:eastAsia="zh-CN"/>
        </w:rPr>
        <w:t>1</w:t>
      </w:r>
      <w:r>
        <w:rPr>
          <w:rFonts w:hint="eastAsia" w:ascii="宋体" w:hAnsi="宋体"/>
          <w:lang w:eastAsia="zh-CN"/>
        </w:rPr>
        <w:t>台冻干机及其配置，用于毓晋楼百日咳疫苗原液车间菌种的冻干制备。</w:t>
      </w:r>
    </w:p>
    <w:p>
      <w:pPr>
        <w:pStyle w:val="31"/>
        <w:numPr>
          <w:ilvl w:val="0"/>
          <w:numId w:val="3"/>
        </w:numPr>
        <w:rPr>
          <w:rFonts w:hint="eastAsia"/>
        </w:rPr>
      </w:pPr>
      <w:r>
        <w:t>安装要求</w:t>
      </w:r>
      <w:bookmarkEnd w:id="2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val="en-US" w:eastAsia="zh-CN"/>
              </w:rPr>
            </w:pPr>
            <w:r>
              <w:rPr>
                <w:b/>
                <w:szCs w:val="21"/>
                <w:lang w:eastAsia="zh-CN"/>
              </w:rPr>
              <w:t>关键程度</w:t>
            </w:r>
            <w:r>
              <w:rPr>
                <w:rFonts w:hint="eastAsia"/>
                <w:bCs/>
                <w:szCs w:val="21"/>
                <w:lang w:val="en-US" w:eastAsia="zh-CN"/>
              </w:rPr>
              <w:t>(备注</w:t>
            </w:r>
            <w:r>
              <w:rPr>
                <w:rFonts w:hint="eastAsia" w:ascii="宋体" w:hAnsi="宋体" w:cs="宋体"/>
                <w:szCs w:val="21"/>
                <w:lang w:eastAsia="zh-CN"/>
              </w:rPr>
              <w:t>※</w:t>
            </w:r>
            <w:r>
              <w:rPr>
                <w:rFonts w:hint="eastAsia" w:ascii="宋体" w:hAnsi="宋体" w:cs="宋体"/>
                <w:szCs w:val="21"/>
                <w:lang w:val="en-US" w:eastAsia="zh-CN"/>
              </w:rPr>
              <w:t>的为必须响应）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6" w:edGrp="everyone"/>
          </w:p>
        </w:tc>
        <w:tc>
          <w:tcPr>
            <w:tcW w:w="7128" w:type="dxa"/>
            <w:shd w:val="clear" w:color="auto" w:fill="auto"/>
            <w:vAlign w:val="center"/>
          </w:tcPr>
          <w:p>
            <w:pPr>
              <w:rPr>
                <w:rFonts w:hint="eastAsia"/>
                <w:i/>
                <w:color w:val="0070C0"/>
                <w:szCs w:val="21"/>
              </w:rPr>
            </w:pPr>
            <w:r>
              <w:rPr>
                <w:rFonts w:hint="eastAsia"/>
                <w:szCs w:val="21"/>
              </w:rPr>
              <w:t>购买1台冻干机，安装于细菌类疫苗室毓晋楼百日咳疫苗原液车间C级区域菌种间</w:t>
            </w:r>
          </w:p>
        </w:tc>
        <w:tc>
          <w:tcPr>
            <w:tcW w:w="2125" w:type="dxa"/>
            <w:shd w:val="clear" w:color="auto" w:fill="auto"/>
            <w:vAlign w:val="center"/>
          </w:tcPr>
          <w:p>
            <w:pPr>
              <w:jc w:val="both"/>
              <w:rPr>
                <w:i/>
                <w:szCs w:val="21"/>
                <w:lang w:eastAsia="zh-CN"/>
              </w:rPr>
            </w:pPr>
            <w:r>
              <w:rPr>
                <w:rFonts w:hint="eastAsia"/>
                <w:szCs w:val="21"/>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7" w:edGrp="everyone"/>
          </w:p>
        </w:tc>
        <w:tc>
          <w:tcPr>
            <w:tcW w:w="7128" w:type="dxa"/>
            <w:shd w:val="clear" w:color="auto" w:fill="auto"/>
            <w:vAlign w:val="center"/>
          </w:tcPr>
          <w:p>
            <w:pPr>
              <w:spacing w:line="276" w:lineRule="auto"/>
              <w:jc w:val="both"/>
              <w:rPr>
                <w:rFonts w:hint="eastAsia"/>
                <w:szCs w:val="21"/>
              </w:rPr>
            </w:pPr>
            <w:r>
              <w:rPr>
                <w:rFonts w:hint="eastAsia"/>
                <w:szCs w:val="21"/>
              </w:rPr>
              <w:t>冻干机尺寸：占地面积＜500x500mm</w:t>
            </w:r>
          </w:p>
        </w:tc>
        <w:tc>
          <w:tcPr>
            <w:tcW w:w="2125" w:type="dxa"/>
            <w:shd w:val="clear" w:color="auto" w:fill="auto"/>
            <w:vAlign w:val="center"/>
          </w:tcPr>
          <w:p>
            <w:pPr>
              <w:jc w:val="both"/>
              <w:rPr>
                <w:szCs w:val="21"/>
                <w:lang w:eastAsia="zh-CN"/>
              </w:rPr>
            </w:pPr>
            <w:r>
              <w:rPr>
                <w:rFonts w:hint="eastAsia"/>
                <w:szCs w:val="21"/>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8" w:edGrp="everyone"/>
          </w:p>
        </w:tc>
        <w:tc>
          <w:tcPr>
            <w:tcW w:w="7128" w:type="dxa"/>
            <w:shd w:val="clear" w:color="auto" w:fill="auto"/>
            <w:vAlign w:val="center"/>
          </w:tcPr>
          <w:p>
            <w:pPr>
              <w:spacing w:line="276" w:lineRule="auto"/>
              <w:jc w:val="both"/>
              <w:rPr>
                <w:szCs w:val="21"/>
              </w:rPr>
            </w:pPr>
            <w:r>
              <w:rPr>
                <w:szCs w:val="21"/>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rPr>
            </w:pPr>
            <w:r>
              <w:rPr>
                <w:szCs w:val="21"/>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rPr>
                <w:rFonts w:hint="eastAsia"/>
              </w:rPr>
            </w:pPr>
            <w:permStart w:id="9" w:edGrp="everyone"/>
          </w:p>
        </w:tc>
        <w:tc>
          <w:tcPr>
            <w:tcW w:w="9253" w:type="dxa"/>
            <w:gridSpan w:val="2"/>
            <w:shd w:val="clear" w:color="auto" w:fill="auto"/>
            <w:vAlign w:val="center"/>
          </w:tcPr>
          <w:p>
            <w:pPr>
              <w:jc w:val="both"/>
              <w:rPr>
                <w:iCs/>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N/A</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ind w:left="425"/>
              <w:rPr>
                <w:szCs w:val="21"/>
              </w:rPr>
            </w:pPr>
            <w:permStart w:id="10" w:edGrp="everyone"/>
          </w:p>
        </w:tc>
        <w:tc>
          <w:tcPr>
            <w:tcW w:w="9253" w:type="dxa"/>
            <w:gridSpan w:val="2"/>
            <w:shd w:val="clear" w:color="auto" w:fill="auto"/>
            <w:vAlign w:val="center"/>
          </w:tcPr>
          <w:p>
            <w:pPr>
              <w:jc w:val="both"/>
              <w:rPr>
                <w:i/>
                <w:color w:val="000000" w:themeColor="text1"/>
                <w:szCs w:val="21"/>
                <w:lang w:eastAsia="zh-CN"/>
                <w14:textFill>
                  <w14:solidFill>
                    <w14:schemeClr w14:val="tx1"/>
                  </w14:solidFill>
                </w14:textFill>
              </w:rPr>
            </w:pPr>
            <w:r>
              <w:rPr>
                <w:rFonts w:hint="eastAsia"/>
                <w:iCs/>
                <w:color w:val="000000" w:themeColor="text1"/>
                <w:szCs w:val="21"/>
                <w:lang w:eastAsia="zh-CN"/>
                <w14:textFill>
                  <w14:solidFill>
                    <w14:schemeClr w14:val="tx1"/>
                  </w14:solidFill>
                </w14:textFill>
              </w:rPr>
              <w:t>N/A</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1"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工作环境温度：能适应</w:t>
            </w:r>
            <w:r>
              <w:rPr>
                <w:rFonts w:hint="eastAsia"/>
                <w:color w:val="000000" w:themeColor="text1"/>
                <w:lang w:eastAsia="zh-CN"/>
                <w14:textFill>
                  <w14:solidFill>
                    <w14:schemeClr w14:val="tx1"/>
                  </w14:solidFill>
                </w14:textFill>
              </w:rPr>
              <w:t>18</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26</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环境 </w:t>
            </w:r>
          </w:p>
        </w:tc>
        <w:tc>
          <w:tcPr>
            <w:tcW w:w="2125" w:type="dxa"/>
            <w:shd w:val="clear" w:color="auto" w:fill="auto"/>
            <w:vAlign w:val="center"/>
          </w:tcPr>
          <w:p>
            <w:pPr>
              <w:jc w:val="both"/>
              <w:rPr>
                <w:szCs w:val="21"/>
                <w:lang w:eastAsia="zh-CN"/>
              </w:rPr>
            </w:pPr>
            <w:r>
              <w:rPr>
                <w:rFonts w:hint="eastAsia" w:ascii="宋体" w:hAnsi="宋体"/>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2"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工作环境湿度：至少包括45%～65%</w:t>
            </w:r>
          </w:p>
        </w:tc>
        <w:tc>
          <w:tcPr>
            <w:tcW w:w="2125" w:type="dxa"/>
            <w:shd w:val="clear" w:color="auto" w:fill="auto"/>
            <w:vAlign w:val="center"/>
          </w:tcPr>
          <w:p>
            <w:pPr>
              <w:jc w:val="both"/>
              <w:rPr>
                <w:szCs w:val="21"/>
                <w:lang w:eastAsia="zh-CN"/>
              </w:rPr>
            </w:pPr>
            <w:r>
              <w:rPr>
                <w:rFonts w:hint="eastAsia" w:ascii="宋体" w:hAnsi="宋体"/>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3"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工作环境洁净级别：</w:t>
            </w:r>
            <w:r>
              <w:rPr>
                <w:rFonts w:hint="eastAsia"/>
                <w:color w:val="000000" w:themeColor="text1"/>
                <w:lang w:eastAsia="zh-CN"/>
                <w14:textFill>
                  <w14:solidFill>
                    <w14:schemeClr w14:val="tx1"/>
                  </w14:solidFill>
                </w14:textFill>
              </w:rPr>
              <w:t>C级别</w:t>
            </w:r>
            <w:r>
              <w:rPr>
                <w:color w:val="000000" w:themeColor="text1"/>
                <w:lang w:eastAsia="zh-CN"/>
                <w14:textFill>
                  <w14:solidFill>
                    <w14:schemeClr w14:val="tx1"/>
                  </w14:solidFill>
                </w14:textFill>
              </w:rPr>
              <w:t xml:space="preserve"> </w:t>
            </w:r>
          </w:p>
        </w:tc>
        <w:tc>
          <w:tcPr>
            <w:tcW w:w="2125" w:type="dxa"/>
            <w:shd w:val="clear" w:color="auto" w:fill="auto"/>
            <w:vAlign w:val="center"/>
          </w:tcPr>
          <w:p>
            <w:pPr>
              <w:jc w:val="both"/>
              <w:rPr>
                <w:szCs w:val="21"/>
                <w:lang w:eastAsia="zh-CN"/>
              </w:rPr>
            </w:pPr>
            <w:r>
              <w:rPr>
                <w:rFonts w:hint="eastAsia" w:ascii="宋体" w:hAnsi="宋体"/>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4" w:edGrp="everyone"/>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 xml:space="preserve">交流电电源：～220±10%V，50±1Hz </w:t>
            </w:r>
            <w:r>
              <w:rPr>
                <w:rFonts w:hint="eastAsia"/>
                <w:color w:val="000000" w:themeColor="text1"/>
                <w:lang w:val="en-US" w:eastAsia="zh-CN"/>
                <w14:textFill>
                  <w14:solidFill>
                    <w14:schemeClr w14:val="tx1"/>
                  </w14:solidFill>
                </w14:textFill>
              </w:rPr>
              <w:t>备用电源可供停电期间冻干机的正常运行</w:t>
            </w:r>
            <w:r>
              <w:rPr>
                <w:color w:val="000000" w:themeColor="text1"/>
                <w:lang w:val="en-US" w:eastAsia="zh-CN"/>
                <w14:textFill>
                  <w14:solidFill>
                    <w14:schemeClr w14:val="tx1"/>
                  </w14:solidFill>
                </w14:textFill>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5" w:edGrp="everyone"/>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冷阱和冷凝盘管均由316 L不锈钢制成，防腐蚀抗变形，电解抛光处理，易于清洗，冷凝盘管暴露于冷阱内，具有冷阱预冻功能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采用最少的密封部位，防止系统真空泄漏，耐用的O型环使操作更可靠</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冷阱大开口设计，直径≥300 mm，便于水蒸气快速输送，冷凝管直接位于冷凝腔内，缩短水蒸气传送距离，缩短冷凝时间，提高干燥效率</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干燥附件多种多样，最大限度的满足用户的不同需求</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干燥腔为透明有机玻璃材质，外挂接口≥12个</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配备防老化抗变形的橡胶接头数量≥12个</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配备不锈钢样品搁板，总面积≥0.15 m</w:t>
            </w:r>
            <w:r>
              <w:rPr>
                <w:rFonts w:hint="eastAsia"/>
                <w:color w:val="000000" w:themeColor="text1"/>
                <w:vertAlign w:val="superscript"/>
                <w:lang w:val="en-US" w:eastAsia="zh-CN"/>
                <w14:textFill>
                  <w14:solidFill>
                    <w14:schemeClr w14:val="tx1"/>
                  </w14:solidFill>
                </w14:textFill>
              </w:rPr>
              <w:t>2</w:t>
            </w:r>
          </w:p>
        </w:tc>
        <w:tc>
          <w:tcPr>
            <w:tcW w:w="2125" w:type="dxa"/>
            <w:shd w:val="clear" w:color="auto" w:fill="auto"/>
            <w:vAlign w:val="center"/>
          </w:tcPr>
          <w:p>
            <w:pPr>
              <w:jc w:val="both"/>
              <w:rPr>
                <w:rFonts w:hint="eastAsia"/>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val="en-US" w:eastAsia="zh-CN"/>
                <w14:textFill>
                  <w14:solidFill>
                    <w14:schemeClr w14:val="tx1"/>
                  </w14:solidFill>
                </w14:textFill>
              </w:rPr>
              <w:t>标识</w:t>
            </w:r>
            <w:r>
              <w:rPr>
                <w:color w:val="000000" w:themeColor="text1"/>
                <w:szCs w:val="21"/>
                <w:lang w:eastAsia="zh-CN"/>
                <w14:textFill>
                  <w14:solidFill>
                    <w14:schemeClr w14:val="tx1"/>
                  </w14:solidFill>
                </w14:textFill>
              </w:rPr>
              <w:t xml:space="preserve">：至少应有以下永久贴牢和清楚易认的标识： </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（1）制造/供应单位；</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（2）产品注册号；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（3）型号；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（4）生产日期或编号；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（5）对设备必要的说明；</w:t>
            </w:r>
          </w:p>
          <w:p>
            <w:pPr>
              <w:pStyle w:val="7"/>
              <w:spacing w:line="276" w:lineRule="auto"/>
              <w:rPr>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w:t>
            </w:r>
            <w:r>
              <w:rPr>
                <w:color w:val="000000" w:themeColor="text1"/>
                <w:sz w:val="21"/>
                <w:szCs w:val="21"/>
                <w:lang w:eastAsia="zh-CN"/>
                <w14:textFill>
                  <w14:solidFill>
                    <w14:schemeClr w14:val="tx1"/>
                  </w14:solidFill>
                </w14:textFill>
              </w:rPr>
              <w:t>6</w:t>
            </w:r>
            <w:r>
              <w:rPr>
                <w:color w:val="000000" w:themeColor="text1"/>
                <w:sz w:val="21"/>
                <w:szCs w:val="21"/>
                <w14:textFill>
                  <w14:solidFill>
                    <w14:schemeClr w14:val="tx1"/>
                  </w14:solidFill>
                </w14:textFill>
              </w:rPr>
              <w:t>）安全标识。</w:t>
            </w:r>
          </w:p>
        </w:tc>
        <w:tc>
          <w:tcPr>
            <w:tcW w:w="2125" w:type="dxa"/>
            <w:shd w:val="clear" w:color="auto" w:fill="auto"/>
            <w:vAlign w:val="center"/>
          </w:tcPr>
          <w:p>
            <w:pPr>
              <w:jc w:val="both"/>
              <w:rPr>
                <w:szCs w:val="21"/>
                <w:lang w:eastAsia="zh-CN"/>
              </w:rPr>
            </w:pPr>
            <w:r>
              <w:rPr>
                <w:rFonts w:hint="eastAsia" w:ascii="宋体" w:hAnsi="宋体"/>
              </w:rPr>
              <w:t>关键</w:t>
            </w:r>
          </w:p>
        </w:tc>
      </w:tr>
      <w:bookmarkEnd w:id="24"/>
      <w:bookmarkEnd w:id="25"/>
      <w:permEnd w:id="15"/>
    </w:tbl>
    <w:p>
      <w:pPr>
        <w:pStyle w:val="31"/>
      </w:pPr>
    </w:p>
    <w:p>
      <w:pPr>
        <w:pStyle w:val="31"/>
        <w:numPr>
          <w:ilvl w:val="0"/>
          <w:numId w:val="3"/>
        </w:numPr>
        <w:rPr>
          <w:rFonts w:hint="eastAsia"/>
          <w:i/>
          <w:szCs w:val="21"/>
        </w:rPr>
      </w:pPr>
      <w:bookmarkStart w:id="26" w:name="_Toc522716121"/>
      <w:bookmarkStart w:id="27" w:name="_Toc522107740"/>
      <w:r>
        <w:t>运行要求</w:t>
      </w:r>
      <w:bookmarkEnd w:id="26"/>
      <w:bookmarkEnd w:id="27"/>
      <w:permStart w:id="16" w:edGrp="everyone"/>
    </w:p>
    <w:permEnd w:id="1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ind w:left="425"/>
              <w:rPr>
                <w:szCs w:val="21"/>
              </w:rPr>
            </w:pPr>
            <w:permStart w:id="17" w:edGrp="everyone"/>
          </w:p>
        </w:tc>
        <w:tc>
          <w:tcPr>
            <w:tcW w:w="9253" w:type="dxa"/>
            <w:gridSpan w:val="2"/>
            <w:shd w:val="clear" w:color="auto" w:fill="auto"/>
            <w:vAlign w:val="center"/>
          </w:tcPr>
          <w:p>
            <w:pPr>
              <w:jc w:val="both"/>
              <w:rPr>
                <w:rFonts w:hint="eastAsia"/>
                <w:szCs w:val="21"/>
                <w:lang w:eastAsia="zh-CN"/>
              </w:rPr>
            </w:pPr>
            <w:r>
              <w:rPr>
                <w:rFonts w:hint="eastAsia"/>
                <w:szCs w:val="21"/>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8" w:edGrp="everyone"/>
          </w:p>
        </w:tc>
        <w:tc>
          <w:tcPr>
            <w:tcW w:w="7128" w:type="dxa"/>
            <w:shd w:val="clear" w:color="auto" w:fill="auto"/>
            <w:vAlign w:val="center"/>
          </w:tcPr>
          <w:p>
            <w:pPr>
              <w:spacing w:line="276" w:lineRule="auto"/>
              <w:jc w:val="both"/>
              <w:rPr>
                <w:rFonts w:hint="eastAsia"/>
                <w:i/>
                <w:color w:val="0070C0"/>
                <w:lang w:val="en-US" w:eastAsia="zh-CN"/>
              </w:rPr>
            </w:pPr>
            <w:r>
              <w:rPr>
                <w:rFonts w:hint="eastAsia"/>
                <w:color w:val="000000" w:themeColor="text1"/>
                <w:szCs w:val="21"/>
                <w14:textFill>
                  <w14:solidFill>
                    <w14:schemeClr w14:val="tx1"/>
                  </w14:solidFill>
                </w14:textFill>
              </w:rPr>
              <w:t>冻干菌种，0-200管/次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19" w:edGrp="everyone"/>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冻干机冷阱温度≤-55℃</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0" w:edGrp="everyone"/>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温度监测精度：0.1℃</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真空度显示范围0.001-1000mbar，显示精度为0.001mbar，真空传感器为派纳尼真空传感器</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真空泵抽气速率≥38 L/min，需配备油雾过滤器，减少对实验室环境的污染</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冷阱最大凝冰量≥4Kg</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冷阱凝冰效率≥3Kg/24h</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系统极限真空≤0.05mbar</w:t>
            </w:r>
          </w:p>
        </w:tc>
        <w:tc>
          <w:tcPr>
            <w:tcW w:w="2125" w:type="dxa"/>
            <w:shd w:val="clear" w:color="auto" w:fill="auto"/>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1" w:edGrp="everyone"/>
          </w:p>
        </w:tc>
        <w:tc>
          <w:tcPr>
            <w:tcW w:w="7128" w:type="dxa"/>
            <w:shd w:val="clear" w:color="auto" w:fill="auto"/>
            <w:vAlign w:val="center"/>
          </w:tcPr>
          <w:p>
            <w:pPr>
              <w:spacing w:line="276" w:lineRule="auto"/>
              <w:jc w:val="both"/>
              <w:rPr>
                <w:szCs w:val="21"/>
                <w:lang w:eastAsia="zh-CN"/>
              </w:rPr>
            </w:pPr>
            <w:r>
              <w:rPr>
                <w:rFonts w:hint="eastAsia" w:ascii="宋体" w:hAnsi="宋体"/>
              </w:rPr>
              <w:t>内室尺寸≥</w:t>
            </w:r>
            <w:r>
              <w:rPr>
                <w:rFonts w:hint="eastAsia"/>
              </w:rPr>
              <w:t>6.5L</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压缩机制冷功率≥</w:t>
            </w:r>
            <w:r>
              <w:rPr>
                <w:rFonts w:hint="eastAsia"/>
                <w:lang w:eastAsia="zh-CN"/>
              </w:rPr>
              <w:t>0.51KW</w:t>
            </w:r>
          </w:p>
        </w:tc>
        <w:tc>
          <w:tcPr>
            <w:tcW w:w="2125" w:type="dxa"/>
            <w:shd w:val="clear" w:color="auto" w:fill="auto"/>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设备运行时，冻干机的噪音（离设备</w:t>
            </w:r>
            <w:r>
              <w:rPr>
                <w:rFonts w:hint="eastAsia"/>
                <w:lang w:eastAsia="zh-CN"/>
              </w:rPr>
              <w:t>1</w:t>
            </w:r>
            <w:r>
              <w:rPr>
                <w:rFonts w:hint="eastAsia" w:ascii="宋体" w:hAnsi="宋体"/>
                <w:lang w:eastAsia="zh-CN"/>
              </w:rPr>
              <w:t>米远）≤</w:t>
            </w:r>
            <w:r>
              <w:rPr>
                <w:rFonts w:hint="eastAsia"/>
                <w:lang w:eastAsia="zh-CN"/>
              </w:rPr>
              <w:t>54 dB(A)</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采用碳氢类环保制冷剂，</w:t>
            </w:r>
            <w:r>
              <w:rPr>
                <w:rFonts w:hint="eastAsia"/>
                <w:lang w:eastAsia="zh-CN"/>
              </w:rPr>
              <w:t>GWP</w:t>
            </w:r>
            <w:r>
              <w:rPr>
                <w:rFonts w:hint="eastAsia" w:ascii="宋体" w:hAnsi="宋体"/>
                <w:lang w:eastAsia="zh-CN"/>
              </w:rPr>
              <w:t>（全球变暖潜能值）≤</w:t>
            </w:r>
            <w:r>
              <w:rPr>
                <w:rFonts w:hint="eastAsia"/>
                <w:lang w:eastAsia="zh-CN"/>
              </w:rPr>
              <w:t>10</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配备真空电磁阀，实现真空度的自动控制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操作及监视界面信息应包括但不限于：设备工艺流程图、阀门及设备的开启和关闭、各部件的运行状态、报警和警告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bl>
    <w:p>
      <w:pPr>
        <w:pStyle w:val="31"/>
        <w:numPr>
          <w:ilvl w:val="0"/>
          <w:numId w:val="3"/>
        </w:numPr>
        <w:rPr>
          <w:rFonts w:hint="eastAsia"/>
          <w:color w:val="auto"/>
          <w:szCs w:val="22"/>
        </w:rPr>
      </w:pPr>
      <w:bookmarkStart w:id="28" w:name="_Toc522716122"/>
      <w:bookmarkStart w:id="29" w:name="_Toc522107742"/>
      <w:bookmarkStart w:id="30" w:name="_Toc482370767"/>
      <w:bookmarkStart w:id="31" w:name="_Toc483400317"/>
      <w:bookmarkStart w:id="32" w:name="_Toc482717202"/>
      <w:bookmarkStart w:id="33" w:name="_Toc482625289"/>
      <w:bookmarkStart w:id="34" w:name="_Toc482359946"/>
      <w:bookmarkStart w:id="35" w:name="_Toc483227237"/>
      <w:bookmarkStart w:id="36" w:name="_Toc481702480"/>
      <w:bookmarkStart w:id="37" w:name="_Toc482370359"/>
      <w:bookmarkStart w:id="38" w:name="_Toc482370071"/>
      <w:bookmarkStart w:id="39" w:name="_Toc482369815"/>
      <w:bookmarkStart w:id="40" w:name="_Toc482370151"/>
      <w:bookmarkStart w:id="41" w:name="_Toc482360291"/>
      <w:r>
        <w:t>电气、自动控制要求</w:t>
      </w:r>
      <w:bookmarkEnd w:id="28"/>
      <w:permStart w:id="22" w:edGrp="everyone"/>
    </w:p>
    <w:permEnd w:id="2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3" w:edGrp="everyone"/>
          </w:p>
        </w:tc>
        <w:tc>
          <w:tcPr>
            <w:tcW w:w="7128" w:type="dxa"/>
            <w:shd w:val="clear" w:color="auto" w:fill="auto"/>
            <w:vAlign w:val="center"/>
          </w:tcPr>
          <w:p>
            <w:pPr>
              <w:spacing w:line="276" w:lineRule="auto"/>
              <w:jc w:val="both"/>
              <w:rPr>
                <w:i/>
                <w:szCs w:val="21"/>
                <w:lang w:eastAsia="zh-CN"/>
              </w:rPr>
            </w:pPr>
            <w:r>
              <w:rPr>
                <w:rFonts w:hint="eastAsia" w:ascii="宋体" w:hAnsi="宋体"/>
                <w:lang w:eastAsia="zh-CN"/>
              </w:rPr>
              <w:t>具有断电恢复功能，意外断电时，冻干系统自动进入安全状态，所有动作停止，靠良好的系统密封性实现样品短期安全；恢复供电后，设备在确保安全的情况下，自动回归原运行状态，以保护产品安全。</w:t>
            </w:r>
          </w:p>
        </w:tc>
        <w:tc>
          <w:tcPr>
            <w:tcW w:w="2125" w:type="dxa"/>
            <w:shd w:val="clear" w:color="auto" w:fill="auto"/>
            <w:vAlign w:val="center"/>
          </w:tcPr>
          <w:p>
            <w:pPr>
              <w:jc w:val="both"/>
              <w:rPr>
                <w:rFonts w:hint="eastAsia" w:eastAsia="宋体"/>
                <w:szCs w:val="21"/>
                <w:lang w:val="en-US" w:eastAsia="zh-CN"/>
              </w:rPr>
            </w:pPr>
            <w:r>
              <w:rPr>
                <w:rFonts w:hint="eastAsia" w:ascii="宋体" w:hAnsi="宋体"/>
              </w:rPr>
              <w:t>关键</w:t>
            </w:r>
            <w:r>
              <w:rPr>
                <w:rFonts w:hint="eastAsia" w:ascii="宋体" w:hAnsi="宋体"/>
                <w:lang w:val="en-US" w:eastAsia="zh-CN"/>
              </w:rPr>
              <w:t>*</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4"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冷阱应具备热气除霜功能，可设置除霜时间，缩短冻干批次时间间隔</w:t>
            </w:r>
          </w:p>
        </w:tc>
        <w:tc>
          <w:tcPr>
            <w:tcW w:w="2125" w:type="dxa"/>
            <w:shd w:val="clear" w:color="auto" w:fill="auto"/>
            <w:vAlign w:val="center"/>
          </w:tcPr>
          <w:p>
            <w:pPr>
              <w:jc w:val="both"/>
              <w:rPr>
                <w:rFonts w:hint="eastAsia" w:eastAsia="宋体"/>
                <w:szCs w:val="21"/>
                <w:lang w:val="en-US" w:eastAsia="zh-CN"/>
              </w:rPr>
            </w:pPr>
            <w:r>
              <w:rPr>
                <w:rFonts w:hint="eastAsia" w:ascii="宋体" w:hAnsi="宋体"/>
              </w:rPr>
              <w:t>关键</w:t>
            </w: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设备控制器应能够定时提醒泵油更换和维护保养，并且能够记录报错故障，同时显示冻干机各部件实际运行总时间，以便于维修故障判断</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设备控制器应内置性能测试和泄露率测试程序，用于定期检查设备性能状态</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可设置超过</w:t>
            </w:r>
            <w:r>
              <w:rPr>
                <w:rFonts w:hint="eastAsia"/>
                <w:color w:val="000000"/>
                <w:lang w:eastAsia="zh-CN"/>
              </w:rPr>
              <w:t>10</w:t>
            </w:r>
            <w:r>
              <w:rPr>
                <w:rFonts w:hint="eastAsia" w:ascii="宋体" w:hAnsi="宋体"/>
                <w:color w:val="000000"/>
                <w:lang w:eastAsia="zh-CN"/>
              </w:rPr>
              <w:t>种操作语言，包括中文和英文操作系统</w:t>
            </w:r>
          </w:p>
        </w:tc>
        <w:tc>
          <w:tcPr>
            <w:tcW w:w="2125" w:type="dxa"/>
            <w:shd w:val="clear" w:color="auto" w:fill="auto"/>
            <w:vAlign w:val="center"/>
          </w:tcPr>
          <w:p>
            <w:pPr>
              <w:jc w:val="both"/>
              <w:rPr>
                <w:szCs w:val="21"/>
                <w:lang w:eastAsia="zh-CN"/>
              </w:rPr>
            </w:pPr>
            <w:r>
              <w:rPr>
                <w:rFonts w:hint="eastAsia" w:ascii="宋体" w:hAnsi="宋体"/>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配备满足要求的真空传感器和真空控制器</w:t>
            </w:r>
          </w:p>
        </w:tc>
        <w:tc>
          <w:tcPr>
            <w:tcW w:w="2125" w:type="dxa"/>
            <w:shd w:val="clear" w:color="auto" w:fill="auto"/>
            <w:vAlign w:val="center"/>
          </w:tcPr>
          <w:p>
            <w:pPr>
              <w:jc w:val="both"/>
              <w:rPr>
                <w:szCs w:val="21"/>
                <w:lang w:eastAsia="zh-CN"/>
              </w:rPr>
            </w:pPr>
            <w:r>
              <w:rPr>
                <w:rFonts w:hint="eastAsia" w:ascii="宋体" w:hAnsi="宋体"/>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5"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彩色触摸屏操作面板≥</w:t>
            </w:r>
            <w:r>
              <w:rPr>
                <w:rFonts w:hint="eastAsia"/>
                <w:lang w:eastAsia="zh-CN"/>
              </w:rPr>
              <w:t>5.7</w:t>
            </w:r>
            <w:r>
              <w:rPr>
                <w:rFonts w:hint="eastAsia" w:ascii="宋体" w:hAnsi="宋体"/>
                <w:lang w:eastAsia="zh-CN"/>
              </w:rPr>
              <w:t>英寸，清楚显示主要过程参数，如冷阱温度、冻干时间、分段时间和腔体真空度</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配有关键参数设置界面，显示运行状态，运行状态将冻干过程分为预冻，预热泵，主干燥，二次干燥，待机等几个阶段，并能实现连续阶段的自动跳转</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ascii="宋体" w:hAnsi="宋体"/>
                <w:color w:val="000000"/>
                <w:lang w:eastAsia="zh-CN"/>
              </w:rPr>
              <w:t>屏幕显示的日期，名称，运行时间，运行</w:t>
            </w:r>
            <w:r>
              <w:rPr>
                <w:rFonts w:hint="eastAsia" w:ascii="宋体" w:hAnsi="宋体"/>
                <w:color w:val="000000"/>
                <w:lang w:eastAsia="zh-CN"/>
              </w:rPr>
              <w:t>电子</w:t>
            </w:r>
            <w:r>
              <w:rPr>
                <w:rFonts w:ascii="宋体" w:hAnsi="宋体"/>
                <w:color w:val="000000"/>
                <w:lang w:eastAsia="zh-CN"/>
              </w:rPr>
              <w:t>数据</w:t>
            </w:r>
            <w:r>
              <w:rPr>
                <w:rFonts w:hint="eastAsia" w:ascii="宋体" w:hAnsi="宋体"/>
                <w:color w:val="000000"/>
                <w:lang w:eastAsia="zh-CN"/>
              </w:rPr>
              <w:t>。</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具备数据存储功能，具备数据备份与恢复功能，计算计化系统应具备可升级的功能接口</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仪器软件具有至少</w:t>
            </w:r>
            <w:r>
              <w:rPr>
                <w:color w:val="000000"/>
                <w:lang w:eastAsia="zh-CN"/>
              </w:rPr>
              <w:t>3</w:t>
            </w:r>
            <w:r>
              <w:rPr>
                <w:rFonts w:hint="eastAsia" w:ascii="宋体" w:hAnsi="宋体"/>
                <w:color w:val="000000"/>
                <w:lang w:eastAsia="zh-CN"/>
              </w:rPr>
              <w:t>级用户分层权限管理及密码管理的功能</w:t>
            </w:r>
            <w:r>
              <w:rPr>
                <w:rFonts w:hint="eastAsia" w:ascii="宋体" w:hAnsi="宋体"/>
                <w:color w:val="FF0000"/>
                <w:highlight w:val="none"/>
                <w:lang w:eastAsia="zh-CN"/>
              </w:rPr>
              <w:t>，</w:t>
            </w:r>
            <w:r>
              <w:rPr>
                <w:rFonts w:hint="eastAsia" w:ascii="宋体" w:hAnsi="宋体"/>
                <w:color w:val="FF0000"/>
                <w:highlight w:val="none"/>
                <w:lang w:val="en-US" w:eastAsia="zh-CN"/>
              </w:rPr>
              <w:t>具备管理员、操作员、工艺员，且有功能划分。</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仪器软件应可以设置多个用户，并有用户分级管理功能，每个等级拥有相应的权限</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系统应能形成系统日志，可以记录系统和安全的事件，比如登录登出、密码更改、方法参数更改、记录删除及操作人员和日期时间等</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系统管理员应可以重置密码</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系统管理员应可以激活锁住的账户，系统必须具有超时强制退出要求重新登录的功能。</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系统应可以允许管理员更改密码</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应有控制措施以防止电子记录从应用软件外面被修改或删除。使用者应不能修改测试结果</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hint="eastAsia" w:ascii="宋体" w:hAnsi="宋体"/>
                <w:color w:val="000000"/>
                <w:lang w:eastAsia="zh-CN"/>
              </w:rPr>
            </w:pPr>
            <w:r>
              <w:rPr>
                <w:rFonts w:hint="eastAsia" w:ascii="宋体" w:hAnsi="宋体"/>
                <w:color w:val="FF0000"/>
                <w:lang w:val="en-US" w:eastAsia="zh-CN"/>
              </w:rPr>
              <w:t>设备具备报警功能，对于系统运行异常及在使用过程中的偏离设计要求的情况，能进行报警提示。</w:t>
            </w:r>
          </w:p>
        </w:tc>
        <w:tc>
          <w:tcPr>
            <w:tcW w:w="2125" w:type="dxa"/>
            <w:shd w:val="clear" w:color="auto" w:fill="auto"/>
            <w:vAlign w:val="center"/>
          </w:tcPr>
          <w:p>
            <w:pPr>
              <w:jc w:val="both"/>
              <w:rPr>
                <w:rFonts w:hint="eastAsia" w:ascii="宋体" w:hAnsi="宋体"/>
              </w:rPr>
            </w:pPr>
            <w:r>
              <w:rPr>
                <w:rFonts w:hint="eastAsia" w:ascii="宋体" w:hAnsi="宋体"/>
                <w:lang w:val="en-US" w:eastAsia="zh-CN"/>
              </w:rPr>
              <w:t>关键</w:t>
            </w:r>
          </w:p>
        </w:tc>
      </w:tr>
      <w:permEnd w:id="25"/>
    </w:tbl>
    <w:p>
      <w:pPr>
        <w:spacing w:after="158" w:afterLines="50"/>
        <w:rPr>
          <w:b/>
          <w:lang w:eastAsia="zh-CN"/>
        </w:rPr>
      </w:pPr>
    </w:p>
    <w:p>
      <w:pPr>
        <w:pStyle w:val="31"/>
        <w:numPr>
          <w:ilvl w:val="0"/>
          <w:numId w:val="3"/>
        </w:numPr>
        <w:rPr>
          <w:rFonts w:hint="eastAsia"/>
          <w:color w:val="auto"/>
          <w:szCs w:val="22"/>
        </w:rPr>
      </w:pPr>
      <w:bookmarkStart w:id="42" w:name="_Toc522716123"/>
      <w:r>
        <w:t>安全要求</w:t>
      </w:r>
      <w:bookmarkEnd w:id="29"/>
      <w:bookmarkEnd w:id="42"/>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ind w:left="425"/>
              <w:rPr>
                <w:szCs w:val="21"/>
              </w:rPr>
            </w:pPr>
            <w:permStart w:id="27" w:edGrp="everyone"/>
          </w:p>
        </w:tc>
        <w:tc>
          <w:tcPr>
            <w:tcW w:w="9253" w:type="dxa"/>
            <w:gridSpan w:val="2"/>
            <w:shd w:val="clear" w:color="auto" w:fill="auto"/>
            <w:vAlign w:val="center"/>
          </w:tcPr>
          <w:p>
            <w:pPr>
              <w:jc w:val="both"/>
              <w:rPr>
                <w:rFonts w:hint="eastAsia"/>
                <w:szCs w:val="21"/>
                <w:lang w:eastAsia="zh-CN"/>
              </w:rPr>
            </w:pPr>
            <w:r>
              <w:rPr>
                <w:rFonts w:hint="eastAsia"/>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8" w:edGrp="everyone"/>
          </w:p>
        </w:tc>
        <w:tc>
          <w:tcPr>
            <w:tcW w:w="7128" w:type="dxa"/>
            <w:shd w:val="clear" w:color="auto" w:fill="auto"/>
            <w:vAlign w:val="center"/>
          </w:tcPr>
          <w:p>
            <w:pPr>
              <w:jc w:val="both"/>
              <w:rPr>
                <w:lang w:val="en-US" w:eastAsia="zh-CN"/>
              </w:rPr>
            </w:pPr>
            <w:r>
              <w:rPr>
                <w:rFonts w:hint="eastAsia" w:ascii="宋体" w:hAnsi="宋体"/>
                <w:lang w:eastAsia="zh-CN"/>
              </w:rPr>
              <w:t>电控系统所用部件和材料必须符合专业质量标准要求，且装配联接符合设计要求和相关专业质量标准要求，具有良好的绝缘和接地保护。安全保护接地需符合国家标准。</w:t>
            </w:r>
          </w:p>
          <w:p>
            <w:pPr>
              <w:jc w:val="both"/>
              <w:rPr>
                <w:szCs w:val="21"/>
                <w:lang w:eastAsia="zh-CN"/>
              </w:rPr>
            </w:pPr>
            <w:r>
              <w:rPr>
                <w:rFonts w:hint="eastAsia" w:ascii="宋体" w:hAnsi="宋体"/>
              </w:rPr>
              <w:t>保护等级：</w:t>
            </w:r>
            <w:r>
              <w:rPr>
                <w:rFonts w:hint="eastAsia"/>
              </w:rPr>
              <w:t xml:space="preserve">NEMA4X/IP56 </w:t>
            </w:r>
          </w:p>
        </w:tc>
        <w:tc>
          <w:tcPr>
            <w:tcW w:w="2125" w:type="dxa"/>
            <w:shd w:val="clear" w:color="auto" w:fill="auto"/>
            <w:vAlign w:val="center"/>
          </w:tcPr>
          <w:p>
            <w:pPr>
              <w:jc w:val="both"/>
              <w:rPr>
                <w:rFonts w:hint="eastAsia" w:eastAsia="宋体"/>
                <w:szCs w:val="21"/>
                <w:lang w:val="en-US" w:eastAsia="zh-CN"/>
              </w:rPr>
            </w:pPr>
            <w:r>
              <w:rPr>
                <w:rFonts w:hint="eastAsia" w:ascii="宋体" w:hAnsi="宋体"/>
              </w:rPr>
              <w:t>关键</w:t>
            </w:r>
            <w:r>
              <w:rPr>
                <w:rFonts w:hint="eastAsia" w:ascii="宋体" w:hAnsi="宋体"/>
                <w:lang w:val="en-US" w:eastAsia="zh-CN"/>
              </w:rPr>
              <w:t>*</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29" w:edGrp="everyone"/>
          </w:p>
        </w:tc>
        <w:tc>
          <w:tcPr>
            <w:tcW w:w="7128" w:type="dxa"/>
            <w:shd w:val="clear" w:color="auto" w:fill="auto"/>
            <w:vAlign w:val="center"/>
          </w:tcPr>
          <w:p>
            <w:pPr>
              <w:jc w:val="both"/>
              <w:rPr>
                <w:b/>
                <w:bCs/>
              </w:rPr>
            </w:pPr>
            <w:r>
              <w:rPr>
                <w:rFonts w:hint="eastAsia" w:ascii="宋体" w:hAnsi="宋体"/>
                <w:b/>
                <w:bCs/>
              </w:rPr>
              <w:t>其他保护：</w:t>
            </w:r>
          </w:p>
          <w:p>
            <w:pPr>
              <w:numPr>
                <w:ilvl w:val="0"/>
                <w:numId w:val="11"/>
              </w:numPr>
              <w:jc w:val="both"/>
              <w:rPr>
                <w:lang w:eastAsia="zh-CN"/>
              </w:rPr>
            </w:pPr>
            <w:r>
              <w:rPr>
                <w:rFonts w:hint="eastAsia" w:ascii="宋体" w:hAnsi="宋体"/>
                <w:lang w:eastAsia="zh-CN"/>
              </w:rPr>
              <w:t>设备热表面或发热部件上的明显部位必须设有警告标识。</w:t>
            </w:r>
          </w:p>
          <w:p>
            <w:pPr>
              <w:numPr>
                <w:ilvl w:val="0"/>
                <w:numId w:val="11"/>
              </w:numPr>
              <w:jc w:val="both"/>
              <w:rPr>
                <w:lang w:eastAsia="zh-CN"/>
              </w:rPr>
            </w:pPr>
            <w:r>
              <w:rPr>
                <w:rFonts w:hint="eastAsia" w:ascii="宋体" w:hAnsi="宋体"/>
                <w:lang w:eastAsia="zh-CN"/>
              </w:rPr>
              <w:t>设备操作位置及设备维修区域必须设易于人员接近的急停按钮，并有明显的标示。</w:t>
            </w:r>
          </w:p>
          <w:p>
            <w:pPr>
              <w:jc w:val="both"/>
              <w:rPr>
                <w:szCs w:val="21"/>
                <w:lang w:eastAsia="zh-CN"/>
              </w:rPr>
            </w:pPr>
            <w:r>
              <w:rPr>
                <w:rFonts w:hint="eastAsia" w:ascii="宋体" w:hAnsi="宋体"/>
                <w:lang w:eastAsia="zh-CN"/>
              </w:rPr>
              <w:t>设备危险传动部位及高温部位应有防护装置。</w:t>
            </w:r>
          </w:p>
        </w:tc>
        <w:tc>
          <w:tcPr>
            <w:tcW w:w="2125" w:type="dxa"/>
            <w:shd w:val="clear" w:color="auto" w:fill="auto"/>
            <w:vAlign w:val="center"/>
          </w:tcPr>
          <w:p>
            <w:pPr>
              <w:jc w:val="both"/>
              <w:rPr>
                <w:szCs w:val="21"/>
                <w:lang w:eastAsia="zh-CN"/>
              </w:rPr>
            </w:pPr>
            <w:r>
              <w:rPr>
                <w:rFonts w:hint="eastAsia" w:ascii="宋体" w:hAnsi="宋体"/>
              </w:rPr>
              <w:t>关键</w:t>
            </w:r>
          </w:p>
        </w:tc>
      </w:tr>
      <w:permEnd w:id="29"/>
    </w:tbl>
    <w:p>
      <w:pPr>
        <w:rPr>
          <w:szCs w:val="21"/>
          <w:lang w:eastAsia="zh-CN"/>
        </w:rPr>
      </w:pPr>
    </w:p>
    <w:p>
      <w:pPr>
        <w:pStyle w:val="31"/>
        <w:numPr>
          <w:ilvl w:val="0"/>
          <w:numId w:val="3"/>
        </w:numPr>
        <w:rPr>
          <w:rFonts w:hint="eastAsia"/>
          <w:szCs w:val="22"/>
        </w:rPr>
      </w:pPr>
      <w:bookmarkStart w:id="43" w:name="_Toc522716124"/>
      <w:bookmarkStart w:id="44" w:name="_Toc522107743"/>
      <w:r>
        <w:t>文件要求</w:t>
      </w:r>
      <w:bookmarkEnd w:id="43"/>
      <w:bookmarkEnd w:id="44"/>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1" w:edGrp="everyone"/>
          </w:p>
        </w:tc>
        <w:tc>
          <w:tcPr>
            <w:tcW w:w="7128" w:type="dxa"/>
            <w:shd w:val="clear" w:color="auto" w:fill="auto"/>
            <w:vAlign w:val="center"/>
          </w:tcPr>
          <w:p>
            <w:pPr>
              <w:jc w:val="both"/>
              <w:rPr>
                <w:szCs w:val="21"/>
                <w:lang w:eastAsia="zh-CN"/>
              </w:rPr>
            </w:pPr>
            <w:r>
              <w:rPr>
                <w:lang w:eastAsia="zh-CN"/>
              </w:rPr>
              <w:t xml:space="preserve"> </w:t>
            </w:r>
            <w:r>
              <w:rPr>
                <w:rFonts w:hint="eastAsia" w:ascii="宋体" w:hAnsi="宋体"/>
                <w:lang w:eastAsia="zh-CN"/>
              </w:rPr>
              <w:t>投标文件、合同及订单。卖方发运清单及相关检验报告。</w:t>
            </w:r>
          </w:p>
        </w:tc>
        <w:tc>
          <w:tcPr>
            <w:tcW w:w="2125" w:type="dxa"/>
            <w:shd w:val="clear" w:color="auto" w:fill="auto"/>
            <w:vAlign w:val="center"/>
          </w:tcPr>
          <w:p>
            <w:pPr>
              <w:jc w:val="both"/>
              <w:rPr>
                <w:szCs w:val="21"/>
                <w:lang w:eastAsia="zh-CN"/>
              </w:rPr>
            </w:pPr>
            <w:r>
              <w:rPr>
                <w:rFonts w:hint="eastAsia" w:ascii="宋体" w:hAnsi="宋体"/>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2" w:edGrp="everyone"/>
          </w:p>
        </w:tc>
        <w:tc>
          <w:tcPr>
            <w:tcW w:w="7128" w:type="dxa"/>
            <w:shd w:val="clear" w:color="auto" w:fill="auto"/>
            <w:vAlign w:val="center"/>
          </w:tcPr>
          <w:p>
            <w:pPr>
              <w:jc w:val="both"/>
              <w:rPr>
                <w:szCs w:val="21"/>
                <w:lang w:eastAsia="zh-CN"/>
              </w:rPr>
            </w:pPr>
            <w:r>
              <w:rPr>
                <w:rFonts w:hint="eastAsia" w:ascii="宋体" w:hAnsi="宋体"/>
                <w:color w:val="000000"/>
                <w:lang w:eastAsia="zh-CN"/>
              </w:rPr>
              <w:t>设计选型文件：设备详细功能说明、设计说明、配置说明与清单。</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配件清单、易损件清单、备件、消耗品清单：包括名称、编号、对应厂家名称、生产地、规格及必要说明。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设备厂家文件：相关检测报告、各种标示</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rPr>
              <w:t>提供关键设备清单。</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设备操作手册（SOP）：语言为中文，应说明校准周期，并能提供校准服务。</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现场验收测试报告（SAT），以及调试文件：现场验收测试报告、调试计划（调试说明、调试清单、现场验收测试、保修信息、培训计划等），总测试计划，检查计划，检测清单，各测试结果，调试总结报告等。</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rFonts w:ascii="宋体" w:hAnsi="宋体"/>
                <w:color w:val="000000"/>
              </w:rPr>
            </w:pPr>
            <w:r>
              <w:rPr>
                <w:rFonts w:hint="eastAsia" w:ascii="宋体" w:hAnsi="宋体"/>
              </w:rPr>
              <w:t>验证</w:t>
            </w:r>
            <w:r>
              <w:rPr>
                <w:rFonts w:hint="eastAsia" w:ascii="宋体" w:hAnsi="宋体"/>
                <w:color w:val="000000"/>
              </w:rPr>
              <w:t>文件：</w:t>
            </w:r>
          </w:p>
          <w:p>
            <w:pPr>
              <w:rPr>
                <w:rFonts w:hint="eastAsia" w:ascii="宋体" w:hAnsi="宋体"/>
                <w:color w:val="000000"/>
              </w:rPr>
            </w:pPr>
            <w:r>
              <w:rPr>
                <w:rFonts w:hint="eastAsia" w:ascii="宋体" w:hAnsi="宋体"/>
                <w:color w:val="000000"/>
              </w:rPr>
              <w:t>（1）验证计划</w:t>
            </w:r>
          </w:p>
          <w:p>
            <w:pPr>
              <w:rPr>
                <w:rFonts w:hint="eastAsia" w:ascii="宋体" w:hAnsi="宋体"/>
                <w:color w:val="000000"/>
                <w:lang w:eastAsia="zh-CN"/>
              </w:rPr>
            </w:pPr>
            <w:r>
              <w:rPr>
                <w:rFonts w:hint="eastAsia" w:ascii="宋体" w:hAnsi="宋体"/>
                <w:color w:val="000000"/>
                <w:lang w:eastAsia="zh-CN"/>
              </w:rPr>
              <w:t>（2）满足GMP和GAMP5等相关法规的评估文件</w:t>
            </w:r>
          </w:p>
          <w:p>
            <w:pPr>
              <w:rPr>
                <w:rFonts w:hint="eastAsia" w:ascii="宋体" w:hAnsi="宋体"/>
                <w:color w:val="000000"/>
                <w:lang w:eastAsia="zh-CN"/>
              </w:rPr>
            </w:pPr>
            <w:r>
              <w:rPr>
                <w:rFonts w:hint="eastAsia" w:ascii="宋体" w:hAnsi="宋体"/>
                <w:color w:val="000000"/>
                <w:lang w:eastAsia="zh-CN"/>
              </w:rPr>
              <w:t>（3）安装确认及文件（IQ）；</w:t>
            </w:r>
          </w:p>
          <w:p>
            <w:pPr>
              <w:rPr>
                <w:rFonts w:hint="eastAsia" w:ascii="宋体" w:hAnsi="宋体"/>
                <w:color w:val="000000"/>
                <w:lang w:eastAsia="zh-CN"/>
              </w:rPr>
            </w:pPr>
            <w:r>
              <w:rPr>
                <w:rFonts w:hint="eastAsia" w:ascii="宋体" w:hAnsi="宋体"/>
                <w:color w:val="000000"/>
                <w:lang w:eastAsia="zh-CN"/>
              </w:rPr>
              <w:t>（4）运行确认及文件（OQ）；</w:t>
            </w:r>
          </w:p>
          <w:p>
            <w:pPr>
              <w:jc w:val="both"/>
              <w:rPr>
                <w:szCs w:val="21"/>
                <w:lang w:eastAsia="zh-CN"/>
              </w:rPr>
            </w:pPr>
            <w:r>
              <w:rPr>
                <w:rFonts w:hint="eastAsia" w:ascii="宋体" w:hAnsi="宋体"/>
                <w:color w:val="000000"/>
                <w:lang w:eastAsia="zh-CN"/>
              </w:rPr>
              <w:t>（5）设备生产商负责制定设备验证计划、评估文件、IQ/OQ验证文件、验证总结报告，并负责验证工作的实施，该验证文件作为设备必备文件。</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rPr>
              <w:t>设备交付计划表。</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使用操作说明书及维护保养说明（即运行及维护手册）3份。</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提供设备及其零部件使用寿命清单。</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rPr>
              <w:t>现场验收报告。</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rFonts w:ascii="宋体" w:hAnsi="宋体"/>
              </w:rPr>
            </w:pPr>
            <w:r>
              <w:rPr>
                <w:rFonts w:hint="eastAsia" w:ascii="宋体" w:hAnsi="宋体"/>
              </w:rPr>
              <w:t>文件具体要求：</w:t>
            </w:r>
          </w:p>
          <w:p>
            <w:pPr>
              <w:jc w:val="both"/>
              <w:rPr>
                <w:rFonts w:hint="eastAsia" w:ascii="宋体" w:hAnsi="宋体"/>
                <w:lang w:eastAsia="zh-CN"/>
              </w:rPr>
            </w:pPr>
            <w:r>
              <w:rPr>
                <w:rFonts w:hint="eastAsia" w:ascii="宋体" w:hAnsi="宋体"/>
                <w:lang w:eastAsia="zh-CN"/>
              </w:rPr>
              <w:t>（1）系统相关方案中，应明确本系统的配置、规格，并且分析阐述每一个系统环节的必要性；</w:t>
            </w:r>
          </w:p>
          <w:p>
            <w:pPr>
              <w:jc w:val="both"/>
              <w:rPr>
                <w:szCs w:val="21"/>
                <w:lang w:eastAsia="zh-CN"/>
              </w:rPr>
            </w:pPr>
            <w:r>
              <w:rPr>
                <w:rFonts w:hint="eastAsia" w:ascii="宋体" w:hAnsi="宋体"/>
                <w:lang w:eastAsia="zh-CN"/>
              </w:rPr>
              <w:t>（2）标书中明确系统所有组件的品牌、材质、型号，并且注明每一个组件的保修期；</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jc w:val="both"/>
              <w:rPr>
                <w:szCs w:val="21"/>
                <w:lang w:eastAsia="zh-CN"/>
              </w:rPr>
            </w:pPr>
            <w:r>
              <w:rPr>
                <w:rFonts w:hint="eastAsia" w:ascii="宋体" w:hAnsi="宋体"/>
                <w:lang w:eastAsia="zh-CN"/>
              </w:rPr>
              <w:t>设备需具有CE、中国RoHS 2.0、ISO9001等证书</w:t>
            </w:r>
          </w:p>
        </w:tc>
        <w:tc>
          <w:tcPr>
            <w:tcW w:w="2125" w:type="dxa"/>
            <w:shd w:val="clear" w:color="auto" w:fill="auto"/>
            <w:vAlign w:val="center"/>
          </w:tcPr>
          <w:p>
            <w:pPr>
              <w:jc w:val="both"/>
              <w:rPr>
                <w:szCs w:val="21"/>
                <w:lang w:eastAsia="zh-CN"/>
              </w:rPr>
            </w:pPr>
            <w:r>
              <w:rPr>
                <w:rFonts w:hint="eastAsia" w:ascii="宋体" w:hAnsi="宋体"/>
              </w:rPr>
              <w:t>关键</w:t>
            </w:r>
          </w:p>
        </w:tc>
      </w:tr>
      <w:permEnd w:id="32"/>
    </w:tbl>
    <w:p>
      <w:pPr>
        <w:rPr>
          <w:szCs w:val="21"/>
          <w:lang w:eastAsia="zh-CN"/>
        </w:rPr>
      </w:pPr>
    </w:p>
    <w:p>
      <w:pPr>
        <w:pStyle w:val="31"/>
        <w:numPr>
          <w:ilvl w:val="0"/>
          <w:numId w:val="3"/>
        </w:numPr>
        <w:rPr>
          <w:rFonts w:hint="eastAsia"/>
          <w:color w:val="auto"/>
          <w:szCs w:val="22"/>
        </w:rPr>
      </w:pPr>
      <w:bookmarkStart w:id="45" w:name="_Toc522716125"/>
      <w:r>
        <w:t>服务要求</w:t>
      </w:r>
      <w:bookmarkEnd w:id="45"/>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02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ascii="宋体" w:hAnsi="宋体"/>
                <w:lang w:eastAsia="zh-CN"/>
              </w:rPr>
            </w:pPr>
            <w:r>
              <w:rPr>
                <w:rFonts w:ascii="宋体" w:hAnsi="宋体"/>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4" w:edGrp="everyone"/>
          </w:p>
        </w:tc>
        <w:tc>
          <w:tcPr>
            <w:tcW w:w="7128" w:type="dxa"/>
            <w:shd w:val="clear" w:color="auto" w:fill="auto"/>
            <w:vAlign w:val="center"/>
          </w:tcPr>
          <w:p>
            <w:pPr>
              <w:spacing w:line="276" w:lineRule="auto"/>
              <w:jc w:val="both"/>
              <w:rPr>
                <w:rFonts w:hint="eastAsia" w:ascii="宋体" w:hAnsi="宋体"/>
                <w:lang w:eastAsia="zh-CN"/>
              </w:rPr>
            </w:pPr>
            <w:r>
              <w:rPr>
                <w:rFonts w:hint="eastAsia" w:ascii="宋体" w:hAnsi="宋体"/>
                <w:lang w:eastAsia="zh-CN"/>
              </w:rPr>
              <w:t>供应商可提供冻干机操作软件模拟器，该模拟器可真实模拟冻干机的运行状态，以便教学培训使用；</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rFonts w:ascii="宋体" w:hAnsi="宋体"/>
                <w:lang w:eastAsia="zh-CN"/>
              </w:rPr>
            </w:pPr>
            <w:r>
              <w:rPr>
                <w:rFonts w:ascii="宋体" w:hAnsi="宋体"/>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ascii="宋体" w:hAnsi="宋体"/>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5" w:edGrp="everyone"/>
          </w:p>
        </w:tc>
        <w:tc>
          <w:tcPr>
            <w:tcW w:w="7128" w:type="dxa"/>
            <w:shd w:val="clear" w:color="auto" w:fill="auto"/>
            <w:vAlign w:val="center"/>
          </w:tcPr>
          <w:p>
            <w:pPr>
              <w:spacing w:line="276" w:lineRule="auto"/>
              <w:jc w:val="both"/>
              <w:rPr>
                <w:rFonts w:ascii="宋体" w:hAnsi="宋体"/>
                <w:lang w:eastAsia="zh-CN"/>
              </w:rPr>
            </w:pPr>
            <w:r>
              <w:rPr>
                <w:rFonts w:ascii="宋体" w:hAnsi="宋体"/>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ascii="宋体" w:hAnsi="宋体"/>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6" w:edGrp="everyone"/>
          </w:p>
        </w:tc>
        <w:tc>
          <w:tcPr>
            <w:tcW w:w="7128" w:type="dxa"/>
            <w:shd w:val="clear" w:color="auto" w:fill="auto"/>
            <w:vAlign w:val="center"/>
          </w:tcPr>
          <w:p>
            <w:pPr>
              <w:spacing w:line="276" w:lineRule="auto"/>
              <w:jc w:val="both"/>
              <w:rPr>
                <w:rFonts w:ascii="宋体" w:hAnsi="宋体"/>
                <w:color w:val="000000"/>
                <w:lang w:eastAsia="zh-CN"/>
              </w:rPr>
            </w:pPr>
            <w:r>
              <w:rPr>
                <w:rFonts w:ascii="宋体" w:hAnsi="宋体"/>
                <w:color w:val="000000"/>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ascii="宋体" w:hAnsi="宋体"/>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7" w:edGrp="everyone"/>
          </w:p>
        </w:tc>
        <w:tc>
          <w:tcPr>
            <w:tcW w:w="7128" w:type="dxa"/>
            <w:shd w:val="clear" w:color="auto" w:fill="auto"/>
            <w:vAlign w:val="center"/>
          </w:tcPr>
          <w:p>
            <w:pPr>
              <w:spacing w:line="276" w:lineRule="auto"/>
              <w:jc w:val="both"/>
              <w:rPr>
                <w:i/>
                <w:szCs w:val="21"/>
                <w:lang w:eastAsia="zh-CN"/>
              </w:rPr>
            </w:pPr>
            <w:r>
              <w:rPr>
                <w:rFonts w:hint="eastAsia" w:ascii="宋体" w:hAnsi="宋体"/>
                <w:color w:val="000000"/>
                <w:lang w:eastAsia="zh-CN"/>
              </w:rPr>
              <w:t>验证包括但不限于验证计划、SAT、IQ、OQ文件与服务，供应商必须派出具备该类系统验证经验，且熟悉验证相关文件编写及验证工作实施的验证工程师开展验证工作。</w:t>
            </w:r>
            <w:r>
              <w:rPr>
                <w:rFonts w:hint="eastAsia" w:ascii="宋体" w:hAnsi="宋体"/>
                <w:color w:val="000000"/>
              </w:rPr>
              <w:t>供应商协助完成PQ。</w:t>
            </w:r>
          </w:p>
        </w:tc>
        <w:tc>
          <w:tcPr>
            <w:tcW w:w="2125" w:type="dxa"/>
            <w:shd w:val="clear" w:color="auto" w:fill="auto"/>
            <w:vAlign w:val="center"/>
          </w:tcPr>
          <w:p>
            <w:pPr>
              <w:jc w:val="both"/>
              <w:rPr>
                <w:szCs w:val="21"/>
                <w:lang w:eastAsia="zh-CN"/>
              </w:rPr>
            </w:pPr>
            <w:r>
              <w:rPr>
                <w:rFonts w:hint="eastAsia" w:ascii="宋体" w:hAnsi="宋体"/>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8"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投标方按GMP规范及GAMP5要求完成上述所有验证工作，各验证工作开始前验证方案需经过本公司相关部门审核，并经质量保证部批准。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ascii="宋体" w:hAnsi="宋体"/>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39"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设备保质期从确认验收的阶段就开始计算。</w:t>
            </w:r>
            <w:r>
              <w:rPr>
                <w:rFonts w:hint="eastAsia" w:ascii="宋体" w:hAnsi="宋体"/>
              </w:rPr>
              <w:t>维护维保周期。</w:t>
            </w:r>
          </w:p>
        </w:tc>
        <w:tc>
          <w:tcPr>
            <w:tcW w:w="2125" w:type="dxa"/>
            <w:shd w:val="clear" w:color="auto" w:fill="auto"/>
            <w:vAlign w:val="center"/>
          </w:tcPr>
          <w:p>
            <w:pPr>
              <w:jc w:val="both"/>
              <w:rPr>
                <w:szCs w:val="21"/>
                <w:lang w:eastAsia="zh-CN"/>
              </w:rPr>
            </w:pPr>
            <w:r>
              <w:rPr>
                <w:rFonts w:hint="eastAsia" w:ascii="宋体" w:hAnsi="宋体"/>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40"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售后服务必须响应及时，要求设备出现须厂家维修的故障后，应在</w:t>
            </w:r>
            <w:r>
              <w:rPr>
                <w:rFonts w:hint="eastAsia"/>
                <w:lang w:eastAsia="zh-CN"/>
              </w:rPr>
              <w:t>4</w:t>
            </w:r>
            <w:r>
              <w:rPr>
                <w:rFonts w:hint="eastAsia" w:ascii="宋体" w:hAnsi="宋体"/>
                <w:lang w:eastAsia="zh-CN"/>
              </w:rPr>
              <w:t>小时内明确答复，当电话沟通无法解决时，须</w:t>
            </w:r>
            <w:r>
              <w:rPr>
                <w:rFonts w:hint="eastAsia"/>
                <w:lang w:eastAsia="zh-CN"/>
              </w:rPr>
              <w:t>24</w:t>
            </w:r>
            <w:r>
              <w:rPr>
                <w:rFonts w:hint="eastAsia" w:ascii="宋体" w:hAnsi="宋体"/>
                <w:lang w:eastAsia="zh-CN"/>
              </w:rPr>
              <w:t>小时内派人至现场解决。</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冻干机生产商需具备</w:t>
            </w:r>
            <w:r>
              <w:rPr>
                <w:rFonts w:hint="eastAsia"/>
                <w:lang w:eastAsia="zh-CN"/>
              </w:rPr>
              <w:t>20</w:t>
            </w:r>
            <w:r>
              <w:rPr>
                <w:rFonts w:hint="eastAsia" w:ascii="宋体" w:hAnsi="宋体"/>
                <w:lang w:eastAsia="zh-CN"/>
              </w:rPr>
              <w:t>年及以上冻干机生产经验和资质，保证十五年内能采购到所供货物的相关配件，并保证不高于市场价格</w:t>
            </w:r>
          </w:p>
        </w:tc>
        <w:tc>
          <w:tcPr>
            <w:tcW w:w="2125" w:type="dxa"/>
            <w:shd w:val="clear" w:color="auto" w:fill="auto"/>
            <w:vAlign w:val="center"/>
          </w:tcPr>
          <w:p>
            <w:pPr>
              <w:jc w:val="both"/>
              <w:rPr>
                <w:szCs w:val="21"/>
                <w:lang w:eastAsia="zh-CN"/>
              </w:rPr>
            </w:pPr>
            <w:r>
              <w:rPr>
                <w:rFonts w:hint="eastAsia" w:ascii="宋体" w:hAnsi="宋体"/>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售后服务人员应有生产厂家出具的资质证书</w:t>
            </w:r>
          </w:p>
        </w:tc>
        <w:tc>
          <w:tcPr>
            <w:tcW w:w="2125" w:type="dxa"/>
            <w:shd w:val="clear" w:color="auto" w:fill="auto"/>
            <w:vAlign w:val="center"/>
          </w:tcPr>
          <w:p>
            <w:pPr>
              <w:jc w:val="both"/>
              <w:rPr>
                <w:szCs w:val="21"/>
                <w:lang w:eastAsia="zh-CN"/>
              </w:rPr>
            </w:pPr>
            <w:r>
              <w:rPr>
                <w:rFonts w:hint="eastAsia" w:ascii="宋体" w:hAnsi="宋体"/>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ascii="宋体" w:hAnsi="宋体"/>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41"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ascii="宋体" w:hAnsi="宋体"/>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供应商进厂安装需遵守安全和施工规定。</w:t>
            </w:r>
          </w:p>
        </w:tc>
        <w:tc>
          <w:tcPr>
            <w:tcW w:w="2125" w:type="dxa"/>
            <w:shd w:val="clear" w:color="auto" w:fill="auto"/>
            <w:vAlign w:val="center"/>
          </w:tcPr>
          <w:p>
            <w:pPr>
              <w:jc w:val="both"/>
              <w:rPr>
                <w:szCs w:val="21"/>
                <w:lang w:eastAsia="zh-CN"/>
              </w:rPr>
            </w:pPr>
            <w:r>
              <w:rPr>
                <w:rFonts w:hint="eastAsia" w:ascii="宋体" w:hAnsi="宋体"/>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确认试车验收合格后，买卖双方签订验收报告。</w:t>
            </w:r>
          </w:p>
        </w:tc>
        <w:tc>
          <w:tcPr>
            <w:tcW w:w="2125" w:type="dxa"/>
            <w:shd w:val="clear" w:color="auto" w:fill="auto"/>
            <w:vAlign w:val="center"/>
          </w:tcPr>
          <w:p>
            <w:pPr>
              <w:jc w:val="both"/>
              <w:rPr>
                <w:szCs w:val="21"/>
                <w:lang w:eastAsia="zh-CN"/>
              </w:rPr>
            </w:pPr>
            <w:r>
              <w:rPr>
                <w:rFonts w:hint="eastAsia" w:ascii="宋体" w:hAnsi="宋体"/>
              </w:rPr>
              <w:t>关键</w:t>
            </w:r>
          </w:p>
        </w:tc>
      </w:tr>
      <w:permEnd w:id="42"/>
    </w:tbl>
    <w:p/>
    <w:p>
      <w:pPr>
        <w:pStyle w:val="31"/>
        <w:numPr>
          <w:ilvl w:val="0"/>
          <w:numId w:val="3"/>
        </w:numPr>
      </w:pPr>
      <w:bookmarkStart w:id="46" w:name="_Toc522107746"/>
      <w:bookmarkStart w:id="47" w:name="_Toc522716126"/>
      <w: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425"/>
        <w:jc w:val="left"/>
        <w:rPr>
          <w:color w:val="000000"/>
          <w:sz w:val="24"/>
          <w:lang w:eastAsia="zh-CN"/>
        </w:rPr>
      </w:pPr>
      <w:permStart w:id="43" w:edGrp="everyone"/>
      <w:r>
        <w:rPr>
          <w:rFonts w:hint="eastAsia" w:ascii="宋体" w:hAnsi="宋体"/>
          <w:color w:val="000000"/>
        </w:rPr>
        <w:t>不适用</w:t>
      </w:r>
      <w:permEnd w:id="43"/>
    </w:p>
    <w:p>
      <w:pPr>
        <w:pStyle w:val="41"/>
        <w:spacing w:before="0" w:line="360" w:lineRule="auto"/>
        <w:ind w:left="357"/>
        <w:jc w:val="left"/>
        <w:rPr>
          <w:color w:val="4472C4"/>
          <w:szCs w:val="21"/>
          <w:lang w:eastAsia="zh-CN"/>
        </w:rPr>
      </w:pPr>
    </w:p>
    <w:sectPr>
      <w:footerReference r:id="rId3" w:type="default"/>
      <w:pgSz w:w="11907" w:h="16840"/>
      <w:pgMar w:top="1134" w:right="850" w:bottom="1134" w:left="850"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5"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0312F30"/>
    <w:multiLevelType w:val="multilevel"/>
    <w:tmpl w:val="20312F3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7"/>
  </w:num>
  <w:num w:numId="4">
    <w:abstractNumId w:val="10"/>
  </w:num>
  <w:num w:numId="5">
    <w:abstractNumId w:val="5"/>
  </w:num>
  <w:num w:numId="6">
    <w:abstractNumId w:val="0"/>
  </w:num>
  <w:num w:numId="7">
    <w:abstractNumId w:val="4"/>
  </w:num>
  <w:num w:numId="8">
    <w:abstractNumId w:val="3"/>
  </w:num>
  <w:num w:numId="9">
    <w:abstractNumId w:val="9"/>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MmYxYjE0NGI3MTYyYjE3MTBhYjYxYzVhOWEzNW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3F91"/>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E52"/>
    <w:rsid w:val="002B480A"/>
    <w:rsid w:val="002B67A2"/>
    <w:rsid w:val="002B6854"/>
    <w:rsid w:val="002C1817"/>
    <w:rsid w:val="002C1DAB"/>
    <w:rsid w:val="002C4FCF"/>
    <w:rsid w:val="002C527C"/>
    <w:rsid w:val="002C5AC7"/>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33C"/>
    <w:rsid w:val="006366CC"/>
    <w:rsid w:val="00637C16"/>
    <w:rsid w:val="0064048E"/>
    <w:rsid w:val="00641320"/>
    <w:rsid w:val="00641E74"/>
    <w:rsid w:val="006426EF"/>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C14"/>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4F18"/>
    <w:rsid w:val="00E51372"/>
    <w:rsid w:val="00E51CAF"/>
    <w:rsid w:val="00E51E95"/>
    <w:rsid w:val="00E51F9D"/>
    <w:rsid w:val="00E5202F"/>
    <w:rsid w:val="00E5211A"/>
    <w:rsid w:val="00E53A9F"/>
    <w:rsid w:val="00E53C5D"/>
    <w:rsid w:val="00E549AF"/>
    <w:rsid w:val="00E60540"/>
    <w:rsid w:val="00E61C74"/>
    <w:rsid w:val="00E63D8F"/>
    <w:rsid w:val="00E646F3"/>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EE01AE4"/>
    <w:rsid w:val="30D95F31"/>
    <w:rsid w:val="31EF213F"/>
    <w:rsid w:val="4150677B"/>
    <w:rsid w:val="47633B0E"/>
    <w:rsid w:val="663E09C5"/>
    <w:rsid w:val="6E580005"/>
    <w:rsid w:val="70DB66DA"/>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spacing w:line="276" w:lineRule="auto"/>
      <w:jc w:val="both"/>
    </w:pPr>
    <w:rPr>
      <w:color w:val="000000" w:themeColor="text1"/>
      <w:lang w:eastAsia="zh-CN"/>
      <w14:textFill>
        <w14:solidFill>
          <w14:schemeClr w14:val="tx1"/>
        </w14:solidFill>
      </w14:textFill>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ind w:right="34" w:rightChars="16"/>
      <w:jc w:val="center"/>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55C17-7D43-4D9E-866A-B6E8F6CF94ED}">
  <ds:schemaRefs/>
</ds:datastoreItem>
</file>

<file path=docProps/app.xml><?xml version="1.0" encoding="utf-8"?>
<Properties xmlns="http://schemas.openxmlformats.org/officeDocument/2006/extended-properties" xmlns:vt="http://schemas.openxmlformats.org/officeDocument/2006/docPropsVTypes">
  <Template>Normal</Template>
  <Pages>12</Pages>
  <Words>4171</Words>
  <Characters>4435</Characters>
  <Lines>41</Lines>
  <Paragraphs>11</Paragraphs>
  <TotalTime>3</TotalTime>
  <ScaleCrop>false</ScaleCrop>
  <LinksUpToDate>false</LinksUpToDate>
  <CharactersWithSpaces>4495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2025-07-16T02:14:00Z</dcterms:created>
  <dc:creator>Lilly</dc:creator>
  <cp:lastModifiedBy>汪洋</cp:lastModifiedBy>
  <cp:lastPrinted>2025-07-18T01:08:00Z</cp:lastPrinted>
  <dcterms:modified xsi:type="dcterms:W3CDTF">2025-07-22T01:01:00Z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67A63B4BB2D64801BD755596F5D1AB37_13</vt:lpwstr>
  </property>
  <property fmtid="{D5CDD505-2E9C-101B-9397-08002B2CF9AE}" pid="4" name="KSOTemplateDocerSaveRecord">
    <vt:lpwstr>eyJoZGlkIjoiYWE0YzViNmE3NGI2M2U0ZmIxN2Y4NGQyNzU4NzVkYjMiLCJ1c2VySWQiOiIyMTEyMDkxOTIifQ==</vt:lpwstr>
  </property>
</Properties>
</file>