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4532399"/>
      <w:bookmarkStart w:id="3" w:name="_Toc483666358"/>
      <w:bookmarkStart w:id="4" w:name="_Toc483400307"/>
    </w:p>
    <w:p>
      <w:pPr>
        <w:spacing w:afterLines="50"/>
        <w:jc w:val="center"/>
        <w:rPr>
          <w:b/>
          <w:szCs w:val="21"/>
          <w:lang w:eastAsia="zh-CN"/>
        </w:rPr>
      </w:pPr>
      <w:r>
        <w:rPr>
          <w:rFonts w:hint="eastAsia"/>
          <w:b/>
          <w:sz w:val="28"/>
          <w:szCs w:val="28"/>
          <w:lang w:val="en-US" w:eastAsia="zh-CN"/>
        </w:rPr>
        <w:t>气溶胶发生器（热发烟）及光度计</w:t>
      </w:r>
      <w:r>
        <w:rPr>
          <w:b/>
          <w:sz w:val="28"/>
          <w:szCs w:val="28"/>
          <w:lang w:eastAsia="zh-CN"/>
        </w:rPr>
        <w:t>用户需求说明（URS</w:t>
      </w:r>
      <w:r>
        <w:rPr>
          <w:b/>
          <w:szCs w:val="21"/>
          <w:lang w:eastAsia="zh-CN"/>
        </w:rPr>
        <w:t>）</w:t>
      </w:r>
      <w:bookmarkEnd w:id="0"/>
      <w:bookmarkEnd w:id="1"/>
      <w:bookmarkEnd w:id="2"/>
      <w:bookmarkEnd w:id="3"/>
      <w:bookmarkEnd w:id="4"/>
    </w:p>
    <w:p>
      <w:pPr>
        <w:spacing w:afterLines="50"/>
        <w:rPr>
          <w:b/>
          <w:szCs w:val="21"/>
          <w:lang w:eastAsia="zh-CN"/>
        </w:rPr>
      </w:pPr>
    </w:p>
    <w:p>
      <w:pPr>
        <w:pStyle w:val="36"/>
        <w:keepNext w:val="0"/>
        <w:keepLines w:val="0"/>
        <w:widowControl w:val="0"/>
        <w:spacing w:afterLines="50" w:line="240" w:lineRule="auto"/>
        <w:rPr>
          <w:sz w:val="21"/>
          <w:szCs w:val="21"/>
          <w:lang w:eastAsia="zh-CN"/>
        </w:rPr>
      </w:pPr>
    </w:p>
    <w:p>
      <w:pPr>
        <w:pStyle w:val="36"/>
        <w:keepNext w:val="0"/>
        <w:keepLines w:val="0"/>
        <w:widowControl w:val="0"/>
        <w:spacing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0"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6"/>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6"/>
        </w:rPr>
        <w:t>1</w:t>
      </w:r>
      <w:r>
        <w:rPr>
          <w:b w:val="0"/>
          <w:bCs w:val="0"/>
          <w:caps w:val="0"/>
          <w:szCs w:val="22"/>
        </w:rPr>
        <w:tab/>
      </w:r>
      <w:r>
        <w:rPr>
          <w:rStyle w:val="26"/>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6"/>
        </w:rPr>
        <w:t>2</w:t>
      </w:r>
      <w:r>
        <w:rPr>
          <w:b w:val="0"/>
          <w:bCs w:val="0"/>
          <w:caps w:val="0"/>
          <w:szCs w:val="22"/>
        </w:rPr>
        <w:tab/>
      </w:r>
      <w:r>
        <w:rPr>
          <w:rStyle w:val="26"/>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6"/>
        </w:rPr>
        <w:t>3</w:t>
      </w:r>
      <w:r>
        <w:rPr>
          <w:b w:val="0"/>
          <w:bCs w:val="0"/>
          <w:caps w:val="0"/>
          <w:szCs w:val="22"/>
        </w:rPr>
        <w:tab/>
      </w:r>
      <w:r>
        <w:rPr>
          <w:rStyle w:val="26"/>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6"/>
        </w:rPr>
        <w:t>4</w:t>
      </w:r>
      <w:r>
        <w:rPr>
          <w:b w:val="0"/>
          <w:bCs w:val="0"/>
          <w:caps w:val="0"/>
          <w:szCs w:val="22"/>
        </w:rPr>
        <w:tab/>
      </w:r>
      <w:r>
        <w:rPr>
          <w:rStyle w:val="26"/>
        </w:rPr>
        <w:t>职责</w:t>
      </w:r>
      <w:r>
        <w:tab/>
      </w:r>
      <w:r>
        <w:fldChar w:fldCharType="begin"/>
      </w:r>
      <w:r>
        <w:instrText xml:space="preserve"> PAGEREF _Toc522716118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6"/>
        </w:rPr>
        <w:t>5</w:t>
      </w:r>
      <w:r>
        <w:rPr>
          <w:b w:val="0"/>
          <w:bCs w:val="0"/>
          <w:caps w:val="0"/>
          <w:szCs w:val="22"/>
        </w:rPr>
        <w:tab/>
      </w:r>
      <w:r>
        <w:rPr>
          <w:rStyle w:val="26"/>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6"/>
        </w:rPr>
        <w:t>6</w:t>
      </w:r>
      <w:r>
        <w:rPr>
          <w:b w:val="0"/>
          <w:bCs w:val="0"/>
          <w:caps w:val="0"/>
          <w:szCs w:val="22"/>
        </w:rPr>
        <w:tab/>
      </w:r>
      <w:r>
        <w:rPr>
          <w:rStyle w:val="26"/>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6"/>
        </w:rPr>
        <w:t>7</w:t>
      </w:r>
      <w:r>
        <w:rPr>
          <w:b w:val="0"/>
          <w:bCs w:val="0"/>
          <w:caps w:val="0"/>
          <w:szCs w:val="22"/>
        </w:rPr>
        <w:tab/>
      </w:r>
      <w:r>
        <w:rPr>
          <w:rStyle w:val="26"/>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6"/>
        </w:rPr>
        <w:t>8</w:t>
      </w:r>
      <w:r>
        <w:rPr>
          <w:b w:val="0"/>
          <w:bCs w:val="0"/>
          <w:caps w:val="0"/>
          <w:szCs w:val="22"/>
        </w:rPr>
        <w:tab/>
      </w:r>
      <w:r>
        <w:rPr>
          <w:rStyle w:val="26"/>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6"/>
        </w:rPr>
        <w:t>9</w:t>
      </w:r>
      <w:r>
        <w:rPr>
          <w:b w:val="0"/>
          <w:bCs w:val="0"/>
          <w:caps w:val="0"/>
          <w:szCs w:val="22"/>
        </w:rPr>
        <w:tab/>
      </w:r>
      <w:r>
        <w:rPr>
          <w:rStyle w:val="26"/>
        </w:rPr>
        <w:t>安全要求</w:t>
      </w:r>
      <w:r>
        <w:tab/>
      </w:r>
      <w:r>
        <w:fldChar w:fldCharType="begin"/>
      </w:r>
      <w:r>
        <w:instrText xml:space="preserve"> PAGEREF _Toc522716123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6"/>
        </w:rPr>
        <w:t>10</w:t>
      </w:r>
      <w:r>
        <w:rPr>
          <w:b w:val="0"/>
          <w:bCs w:val="0"/>
          <w:caps w:val="0"/>
          <w:szCs w:val="22"/>
        </w:rPr>
        <w:tab/>
      </w:r>
      <w:r>
        <w:rPr>
          <w:rStyle w:val="26"/>
        </w:rPr>
        <w:t>文件要求</w:t>
      </w:r>
      <w:r>
        <w:tab/>
      </w:r>
      <w:r>
        <w:fldChar w:fldCharType="begin"/>
      </w:r>
      <w:r>
        <w:instrText xml:space="preserve"> PAGEREF _Toc522716124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6"/>
        </w:rPr>
        <w:t>11</w:t>
      </w:r>
      <w:r>
        <w:rPr>
          <w:b w:val="0"/>
          <w:bCs w:val="0"/>
          <w:caps w:val="0"/>
          <w:szCs w:val="22"/>
        </w:rPr>
        <w:tab/>
      </w:r>
      <w:r>
        <w:rPr>
          <w:rStyle w:val="26"/>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6"/>
        </w:rPr>
        <w:t>12</w:t>
      </w:r>
      <w:r>
        <w:rPr>
          <w:b w:val="0"/>
          <w:bCs w:val="0"/>
          <w:caps w:val="0"/>
          <w:szCs w:val="22"/>
        </w:rPr>
        <w:tab/>
      </w:r>
      <w:r>
        <w:rPr>
          <w:rStyle w:val="26"/>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0"/>
    </w:p>
    <w:p>
      <w:pPr>
        <w:rPr>
          <w:b/>
          <w:bCs/>
          <w:caps/>
          <w:kern w:val="2"/>
          <w:szCs w:val="21"/>
          <w:lang w:eastAsia="zh-CN"/>
        </w:rPr>
      </w:pPr>
      <w:r>
        <w:rPr>
          <w:b/>
          <w:bCs/>
          <w:caps/>
          <w:kern w:val="2"/>
          <w:szCs w:val="21"/>
          <w:lang w:eastAsia="zh-CN"/>
        </w:rPr>
        <w:br w:type="page"/>
      </w:r>
    </w:p>
    <w:p>
      <w:pPr>
        <w:pStyle w:val="34"/>
        <w:numPr>
          <w:ilvl w:val="0"/>
          <w:numId w:val="3"/>
        </w:numPr>
        <w:spacing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4"/>
        <w:spacing w:before="0" w:line="360" w:lineRule="auto"/>
        <w:ind w:left="357"/>
        <w:jc w:val="left"/>
        <w:rPr>
          <w:szCs w:val="21"/>
          <w:lang w:eastAsia="zh-CN"/>
        </w:rPr>
      </w:pPr>
      <w:bookmarkStart w:id="7" w:name="_Toc482625279"/>
      <w:bookmarkStart w:id="8" w:name="_Toc482360281"/>
      <w:bookmarkStart w:id="9" w:name="_Toc482370757"/>
      <w:bookmarkStart w:id="10" w:name="_Toc482370141"/>
      <w:bookmarkStart w:id="11" w:name="_Toc481702475"/>
      <w:bookmarkStart w:id="12" w:name="_Toc482370349"/>
      <w:bookmarkStart w:id="13" w:name="_Toc482370061"/>
      <w:bookmarkStart w:id="14" w:name="_Toc482359936"/>
      <w:bookmarkStart w:id="15" w:name="_Toc482369805"/>
      <w:r>
        <w:rPr>
          <w:szCs w:val="21"/>
          <w:lang w:eastAsia="zh-CN"/>
        </w:rPr>
        <w:t>本文件的目的是描述武汉生物制品研究所有限责任公司</w:t>
      </w:r>
      <w:r>
        <w:rPr>
          <w:rFonts w:hint="eastAsia"/>
          <w:szCs w:val="21"/>
          <w:lang w:val="en-US" w:eastAsia="zh-CN"/>
        </w:rPr>
        <w:t>工程技术部气溶胶发生器（热发烟）及光度计</w:t>
      </w:r>
      <w:r>
        <w:rPr>
          <w:szCs w:val="21"/>
          <w:lang w:eastAsia="zh-CN"/>
        </w:rPr>
        <w:t>的用户需求说明（URS），以确保最终用户的需求在项目设计阶段得以实现，并作为后续验证工作的基础。</w:t>
      </w:r>
    </w:p>
    <w:p>
      <w:pPr>
        <w:pStyle w:val="44"/>
        <w:spacing w:before="0"/>
        <w:ind w:left="360"/>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4"/>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val="en-US" w:eastAsia="zh-CN"/>
        </w:rPr>
        <w:t>工程技术部气溶胶发生器（热发烟）及光度计</w:t>
      </w:r>
      <w:r>
        <w:rPr>
          <w:szCs w:val="21"/>
          <w:lang w:eastAsia="zh-CN"/>
        </w:rPr>
        <w:t>。</w:t>
      </w:r>
      <w:bookmarkEnd w:id="7"/>
      <w:bookmarkEnd w:id="8"/>
      <w:bookmarkEnd w:id="9"/>
      <w:bookmarkEnd w:id="10"/>
      <w:bookmarkEnd w:id="11"/>
      <w:bookmarkEnd w:id="12"/>
      <w:bookmarkEnd w:id="13"/>
      <w:bookmarkEnd w:id="14"/>
      <w:bookmarkEnd w:id="15"/>
    </w:p>
    <w:p>
      <w:pPr>
        <w:pStyle w:val="44"/>
        <w:spacing w:before="0" w:line="360" w:lineRule="auto"/>
        <w:ind w:left="357"/>
        <w:jc w:val="left"/>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44"/>
        <w:numPr>
          <w:ilvl w:val="0"/>
          <w:numId w:val="4"/>
        </w:numPr>
        <w:spacing w:before="0" w:line="360" w:lineRule="auto"/>
        <w:jc w:val="left"/>
        <w:rPr>
          <w:color w:val="000000"/>
          <w:szCs w:val="21"/>
          <w:lang w:eastAsia="zh-CN"/>
        </w:rPr>
      </w:pPr>
      <w:r>
        <w:rPr>
          <w:color w:val="000000"/>
          <w:szCs w:val="21"/>
          <w:lang w:eastAsia="zh-CN"/>
        </w:rPr>
        <w:t>GMP法规指南和SOP</w:t>
      </w:r>
    </w:p>
    <w:p>
      <w:pPr>
        <w:pStyle w:val="4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4"/>
        <w:numPr>
          <w:ilvl w:val="0"/>
          <w:numId w:val="5"/>
        </w:numPr>
        <w:spacing w:before="0" w:line="360" w:lineRule="auto"/>
        <w:ind w:left="777"/>
        <w:jc w:val="left"/>
        <w:rPr>
          <w:i/>
          <w:color w:val="4472C4"/>
          <w:szCs w:val="21"/>
          <w:lang w:eastAsia="zh-CN"/>
        </w:rPr>
      </w:pPr>
      <w:permStart w:id="1" w:edGrp="everyone"/>
      <w:r>
        <w:rPr>
          <w:rFonts w:hint="eastAsia"/>
          <w:szCs w:val="21"/>
          <w:lang w:eastAsia="zh-CN"/>
        </w:rPr>
        <w:t>《药品生产质量管理规范》（</w:t>
      </w:r>
      <w:r>
        <w:rPr>
          <w:rFonts w:hint="eastAsia"/>
          <w:szCs w:val="21"/>
          <w:lang w:val="en-US" w:eastAsia="zh-CN"/>
        </w:rPr>
        <w:t>2021年修订版</w:t>
      </w:r>
      <w:r>
        <w:rPr>
          <w:rFonts w:hint="eastAsia"/>
          <w:szCs w:val="21"/>
          <w:lang w:eastAsia="zh-CN"/>
        </w:rPr>
        <w:t>）及附录</w:t>
      </w:r>
    </w:p>
    <w:p>
      <w:pPr>
        <w:pStyle w:val="44"/>
        <w:numPr>
          <w:ilvl w:val="0"/>
          <w:numId w:val="5"/>
        </w:numPr>
        <w:spacing w:before="0" w:line="360" w:lineRule="auto"/>
        <w:ind w:left="777"/>
        <w:jc w:val="left"/>
        <w:rPr>
          <w:i/>
          <w:color w:val="4472C4"/>
          <w:szCs w:val="21"/>
          <w:lang w:eastAsia="zh-CN"/>
        </w:rPr>
      </w:pPr>
      <w:r>
        <w:rPr>
          <w:rFonts w:hint="eastAsia"/>
        </w:rPr>
        <w:t>《ISO 14644洁净室及相关受控环境》</w:t>
      </w:r>
      <w:r>
        <w:rPr>
          <w:rFonts w:hint="eastAsia"/>
          <w:lang w:val="en-US" w:eastAsia="zh-CN"/>
        </w:rPr>
        <w:t>2025.12.15</w:t>
      </w:r>
    </w:p>
    <w:p>
      <w:pPr>
        <w:pStyle w:val="44"/>
        <w:numPr>
          <w:ilvl w:val="0"/>
          <w:numId w:val="5"/>
        </w:numPr>
        <w:spacing w:before="0" w:line="360" w:lineRule="auto"/>
        <w:ind w:left="777"/>
        <w:jc w:val="left"/>
        <w:rPr>
          <w:szCs w:val="21"/>
          <w:lang w:eastAsia="zh-CN"/>
        </w:rPr>
      </w:pPr>
      <w:r>
        <w:rPr>
          <w:rFonts w:hint="eastAsia"/>
          <w:szCs w:val="21"/>
          <w:lang w:eastAsia="zh-CN"/>
        </w:rPr>
        <w:t>《欧盟：药品生产质量管理规范》第5版</w:t>
      </w:r>
    </w:p>
    <w:p>
      <w:pPr>
        <w:pStyle w:val="44"/>
        <w:numPr>
          <w:ilvl w:val="0"/>
          <w:numId w:val="5"/>
        </w:numPr>
        <w:spacing w:before="0" w:line="360" w:lineRule="auto"/>
        <w:ind w:left="777"/>
        <w:jc w:val="left"/>
        <w:rPr>
          <w:i/>
          <w:color w:val="4472C4"/>
          <w:szCs w:val="21"/>
          <w:lang w:eastAsia="zh-CN"/>
        </w:rPr>
      </w:pPr>
      <w:r>
        <w:rPr>
          <w:rFonts w:hint="eastAsia"/>
        </w:rPr>
        <w:t>《高效空气过滤器》（</w:t>
      </w:r>
      <w:r>
        <w:t>GB</w:t>
      </w:r>
      <w:r>
        <w:rPr>
          <w:rFonts w:hint="eastAsia"/>
        </w:rPr>
        <w:t>/</w:t>
      </w:r>
      <w:r>
        <w:t>T 13554-20</w:t>
      </w:r>
      <w:r>
        <w:rPr>
          <w:rFonts w:hint="eastAsia"/>
        </w:rPr>
        <w:t>20）</w:t>
      </w:r>
    </w:p>
    <w:p>
      <w:pPr>
        <w:pStyle w:val="44"/>
        <w:numPr>
          <w:ilvl w:val="0"/>
          <w:numId w:val="5"/>
        </w:numPr>
        <w:spacing w:before="0" w:line="360" w:lineRule="auto"/>
        <w:ind w:left="777"/>
        <w:jc w:val="left"/>
        <w:rPr>
          <w:i/>
          <w:color w:val="4472C4"/>
          <w:szCs w:val="21"/>
          <w:lang w:eastAsia="zh-CN"/>
        </w:rPr>
      </w:pPr>
      <w:r>
        <w:rPr>
          <w:rFonts w:hint="eastAsia"/>
        </w:rPr>
        <w:t>《高效空气过滤器性能试验方法效率和阻力》（</w:t>
      </w:r>
      <w:r>
        <w:t>GB</w:t>
      </w:r>
      <w:r>
        <w:rPr>
          <w:rFonts w:hint="eastAsia"/>
        </w:rPr>
        <w:t>/</w:t>
      </w:r>
      <w:r>
        <w:t>T 6165-20</w:t>
      </w:r>
      <w:r>
        <w:rPr>
          <w:rFonts w:hint="eastAsia"/>
        </w:rPr>
        <w:t>21）</w:t>
      </w:r>
    </w:p>
    <w:p>
      <w:pPr>
        <w:pStyle w:val="44"/>
        <w:numPr>
          <w:ilvl w:val="0"/>
          <w:numId w:val="5"/>
        </w:numPr>
        <w:spacing w:before="0" w:line="360" w:lineRule="auto"/>
        <w:ind w:left="777"/>
        <w:jc w:val="left"/>
        <w:rPr>
          <w:i/>
          <w:color w:val="4472C4"/>
          <w:szCs w:val="21"/>
          <w:lang w:eastAsia="zh-CN"/>
        </w:rPr>
      </w:pPr>
      <w:r>
        <w:rPr>
          <w:rFonts w:hint="eastAsia"/>
          <w:lang w:val="en-GB"/>
        </w:rPr>
        <w:t>《职业健康安全管理体系要求及使用指南》ISO45001：2018</w:t>
      </w:r>
    </w:p>
    <w:p>
      <w:pPr>
        <w:pStyle w:val="44"/>
        <w:numPr>
          <w:ilvl w:val="0"/>
          <w:numId w:val="5"/>
        </w:numPr>
        <w:spacing w:before="0" w:line="360" w:lineRule="auto"/>
        <w:ind w:left="777"/>
        <w:jc w:val="left"/>
        <w:rPr>
          <w:i/>
          <w:color w:val="4472C4"/>
          <w:szCs w:val="21"/>
          <w:lang w:eastAsia="zh-CN"/>
        </w:rPr>
      </w:pPr>
      <w:r>
        <w:rPr>
          <w:rFonts w:hint="eastAsia"/>
          <w:lang w:val="en-GB"/>
        </w:rPr>
        <w:t>《通风与空调工程施工质量验收规范》（GB 500243-2016）</w:t>
      </w:r>
    </w:p>
    <w:p>
      <w:pPr>
        <w:pStyle w:val="44"/>
        <w:numPr>
          <w:ilvl w:val="0"/>
          <w:numId w:val="5"/>
        </w:numPr>
        <w:spacing w:before="0" w:line="360" w:lineRule="auto"/>
        <w:ind w:left="777"/>
        <w:jc w:val="left"/>
        <w:rPr>
          <w:i/>
          <w:color w:val="4472C4"/>
          <w:szCs w:val="21"/>
          <w:lang w:eastAsia="zh-CN"/>
        </w:rPr>
      </w:pPr>
      <w:r>
        <w:rPr>
          <w:rFonts w:hint="eastAsia"/>
          <w:kern w:val="0"/>
          <w:lang w:bidi="ar"/>
        </w:rPr>
        <w:t>《</w:t>
      </w:r>
      <w:r>
        <w:rPr>
          <w:kern w:val="0"/>
          <w:lang w:bidi="ar"/>
        </w:rPr>
        <w:t>FDA 21 CFR Part 11</w:t>
      </w:r>
      <w:r>
        <w:rPr>
          <w:rFonts w:hint="eastAsia"/>
          <w:kern w:val="0"/>
          <w:lang w:bidi="ar"/>
        </w:rPr>
        <w:t>》（美国</w:t>
      </w:r>
      <w:r>
        <w:t>《联邦法规21章》第11款</w:t>
      </w:r>
      <w:r>
        <w:rPr>
          <w:rFonts w:hint="eastAsia"/>
          <w:kern w:val="0"/>
          <w:lang w:bidi="ar"/>
        </w:rPr>
        <w:t>）</w:t>
      </w:r>
    </w:p>
    <w:permEnd w:id="1"/>
    <w:p>
      <w:pPr>
        <w:pStyle w:val="4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4"/>
        <w:numPr>
          <w:ilvl w:val="0"/>
          <w:numId w:val="5"/>
        </w:numPr>
        <w:spacing w:before="0" w:line="360" w:lineRule="auto"/>
        <w:ind w:left="777"/>
        <w:jc w:val="left"/>
        <w:rPr>
          <w:i/>
          <w:color w:val="0070C0"/>
          <w:szCs w:val="21"/>
          <w:lang w:eastAsia="zh-CN"/>
        </w:rPr>
      </w:pPr>
      <w:permStart w:id="2" w:edGrp="everyone"/>
      <w:r>
        <w:rPr>
          <w:rFonts w:hint="eastAsia" w:ascii="宋体" w:hAnsi="宋体"/>
          <w:color w:val="000000"/>
          <w:sz w:val="21"/>
          <w:szCs w:val="21"/>
          <w:lang w:eastAsia="zh-CN"/>
        </w:rPr>
        <w:t>电气安全应符合《测量、控制和实验室用电气设备的安全要求》</w:t>
      </w:r>
      <w:r>
        <w:rPr>
          <w:rFonts w:hint="default" w:ascii="Times New Roman" w:hAnsi="Times New Roman" w:cs="Times New Roman"/>
          <w:color w:val="000000"/>
          <w:sz w:val="21"/>
          <w:szCs w:val="21"/>
          <w:lang w:eastAsia="zh-CN"/>
        </w:rPr>
        <w:t>（GB4793.1-2007）</w:t>
      </w:r>
    </w:p>
    <w:p>
      <w:pPr>
        <w:pStyle w:val="44"/>
        <w:numPr>
          <w:ilvl w:val="0"/>
          <w:numId w:val="5"/>
        </w:numPr>
        <w:spacing w:before="0" w:line="360" w:lineRule="auto"/>
        <w:ind w:left="777"/>
        <w:jc w:val="left"/>
        <w:rPr>
          <w:i/>
          <w:color w:val="4472C4"/>
          <w:szCs w:val="21"/>
          <w:lang w:eastAsia="zh-CN"/>
        </w:rPr>
      </w:pPr>
      <w:r>
        <w:rPr>
          <w:rFonts w:hint="eastAsia" w:ascii="宋体" w:hAnsi="宋体" w:eastAsia="宋体" w:cs="Times New Roman"/>
          <w:color w:val="000000"/>
          <w:sz w:val="21"/>
          <w:szCs w:val="21"/>
          <w:lang w:eastAsia="zh-CN"/>
        </w:rPr>
        <w:t>《测量、控制和实验室用的电设备 电磁兼容性要求 第1部分：通用要求》</w:t>
      </w:r>
      <w:r>
        <w:rPr>
          <w:rFonts w:hint="default" w:ascii="Times New Roman" w:hAnsi="Times New Roman" w:eastAsia="宋体" w:cs="Times New Roman"/>
          <w:color w:val="000000"/>
          <w:sz w:val="21"/>
          <w:szCs w:val="21"/>
          <w:lang w:eastAsia="zh-CN"/>
        </w:rPr>
        <w:t>（GB/T 18268.1-2010</w:t>
      </w:r>
      <w:r>
        <w:rPr>
          <w:rFonts w:hint="eastAsia" w:ascii="Times New Roman" w:hAnsi="Times New Roman" w:eastAsia="宋体" w:cs="Times New Roman"/>
          <w:color w:val="000000"/>
          <w:sz w:val="21"/>
          <w:szCs w:val="21"/>
          <w:lang w:eastAsia="zh-CN"/>
        </w:rPr>
        <w:t>）</w:t>
      </w:r>
    </w:p>
    <w:p>
      <w:pPr>
        <w:pStyle w:val="44"/>
        <w:numPr>
          <w:ilvl w:val="0"/>
          <w:numId w:val="5"/>
        </w:numPr>
        <w:spacing w:before="0" w:line="360" w:lineRule="auto"/>
        <w:ind w:left="777"/>
        <w:jc w:val="left"/>
        <w:rPr>
          <w:i/>
          <w:color w:val="4472C4"/>
          <w:szCs w:val="21"/>
          <w:lang w:eastAsia="zh-CN"/>
        </w:rPr>
      </w:pPr>
      <w:r>
        <w:rPr>
          <w:rFonts w:hint="eastAsia"/>
          <w:kern w:val="0"/>
          <w:lang w:bidi="ar"/>
        </w:rPr>
        <w:t>《机械电气安全-机械电气设备第一部分：通用技术条件》（GB/T 5226.1-2019）</w:t>
      </w:r>
    </w:p>
    <w:p>
      <w:pPr>
        <w:pStyle w:val="44"/>
        <w:numPr>
          <w:ilvl w:val="0"/>
          <w:numId w:val="5"/>
        </w:numPr>
        <w:spacing w:before="0" w:line="360" w:lineRule="auto"/>
        <w:ind w:left="777"/>
        <w:jc w:val="left"/>
        <w:rPr>
          <w:i/>
          <w:szCs w:val="21"/>
          <w:lang w:eastAsia="zh-CN"/>
        </w:rPr>
      </w:pPr>
      <w:r>
        <w:rPr>
          <w:rFonts w:hint="eastAsia"/>
          <w:kern w:val="0"/>
          <w:lang w:bidi="ar"/>
        </w:rPr>
        <w:t>《机械安全 防护装置 固定式和活动式防护装置的设计与制造一般要求》（GB/T-8196-2018）</w:t>
      </w:r>
    </w:p>
    <w:p>
      <w:pPr>
        <w:pStyle w:val="44"/>
        <w:numPr>
          <w:ilvl w:val="0"/>
          <w:numId w:val="5"/>
        </w:numPr>
        <w:spacing w:before="0" w:line="360" w:lineRule="auto"/>
        <w:ind w:left="777"/>
        <w:jc w:val="left"/>
        <w:rPr>
          <w:i/>
          <w:szCs w:val="21"/>
          <w:lang w:eastAsia="zh-CN"/>
        </w:rPr>
      </w:pPr>
      <w:r>
        <w:rPr>
          <w:rFonts w:hint="eastAsia" w:ascii="宋体" w:hAnsi="宋体" w:eastAsia="宋体" w:cs="Times New Roman"/>
          <w:color w:val="000000"/>
          <w:sz w:val="21"/>
          <w:szCs w:val="21"/>
          <w:lang w:eastAsia="zh-CN"/>
        </w:rPr>
        <w:t>《</w:t>
      </w:r>
      <w:r>
        <w:rPr>
          <w:rFonts w:hint="default" w:ascii="Times New Roman" w:hAnsi="Times New Roman" w:eastAsia="宋体" w:cs="Times New Roman"/>
          <w:color w:val="000000"/>
          <w:sz w:val="21"/>
          <w:szCs w:val="21"/>
          <w:lang w:eastAsia="zh-CN"/>
        </w:rPr>
        <w:t>家用和类似用途电器 安全 第 2-120 部分：产生直接吸入</w:t>
      </w:r>
      <w:r>
        <w:rPr>
          <w:rFonts w:hint="eastAsia" w:ascii="宋体" w:hAnsi="宋体" w:eastAsia="宋体" w:cs="Times New Roman"/>
          <w:color w:val="000000"/>
          <w:sz w:val="21"/>
          <w:szCs w:val="21"/>
          <w:lang w:eastAsia="zh-CN"/>
        </w:rPr>
        <w:t>气溶胶的电器安全的特殊要求》</w:t>
      </w:r>
      <w:r>
        <w:rPr>
          <w:rFonts w:hint="default" w:ascii="Times New Roman" w:hAnsi="Times New Roman" w:eastAsia="宋体" w:cs="Times New Roman"/>
          <w:color w:val="000000"/>
          <w:sz w:val="21"/>
          <w:szCs w:val="21"/>
          <w:lang w:eastAsia="zh-CN"/>
        </w:rPr>
        <w:t>（IEC 60335-2-120:2024</w:t>
      </w:r>
      <w:r>
        <w:rPr>
          <w:rFonts w:hint="eastAsia" w:ascii="Times New Roman" w:hAnsi="Times New Roman" w:eastAsia="宋体" w:cs="Times New Roman"/>
          <w:color w:val="000000"/>
          <w:sz w:val="21"/>
          <w:szCs w:val="21"/>
          <w:lang w:eastAsia="zh-CN"/>
        </w:rPr>
        <w:t>）</w:t>
      </w:r>
    </w:p>
    <w:permEnd w:id="2"/>
    <w:p>
      <w:pPr>
        <w:pStyle w:val="44"/>
        <w:numPr>
          <w:ilvl w:val="0"/>
          <w:numId w:val="0"/>
        </w:numPr>
        <w:overflowPunct/>
        <w:autoSpaceDE/>
        <w:autoSpaceDN/>
        <w:adjustRightInd/>
        <w:spacing w:before="0" w:line="360" w:lineRule="auto"/>
        <w:jc w:val="left"/>
        <w:textAlignment w:val="auto"/>
        <w:rPr>
          <w:rFonts w:hint="eastAsia" w:ascii="Times New Roman" w:hAnsi="Times New Roman" w:eastAsia="宋体" w:cs="Times New Roman"/>
          <w:color w:val="000000"/>
          <w:sz w:val="21"/>
          <w:szCs w:val="21"/>
          <w:lang w:eastAsia="zh-CN"/>
        </w:rPr>
      </w:pPr>
      <w:bookmarkStart w:id="47" w:name="_GoBack"/>
      <w:bookmarkEnd w:id="47"/>
    </w:p>
    <w:p>
      <w:pPr>
        <w:pStyle w:val="34"/>
        <w:numPr>
          <w:ilvl w:val="0"/>
          <w:numId w:val="3"/>
        </w:numPr>
        <w:spacing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44"/>
        <w:numPr>
          <w:ilvl w:val="0"/>
          <w:numId w:val="0"/>
        </w:numPr>
        <w:spacing w:before="0" w:line="360" w:lineRule="auto"/>
        <w:jc w:val="left"/>
        <w:rPr>
          <w:rFonts w:hint="eastAsia" w:ascii="宋体" w:hAnsi="宋体" w:cs="Arial"/>
          <w:szCs w:val="24"/>
          <w:lang w:val="en-US" w:eastAsia="zh-CN"/>
        </w:rPr>
      </w:pPr>
      <w:r>
        <w:rPr>
          <w:rFonts w:hint="default" w:ascii="Times New Roman" w:hAnsi="Times New Roman" w:cs="Times New Roman"/>
          <w:szCs w:val="24"/>
          <w:lang w:val="en-US" w:eastAsia="zh-CN"/>
        </w:rPr>
        <w:t>5.1</w:t>
      </w:r>
      <w:r>
        <w:rPr>
          <w:rFonts w:hint="eastAsia" w:ascii="宋体" w:hAnsi="宋体" w:cs="Arial"/>
          <w:szCs w:val="24"/>
          <w:lang w:val="en-US" w:eastAsia="zh-CN"/>
        </w:rPr>
        <w:t xml:space="preserve"> 仪器工作原理</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0" w:leftChars="0" w:firstLine="420" w:firstLineChars="200"/>
        <w:jc w:val="left"/>
        <w:textAlignment w:val="auto"/>
        <w:rPr>
          <w:rFonts w:hint="eastAsia" w:cs="Times New Roman"/>
          <w:szCs w:val="24"/>
          <w:lang w:val="en-US" w:eastAsia="zh-CN"/>
        </w:rPr>
      </w:pPr>
      <w:r>
        <w:rPr>
          <w:rFonts w:hint="default" w:ascii="Times New Roman" w:hAnsi="Times New Roman" w:cs="Times New Roman"/>
          <w:szCs w:val="24"/>
          <w:lang w:val="en-US" w:eastAsia="zh-CN"/>
        </w:rPr>
        <w:t>气溶胶发生器（热发烟）是将PAO（聚α烯烃）等油性液体注入设备的蓄液装置</w:t>
      </w:r>
      <w:r>
        <w:rPr>
          <w:rFonts w:hint="eastAsia" w:cs="Times New Roman"/>
          <w:szCs w:val="24"/>
          <w:lang w:val="en-US" w:eastAsia="zh-CN"/>
        </w:rPr>
        <w:t>，</w:t>
      </w:r>
      <w:r>
        <w:rPr>
          <w:rFonts w:hint="default" w:ascii="Times New Roman" w:hAnsi="Times New Roman" w:cs="Times New Roman"/>
          <w:szCs w:val="24"/>
          <w:lang w:val="en-US" w:eastAsia="zh-CN"/>
        </w:rPr>
        <w:t>随后设备通过电加热器将液态PAO加热至380℃至400℃的高温，使其迅蒸发为气态</w:t>
      </w:r>
      <w:r>
        <w:rPr>
          <w:rFonts w:hint="eastAsia" w:cs="Times New Roman"/>
          <w:szCs w:val="24"/>
          <w:lang w:val="en-US" w:eastAsia="zh-CN"/>
        </w:rPr>
        <w:t>，气态PAO</w:t>
      </w:r>
      <w:r>
        <w:rPr>
          <w:rFonts w:hint="default" w:ascii="Times New Roman" w:hAnsi="Times New Roman" w:cs="Times New Roman"/>
          <w:szCs w:val="24"/>
          <w:lang w:val="en-US" w:eastAsia="zh-CN"/>
        </w:rPr>
        <w:t>在发生器的特定冷凝段遇到温度相对较低的惰性气体（如氮气、氩气或二氧化碳）。在这个冷凝过程中，气态PAO迅速冷却，凝结成直径约为0.1至0.3微米的微小液滴，从而形成均匀的气溶胶。发生器内部通常设有筛选机制，会去除过大或过小的液滴，确保输出气溶胶粒径的均一性。产生的这些气溶胶微粒随后由惰性气体作为载体，通过管道输送并注入待检测的空调系统或通风管道中，通常位于高效过滤器的上游</w:t>
      </w:r>
      <w:r>
        <w:rPr>
          <w:rFonts w:hint="eastAsia" w:cs="Times New Roman"/>
          <w:szCs w:val="24"/>
          <w:lang w:val="en-US" w:eastAsia="zh-CN"/>
        </w:rPr>
        <w:t>。</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0" w:leftChars="0" w:firstLine="420" w:firstLineChars="200"/>
        <w:jc w:val="left"/>
        <w:textAlignment w:val="auto"/>
        <w:rPr>
          <w:rFonts w:hint="default" w:cs="Times New Roman"/>
          <w:szCs w:val="24"/>
          <w:lang w:val="en-US" w:eastAsia="zh-CN"/>
        </w:rPr>
      </w:pPr>
      <w:r>
        <w:rPr>
          <w:rFonts w:hint="eastAsia" w:cs="Times New Roman"/>
          <w:szCs w:val="24"/>
          <w:lang w:val="en-US" w:eastAsia="zh-CN"/>
        </w:rPr>
        <w:t>气溶胶光度计是采用真空泵将含有气溶胶颗粒（通常为PAO或DOP等标准物质）的气流吸入仪器的光散射室内，在光散射室内，一束稳定的激光（通常是半导体激光器）照射在流动的气体上，当激光束遇到气流中的颗粒物时，会发生米氏散射（Mie Scattering），散射光被光电倍增管（PMT）或高精度传感器捕获，将微弱的光信号转换成电信号，电信号经过放大和数字化处理，传送给内置的微处理器进行光强度分析，通过预设的算法和校准曲线，计算出气溶胶的质量浓度。</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jc w:val="left"/>
        <w:textAlignment w:val="auto"/>
        <w:rPr>
          <w:rFonts w:hint="eastAsia" w:cs="Times New Roman"/>
          <w:szCs w:val="24"/>
          <w:lang w:val="en-US" w:eastAsia="zh-CN"/>
        </w:rPr>
      </w:pPr>
      <w:r>
        <w:rPr>
          <w:rFonts w:hint="eastAsia" w:cs="Times New Roman"/>
          <w:szCs w:val="24"/>
          <w:lang w:val="en-US" w:eastAsia="zh-CN"/>
        </w:rPr>
        <w:t>5.2 仪器用途</w:t>
      </w:r>
    </w:p>
    <w:p>
      <w:pPr>
        <w:pStyle w:val="44"/>
        <w:keepNext w:val="0"/>
        <w:keepLines w:val="0"/>
        <w:pageBreakBefore w:val="0"/>
        <w:widowControl/>
        <w:numPr>
          <w:ilvl w:val="0"/>
          <w:numId w:val="0"/>
        </w:numPr>
        <w:kinsoku/>
        <w:wordWrap/>
        <w:overflowPunct/>
        <w:topLinePunct w:val="0"/>
        <w:autoSpaceDE/>
        <w:autoSpaceDN/>
        <w:bidi w:val="0"/>
        <w:adjustRightInd/>
        <w:snapToGrid/>
        <w:spacing w:before="0" w:line="360" w:lineRule="auto"/>
        <w:ind w:firstLine="420" w:firstLineChars="200"/>
        <w:jc w:val="left"/>
        <w:textAlignment w:val="auto"/>
        <w:rPr>
          <w:rFonts w:hint="eastAsia" w:eastAsia="宋体" w:cs="Times New Roman"/>
          <w:szCs w:val="24"/>
          <w:lang w:val="en-US" w:eastAsia="zh-CN"/>
        </w:rPr>
      </w:pPr>
      <w:r>
        <w:rPr>
          <w:rFonts w:hint="eastAsia" w:cs="Times New Roman"/>
          <w:szCs w:val="24"/>
          <w:lang w:val="en-US" w:eastAsia="zh-CN"/>
        </w:rPr>
        <w:t>仪器</w:t>
      </w:r>
      <w:r>
        <w:t>用于普通区及A、B、C、D级洁净</w:t>
      </w:r>
      <w:r>
        <w:rPr>
          <w:rFonts w:hint="eastAsia"/>
        </w:rPr>
        <w:t>区、生物安全柜、洁净工作台等</w:t>
      </w:r>
      <w:r>
        <w:t>高效</w:t>
      </w:r>
      <w:r>
        <w:rPr>
          <w:rFonts w:hint="eastAsia"/>
        </w:rPr>
        <w:t>/超高效</w:t>
      </w:r>
      <w:r>
        <w:t>过滤器泄漏率的测试</w:t>
      </w:r>
      <w:r>
        <w:rPr>
          <w:rFonts w:hint="eastAsia"/>
          <w:lang w:eastAsia="zh-CN"/>
        </w:rPr>
        <w:t>。</w:t>
      </w:r>
    </w:p>
    <w:p>
      <w:pPr>
        <w:pStyle w:val="34"/>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 w:edGrp="everyone"/>
          </w:p>
        </w:tc>
        <w:tc>
          <w:tcPr>
            <w:tcW w:w="7128" w:type="dxa"/>
            <w:shd w:val="clear" w:color="auto" w:fill="auto"/>
            <w:vAlign w:val="center"/>
          </w:tcPr>
          <w:p>
            <w:pPr>
              <w:spacing w:line="276" w:lineRule="auto"/>
              <w:jc w:val="both"/>
              <w:rPr>
                <w:i/>
                <w:color w:val="0070C0"/>
                <w:szCs w:val="21"/>
                <w:lang w:eastAsia="zh-CN"/>
              </w:rPr>
            </w:pPr>
            <w:r>
              <w:rPr>
                <w:rFonts w:hint="eastAsia" w:ascii="宋体" w:hAnsi="宋体"/>
                <w:lang w:eastAsia="zh-CN"/>
              </w:rPr>
              <w:t>工程技术部</w:t>
            </w:r>
            <w:r>
              <w:rPr>
                <w:rFonts w:hint="eastAsia" w:ascii="宋体" w:hAnsi="宋体"/>
                <w:lang w:val="en-US" w:eastAsia="zh-CN"/>
              </w:rPr>
              <w:t>验证</w:t>
            </w:r>
            <w:r>
              <w:rPr>
                <w:rFonts w:hint="eastAsia" w:ascii="宋体" w:hAnsi="宋体"/>
                <w:lang w:eastAsia="zh-CN"/>
              </w:rPr>
              <w:t>组办公室。</w:t>
            </w:r>
          </w:p>
        </w:tc>
        <w:tc>
          <w:tcPr>
            <w:tcW w:w="2125" w:type="dxa"/>
            <w:shd w:val="clear" w:color="auto" w:fill="auto"/>
            <w:vAlign w:val="center"/>
          </w:tcPr>
          <w:p>
            <w:pPr>
              <w:jc w:val="left"/>
              <w:rPr>
                <w:i/>
                <w:szCs w:val="21"/>
                <w:lang w:eastAsia="zh-CN"/>
              </w:rPr>
            </w:pPr>
            <w:r>
              <w:rPr>
                <w:rFonts w:hint="eastAsia"/>
                <w:szCs w:val="21"/>
                <w:lang w:eastAsia="zh-CN"/>
              </w:rPr>
              <w:t>关键</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 w:edGrp="everyone"/>
          </w:p>
        </w:tc>
        <w:tc>
          <w:tcPr>
            <w:tcW w:w="7128" w:type="dxa"/>
            <w:shd w:val="clear" w:color="auto" w:fill="auto"/>
            <w:vAlign w:val="center"/>
          </w:tcPr>
          <w:p>
            <w:pPr>
              <w:spacing w:line="276" w:lineRule="auto"/>
              <w:jc w:val="both"/>
              <w:rPr>
                <w:i/>
                <w:szCs w:val="21"/>
                <w:lang w:eastAsia="zh-CN"/>
              </w:rPr>
            </w:pPr>
            <w:r>
              <w:rPr>
                <w:rFonts w:hint="eastAsia" w:eastAsia="宋体"/>
                <w:szCs w:val="21"/>
                <w:lang w:val="en-US" w:eastAsia="zh-CN"/>
              </w:rPr>
              <w:t>设备应便携，</w:t>
            </w:r>
            <w:r>
              <w:rPr>
                <w:rFonts w:hint="eastAsia" w:eastAsia="宋体"/>
                <w:szCs w:val="21"/>
                <w:lang w:eastAsia="zh-CN"/>
              </w:rPr>
              <w:t>方便工作人员</w:t>
            </w:r>
            <w:r>
              <w:rPr>
                <w:rFonts w:hint="eastAsia" w:eastAsia="宋体"/>
                <w:szCs w:val="21"/>
                <w:lang w:val="en-US" w:eastAsia="zh-CN"/>
              </w:rPr>
              <w:t>携带</w:t>
            </w:r>
            <w:r>
              <w:rPr>
                <w:rFonts w:hint="eastAsia" w:eastAsia="宋体"/>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5" w:edGrp="everyone"/>
          </w:p>
        </w:tc>
        <w:tc>
          <w:tcPr>
            <w:tcW w:w="7128" w:type="dxa"/>
            <w:shd w:val="clear" w:color="auto" w:fill="auto"/>
            <w:vAlign w:val="center"/>
          </w:tcPr>
          <w:p>
            <w:pPr>
              <w:spacing w:line="276" w:lineRule="auto"/>
              <w:jc w:val="both"/>
              <w:rPr>
                <w:color w:val="0070C0"/>
                <w:szCs w:val="21"/>
                <w:lang w:val="en-US" w:eastAsia="zh-CN"/>
              </w:rPr>
            </w:pPr>
            <w:r>
              <w:rPr>
                <w:color w:val="auto"/>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color w:val="auto"/>
                <w:szCs w:val="21"/>
                <w:lang w:eastAsia="zh-CN"/>
              </w:rPr>
              <w:t>供应商必须给出设备选型方案及相应附件选型方案，并交给</w:t>
            </w:r>
            <w:r>
              <w:rPr>
                <w:rFonts w:hint="eastAsia"/>
                <w:color w:val="auto"/>
                <w:szCs w:val="21"/>
                <w:lang w:val="en-US" w:eastAsia="zh-CN"/>
              </w:rPr>
              <w:t>我司工程技术部</w:t>
            </w:r>
            <w:r>
              <w:rPr>
                <w:color w:val="auto"/>
                <w:szCs w:val="21"/>
                <w:lang w:eastAsia="zh-CN"/>
              </w:rPr>
              <w:t>审核。</w:t>
            </w:r>
          </w:p>
        </w:tc>
        <w:tc>
          <w:tcPr>
            <w:tcW w:w="2125" w:type="dxa"/>
            <w:shd w:val="clear" w:color="auto" w:fill="auto"/>
            <w:vAlign w:val="center"/>
          </w:tcPr>
          <w:p>
            <w:pPr>
              <w:jc w:val="both"/>
              <w:rPr>
                <w:rFonts w:ascii="Times New Roman" w:hAnsi="Times New Roman" w:eastAsia="宋体" w:cs="Times New Roman"/>
                <w:sz w:val="21"/>
                <w:szCs w:val="21"/>
                <w:lang w:val="en-GB" w:eastAsia="zh-CN" w:bidi="ar-SA"/>
              </w:rPr>
            </w:pPr>
            <w:r>
              <w:rPr>
                <w:rFonts w:hint="eastAsia"/>
                <w:szCs w:val="21"/>
                <w:lang w:eastAsia="zh-CN"/>
              </w:rPr>
              <w:t>关键</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6" w:edGrp="everyone"/>
          </w:p>
        </w:tc>
        <w:tc>
          <w:tcPr>
            <w:tcW w:w="9253" w:type="dxa"/>
            <w:gridSpan w:val="2"/>
            <w:shd w:val="clear" w:color="auto" w:fill="auto"/>
            <w:vAlign w:val="center"/>
          </w:tcPr>
          <w:p>
            <w:pPr>
              <w:jc w:val="both"/>
              <w:rPr>
                <w:rFonts w:hint="default"/>
                <w:szCs w:val="21"/>
                <w:lang w:val="en-US" w:eastAsia="zh-CN"/>
              </w:rPr>
            </w:pPr>
            <w:r>
              <w:rPr>
                <w:rFonts w:hint="eastAsia"/>
                <w:color w:val="auto"/>
                <w:szCs w:val="21"/>
                <w:lang w:val="en-US" w:eastAsia="zh-CN"/>
              </w:rPr>
              <w:t>N/A</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7"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8" w:edGrp="everyone"/>
          </w:p>
        </w:tc>
        <w:tc>
          <w:tcPr>
            <w:tcW w:w="7128" w:type="dxa"/>
            <w:shd w:val="clear" w:color="auto" w:fill="auto"/>
            <w:vAlign w:val="center"/>
          </w:tcPr>
          <w:p>
            <w:pPr>
              <w:spacing w:line="276" w:lineRule="auto"/>
              <w:jc w:val="both"/>
              <w:rPr>
                <w:rFonts w:hint="default"/>
                <w:szCs w:val="21"/>
                <w:lang w:val="en-US" w:eastAsia="zh-CN"/>
              </w:rPr>
            </w:pPr>
            <w:r>
              <w:rPr>
                <w:rFonts w:hint="eastAsia"/>
                <w:color w:val="000000"/>
                <w:lang w:val="en-US" w:eastAsia="zh-CN"/>
              </w:rPr>
              <w:t>工作环境</w:t>
            </w:r>
            <w:r>
              <w:rPr>
                <w:color w:val="000000"/>
                <w:lang w:eastAsia="zh-CN"/>
              </w:rPr>
              <w:t>温度：能适应</w:t>
            </w:r>
            <w:r>
              <w:rPr>
                <w:rFonts w:hint="eastAsia"/>
                <w:color w:val="auto"/>
                <w:lang w:val="en-US" w:eastAsia="zh-CN"/>
              </w:rPr>
              <w:t>0</w:t>
            </w:r>
            <w:r>
              <w:rPr>
                <w:rFonts w:hint="eastAsia" w:ascii="宋体" w:hAnsi="宋体" w:cs="宋体"/>
                <w:color w:val="auto"/>
                <w:lang w:eastAsia="zh-CN"/>
              </w:rPr>
              <w:t>℃</w:t>
            </w:r>
            <w:r>
              <w:rPr>
                <w:color w:val="auto"/>
                <w:lang w:eastAsia="zh-CN"/>
              </w:rPr>
              <w:t>～</w:t>
            </w:r>
            <w:r>
              <w:rPr>
                <w:rFonts w:hint="eastAsia"/>
                <w:color w:val="auto"/>
                <w:lang w:val="en-US" w:eastAsia="zh-CN"/>
              </w:rPr>
              <w:t>60</w:t>
            </w:r>
            <w:r>
              <w:rPr>
                <w:rFonts w:hint="eastAsia" w:ascii="宋体" w:hAnsi="宋体" w:cs="宋体"/>
                <w:color w:val="000000"/>
                <w:lang w:eastAsia="zh-CN"/>
              </w:rPr>
              <w:t>℃</w:t>
            </w:r>
            <w:r>
              <w:rPr>
                <w:color w:val="000000"/>
                <w:lang w:eastAsia="zh-CN"/>
              </w:rPr>
              <w:t>环境</w:t>
            </w:r>
            <w:r>
              <w:rPr>
                <w:rFonts w:hint="eastAsia"/>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rFonts w:hint="default"/>
                <w:szCs w:val="21"/>
                <w:lang w:val="en-US" w:eastAsia="zh-CN"/>
              </w:rPr>
            </w:pPr>
            <w:r>
              <w:rPr>
                <w:color w:val="000000"/>
                <w:lang w:eastAsia="zh-CN"/>
              </w:rPr>
              <w:t>工作环境湿度：</w:t>
            </w:r>
            <w:r>
              <w:rPr>
                <w:rFonts w:hint="eastAsia"/>
                <w:color w:val="000000"/>
                <w:lang w:val="en-US" w:eastAsia="zh-CN"/>
              </w:rPr>
              <w:t>能适应</w:t>
            </w:r>
            <w:r>
              <w:rPr>
                <w:rFonts w:hint="eastAsia"/>
                <w:color w:val="auto"/>
                <w:lang w:val="en-US" w:eastAsia="zh-CN"/>
              </w:rPr>
              <w:t>2</w:t>
            </w:r>
            <w:r>
              <w:rPr>
                <w:color w:val="auto"/>
                <w:lang w:eastAsia="zh-CN"/>
              </w:rPr>
              <w:t>5%～</w:t>
            </w:r>
            <w:r>
              <w:rPr>
                <w:rFonts w:hint="eastAsia"/>
                <w:color w:val="auto"/>
                <w:lang w:val="en-US" w:eastAsia="zh-CN"/>
              </w:rPr>
              <w:t>7</w:t>
            </w:r>
            <w:r>
              <w:rPr>
                <w:color w:val="auto"/>
                <w:lang w:eastAsia="zh-CN"/>
              </w:rPr>
              <w:t>5%</w:t>
            </w:r>
            <w:r>
              <w:rPr>
                <w:rFonts w:hint="eastAsia"/>
                <w:color w:val="000000"/>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工作环境洁净级别：A级</w:t>
            </w:r>
            <w:r>
              <w:rPr>
                <w:rFonts w:hint="eastAsia"/>
                <w:color w:val="000000"/>
                <w:lang w:eastAsia="zh-CN"/>
              </w:rPr>
              <w:t>、</w:t>
            </w:r>
            <w:r>
              <w:rPr>
                <w:color w:val="000000"/>
                <w:lang w:eastAsia="zh-CN"/>
              </w:rPr>
              <w:t>B级</w:t>
            </w:r>
            <w:r>
              <w:rPr>
                <w:rFonts w:hint="eastAsia"/>
                <w:color w:val="000000"/>
                <w:lang w:eastAsia="zh-CN"/>
              </w:rPr>
              <w:t>、</w:t>
            </w:r>
            <w:r>
              <w:rPr>
                <w:color w:val="000000"/>
                <w:lang w:eastAsia="zh-CN"/>
              </w:rPr>
              <w:t>C级</w:t>
            </w:r>
            <w:r>
              <w:rPr>
                <w:rFonts w:hint="eastAsia"/>
                <w:color w:val="000000"/>
                <w:lang w:eastAsia="zh-CN"/>
              </w:rPr>
              <w:t>、</w:t>
            </w:r>
            <w:r>
              <w:rPr>
                <w:color w:val="000000"/>
                <w:lang w:eastAsia="zh-CN"/>
              </w:rPr>
              <w:t>D级、</w:t>
            </w:r>
            <w:r>
              <w:rPr>
                <w:rFonts w:hint="eastAsia"/>
                <w:color w:val="000000"/>
                <w:lang w:eastAsia="zh-CN"/>
              </w:rPr>
              <w:t>CNC区及</w:t>
            </w:r>
            <w:r>
              <w:rPr>
                <w:color w:val="000000"/>
                <w:lang w:eastAsia="zh-CN"/>
              </w:rPr>
              <w:t>普通区域</w:t>
            </w:r>
            <w:r>
              <w:rPr>
                <w:rFonts w:hint="eastAsia"/>
                <w:color w:val="000000"/>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color w:val="000000"/>
                <w:lang w:val="en-US" w:eastAsia="zh-CN"/>
              </w:rPr>
              <w:t>~</w:t>
            </w:r>
            <w:r>
              <w:rPr>
                <w:color w:val="000000"/>
                <w:szCs w:val="22"/>
                <w:lang w:eastAsia="zh-CN"/>
              </w:rPr>
              <w:t>220±10%V</w:t>
            </w:r>
            <w:r>
              <w:rPr>
                <w:rFonts w:hint="eastAsia"/>
                <w:color w:val="000000"/>
                <w:szCs w:val="22"/>
                <w:lang w:eastAsia="zh-CN"/>
              </w:rPr>
              <w:t>，</w:t>
            </w:r>
            <w:r>
              <w:rPr>
                <w:color w:val="000000"/>
                <w:szCs w:val="22"/>
                <w:lang w:eastAsia="zh-CN"/>
              </w:rPr>
              <w:t>50±1Hz</w:t>
            </w:r>
            <w:r>
              <w:rPr>
                <w:rFonts w:hint="eastAsia"/>
                <w:color w:val="000000"/>
                <w:szCs w:val="22"/>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i/>
                <w:color w:val="000000"/>
                <w:lang w:eastAsia="zh-CN"/>
              </w:rPr>
            </w:pPr>
            <w:r>
              <w:rPr>
                <w:rFonts w:hint="eastAsia"/>
                <w:bCs/>
              </w:rPr>
              <w:t>各连接部位和转角处应作圆角、平滑处理，</w:t>
            </w:r>
            <w:r>
              <w:rPr>
                <w:rFonts w:hint="eastAsia"/>
                <w:bCs/>
                <w:lang w:val="en-US" w:eastAsia="zh-CN"/>
              </w:rPr>
              <w:t>外</w:t>
            </w:r>
            <w:r>
              <w:rPr>
                <w:rFonts w:hint="eastAsia"/>
                <w:iCs/>
                <w:color w:val="000000"/>
                <w:lang w:val="en-US" w:eastAsia="zh-CN"/>
              </w:rPr>
              <w:t>表面平整光洁，无明显的划痕、凹陷、脱落、裂纹、锈蚀以及其它肉眼可见的外观缺陷。</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ascii="宋体" w:hAnsi="宋体" w:eastAsia="宋体" w:cs="Times New Roman"/>
                <w:color w:val="000000"/>
                <w:sz w:val="21"/>
                <w:szCs w:val="21"/>
                <w:lang w:val="en-GB" w:eastAsia="zh-CN" w:bidi="ar-SA"/>
              </w:rPr>
            </w:pPr>
            <w:r>
              <w:rPr>
                <w:rFonts w:hint="eastAsia"/>
                <w:iCs/>
                <w:color w:val="000000"/>
                <w:lang w:val="en-US" w:eastAsia="zh-CN"/>
              </w:rPr>
              <w:t>仪器主体结构采用抗氧化和抗冲击的材质，确保仪器整体的安全性和稳定性。</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iCs/>
                <w:color w:val="000000"/>
                <w:lang w:val="en-US" w:eastAsia="zh-CN"/>
              </w:rPr>
              <w:t>仪器本身的材料应不会释放出导致危害健康及环境的有毒物质。</w:t>
            </w:r>
          </w:p>
        </w:tc>
        <w:tc>
          <w:tcPr>
            <w:tcW w:w="2125" w:type="dxa"/>
            <w:shd w:val="clear" w:color="auto" w:fill="auto"/>
            <w:vAlign w:val="center"/>
          </w:tcPr>
          <w:p>
            <w:pPr>
              <w:jc w:val="both"/>
              <w:rPr>
                <w:rFonts w:hint="eastAsia" w:ascii="Times New Roman" w:hAnsi="Times New Roman" w:eastAsia="宋体" w:cs="Times New Roman"/>
                <w:sz w:val="21"/>
                <w:szCs w:val="21"/>
                <w:lang w:val="en-GB" w:eastAsia="zh-CN" w:bidi="ar-SA"/>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hint="eastAsia"/>
                <w:iCs/>
                <w:color w:val="000000"/>
                <w:lang w:val="en-US" w:eastAsia="zh-CN"/>
              </w:rPr>
            </w:pPr>
            <w:r>
              <w:rPr>
                <w:rFonts w:hint="eastAsia" w:ascii="Arial" w:cs="Arial"/>
                <w:sz w:val="21"/>
                <w:szCs w:val="21"/>
                <w:lang w:val="en-US" w:eastAsia="zh-CN"/>
              </w:rPr>
              <w:t>光度计</w:t>
            </w:r>
            <w:r>
              <w:rPr>
                <w:rFonts w:hint="eastAsia" w:ascii="Arial" w:eastAsia="宋体" w:cs="Arial"/>
                <w:sz w:val="21"/>
                <w:szCs w:val="21"/>
                <w:lang w:val="zh-CN"/>
              </w:rPr>
              <w:t>主机外壳材质：</w:t>
            </w:r>
            <w:r>
              <w:rPr>
                <w:rFonts w:hint="eastAsia" w:ascii="Arial" w:eastAsia="宋体" w:cs="Arial"/>
                <w:sz w:val="21"/>
                <w:szCs w:val="21"/>
              </w:rPr>
              <w:t>SUS304不锈钢</w:t>
            </w:r>
            <w:r>
              <w:rPr>
                <w:rFonts w:hint="eastAsia" w:ascii="Arial" w:eastAsia="宋体" w:cs="Arial"/>
                <w:sz w:val="21"/>
                <w:szCs w:val="21"/>
                <w:lang w:val="zh-CN"/>
              </w:rPr>
              <w:t>材质，并作金属拉丝处理，便于清洁消毒，</w:t>
            </w:r>
            <w:r>
              <w:rPr>
                <w:rFonts w:hint="eastAsia" w:ascii="Arial" w:eastAsia="宋体" w:cs="Arial"/>
                <w:sz w:val="21"/>
                <w:szCs w:val="21"/>
              </w:rPr>
              <w:t>能耐受VHP熏蒸和其他常用液体消毒剂如75%乙醇、84消毒液、新洁尔灭、复合胺溶液等消毒。</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sz w:val="21"/>
                <w:lang w:val="en-US" w:eastAsia="zh-CN" w:bidi="ar-SA"/>
              </w:rPr>
            </w:pPr>
            <w:r>
              <w:rPr>
                <w:rFonts w:hint="eastAsia"/>
                <w:color w:val="000000" w:themeColor="text1"/>
                <w:kern w:val="0"/>
                <w:lang w:val="en-US" w:eastAsia="zh-CN" w:bidi="ar"/>
                <w14:textFill>
                  <w14:solidFill>
                    <w14:schemeClr w14:val="tx1"/>
                  </w14:solidFill>
                </w14:textFill>
              </w:rPr>
              <w:t>光度计</w:t>
            </w:r>
            <w:r>
              <w:rPr>
                <w:rFonts w:hint="eastAsia"/>
                <w:color w:val="000000" w:themeColor="text1"/>
                <w:kern w:val="0"/>
                <w:lang w:bidi="ar"/>
                <w14:textFill>
                  <w14:solidFill>
                    <w14:schemeClr w14:val="tx1"/>
                  </w14:solidFill>
                </w14:textFill>
              </w:rPr>
              <w:t>主机</w:t>
            </w:r>
            <w:r>
              <w:rPr>
                <w:rFonts w:hint="eastAsia"/>
                <w:color w:val="000000" w:themeColor="text1"/>
                <w:kern w:val="0"/>
                <w:lang w:val="en-US" w:eastAsia="zh-CN" w:bidi="ar"/>
                <w14:textFill>
                  <w14:solidFill>
                    <w14:schemeClr w14:val="tx1"/>
                  </w14:solidFill>
                </w14:textFill>
              </w:rPr>
              <w:t>应配制</w:t>
            </w:r>
            <w:r>
              <w:rPr>
                <w:rFonts w:hint="eastAsia"/>
                <w:color w:val="000000" w:themeColor="text1"/>
                <w:kern w:val="0"/>
                <w:lang w:bidi="ar"/>
                <w14:textFill>
                  <w14:solidFill>
                    <w14:schemeClr w14:val="tx1"/>
                  </w14:solidFill>
                </w14:textFill>
              </w:rPr>
              <w:t>显示屏</w:t>
            </w:r>
            <w:r>
              <w:rPr>
                <w:rFonts w:hint="eastAsia"/>
                <w:color w:val="000000" w:themeColor="text1"/>
                <w:kern w:val="0"/>
                <w:lang w:eastAsia="zh-CN" w:bidi="ar"/>
                <w14:textFill>
                  <w14:solidFill>
                    <w14:schemeClr w14:val="tx1"/>
                  </w14:solidFill>
                </w14:textFill>
              </w:rPr>
              <w:t>，</w:t>
            </w:r>
            <w:r>
              <w:rPr>
                <w:color w:val="000000" w:themeColor="text1"/>
                <w:kern w:val="0"/>
                <w:lang w:bidi="ar"/>
                <w14:textFill>
                  <w14:solidFill>
                    <w14:schemeClr w14:val="tx1"/>
                  </w14:solidFill>
                </w14:textFill>
              </w:rPr>
              <w:t>屏幕清晰，反应灵敏，戴手套可以实现操作</w:t>
            </w:r>
            <w:r>
              <w:rPr>
                <w:rFonts w:hint="eastAsia"/>
                <w:color w:val="000000" w:themeColor="text1"/>
                <w:kern w:val="0"/>
                <w:lang w:bidi="ar"/>
                <w14:textFill>
                  <w14:solidFill>
                    <w14:schemeClr w14:val="tx1"/>
                  </w14:solidFill>
                </w14:textFill>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default" w:ascii="Times New Roman" w:hAnsi="Times New Roman" w:eastAsia="宋体" w:cs="Times New Roman"/>
                <w:color w:val="000000" w:themeColor="text1"/>
                <w:kern w:val="0"/>
                <w:sz w:val="21"/>
                <w:lang w:val="en-US" w:eastAsia="zh-CN" w:bidi="ar"/>
                <w14:textFill>
                  <w14:solidFill>
                    <w14:schemeClr w14:val="tx1"/>
                  </w14:solidFill>
                </w14:textFill>
              </w:rPr>
            </w:pPr>
            <w:r>
              <w:rPr>
                <w:rFonts w:hint="eastAsia"/>
                <w:color w:val="000000" w:themeColor="text1"/>
                <w:kern w:val="0"/>
                <w:lang w:val="en-US" w:eastAsia="zh-CN" w:bidi="ar"/>
                <w14:textFill>
                  <w14:solidFill>
                    <w14:schemeClr w14:val="tx1"/>
                  </w14:solidFill>
                </w14:textFill>
              </w:rPr>
              <w:t>光度计应</w:t>
            </w:r>
            <w:r>
              <w:rPr>
                <w:rFonts w:hint="eastAsia"/>
                <w:color w:val="000000" w:themeColor="text1"/>
                <w:kern w:val="0"/>
                <w:lang w:bidi="ar"/>
                <w14:textFill>
                  <w14:solidFill>
                    <w14:schemeClr w14:val="tx1"/>
                  </w14:solidFill>
                </w14:textFill>
              </w:rPr>
              <w:t>内置打印机</w:t>
            </w:r>
            <w:r>
              <w:rPr>
                <w:rFonts w:hint="eastAsia"/>
                <w:color w:val="000000" w:themeColor="text1"/>
                <w:kern w:val="0"/>
                <w:lang w:val="en-US" w:eastAsia="zh-CN" w:bidi="ar"/>
                <w14:textFill>
                  <w14:solidFill>
                    <w14:schemeClr w14:val="tx1"/>
                  </w14:solidFill>
                </w14:textFill>
              </w:rPr>
              <w:t>或可连接通用标签打印机</w:t>
            </w:r>
            <w:r>
              <w:rPr>
                <w:rFonts w:hint="eastAsia"/>
                <w:color w:val="000000" w:themeColor="text1"/>
                <w:kern w:val="0"/>
                <w:lang w:eastAsia="zh-CN" w:bidi="ar"/>
                <w14:textFill>
                  <w14:solidFill>
                    <w14:schemeClr w14:val="tx1"/>
                  </w14:solidFill>
                </w14:textFill>
              </w:rPr>
              <w:t>，</w:t>
            </w:r>
            <w:r>
              <w:rPr>
                <w:rFonts w:hint="eastAsia"/>
                <w:color w:val="000000" w:themeColor="text1"/>
                <w:kern w:val="0"/>
                <w:lang w:bidi="ar"/>
                <w14:textFill>
                  <w14:solidFill>
                    <w14:schemeClr w14:val="tx1"/>
                  </w14:solidFill>
                </w14:textFill>
              </w:rPr>
              <w:t>并配有长效热敏打印纸，</w:t>
            </w:r>
            <w:r>
              <w:rPr>
                <w:rFonts w:hint="eastAsia"/>
                <w:color w:val="000000" w:themeColor="text1"/>
                <w:kern w:val="0"/>
                <w:lang w:val="en-US" w:eastAsia="zh-CN" w:bidi="ar"/>
                <w14:textFill>
                  <w14:solidFill>
                    <w14:schemeClr w14:val="tx1"/>
                  </w14:solidFill>
                </w14:textFill>
              </w:rPr>
              <w:t>打印机加纸仓大小应适配我司打印纸规格（57*35mm）。</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kern w:val="0"/>
                <w:sz w:val="21"/>
                <w:lang w:val="en-US" w:eastAsia="zh-CN" w:bidi="ar"/>
              </w:rPr>
            </w:pPr>
            <w:r>
              <w:rPr>
                <w:rFonts w:hint="eastAsia"/>
                <w:color w:val="000000" w:themeColor="text1"/>
                <w:lang w:val="en-US" w:eastAsia="zh-CN"/>
                <w14:textFill>
                  <w14:solidFill>
                    <w14:schemeClr w14:val="tx1"/>
                  </w14:solidFill>
                </w14:textFill>
              </w:rPr>
              <w:t>光度计</w:t>
            </w:r>
            <w:r>
              <w:rPr>
                <w:rFonts w:hint="eastAsia"/>
                <w:color w:val="000000" w:themeColor="text1"/>
                <w14:textFill>
                  <w14:solidFill>
                    <w14:schemeClr w14:val="tx1"/>
                  </w14:solidFill>
                </w14:textFill>
              </w:rPr>
              <w:t>扫描探头</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配</w:t>
            </w:r>
            <w:r>
              <w:rPr>
                <w:color w:val="000000" w:themeColor="text1"/>
                <w14:textFill>
                  <w14:solidFill>
                    <w14:schemeClr w14:val="tx1"/>
                  </w14:solidFill>
                </w14:textFill>
              </w:rPr>
              <w:t>彩色显示屏</w:t>
            </w:r>
            <w:r>
              <w:rPr>
                <w:rFonts w:hint="eastAsia"/>
                <w:color w:val="000000" w:themeColor="text1"/>
                <w14:textFill>
                  <w14:solidFill>
                    <w14:schemeClr w14:val="tx1"/>
                  </w14:solidFill>
                </w14:textFill>
              </w:rPr>
              <w:t>，柔性管360 度方向可调，配不低于</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米线缆及气管，两端标注连接标识，接口牢固可靠。</w:t>
            </w:r>
            <w:r>
              <w:rPr>
                <w:color w:val="0000FF"/>
              </w:rPr>
              <w:t xml:space="preserve"> </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color w:val="0000FF"/>
                <w:kern w:val="0"/>
                <w:sz w:val="21"/>
                <w:lang w:val="en-US" w:eastAsia="zh-CN" w:bidi="ar"/>
              </w:rPr>
            </w:pPr>
            <w:r>
              <w:rPr>
                <w:rFonts w:hint="eastAsia"/>
                <w:color w:val="000000" w:themeColor="text1"/>
                <w:lang w:val="en-US" w:eastAsia="zh-CN"/>
                <w14:textFill>
                  <w14:solidFill>
                    <w14:schemeClr w14:val="tx1"/>
                  </w14:solidFill>
                </w14:textFill>
              </w:rPr>
              <w:t>光度计</w:t>
            </w:r>
            <w:r>
              <w:rPr>
                <w:rFonts w:hint="eastAsia"/>
                <w:color w:val="000000" w:themeColor="text1"/>
                <w14:textFill>
                  <w14:solidFill>
                    <w14:schemeClr w14:val="tx1"/>
                  </w14:solidFill>
                </w14:textFill>
              </w:rPr>
              <w:t>探头与主机同步显示操作，超标警报时探头跟主机一样字体变色，同时手柄振动。</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ascii="Times New Roman" w:hAnsi="Times New Roman" w:eastAsia="宋体" w:cs="Times New Roman"/>
                <w:kern w:val="0"/>
                <w:sz w:val="21"/>
                <w:lang w:val="en-US" w:eastAsia="zh-CN" w:bidi="ar"/>
              </w:rPr>
            </w:pPr>
            <w:r>
              <w:rPr>
                <w:rFonts w:hint="eastAsia"/>
                <w:color w:val="000000" w:themeColor="text1"/>
                <w:lang w:val="en-US" w:eastAsia="zh-CN"/>
                <w14:textFill>
                  <w14:solidFill>
                    <w14:schemeClr w14:val="tx1"/>
                  </w14:solidFill>
                </w14:textFill>
              </w:rPr>
              <w:t>光度计</w:t>
            </w:r>
            <w:r>
              <w:rPr>
                <w:rFonts w:hint="eastAsia"/>
              </w:rPr>
              <w:t>矩形探头</w:t>
            </w:r>
            <w:r>
              <w:rPr>
                <w:rFonts w:hint="eastAsia"/>
                <w:bCs/>
              </w:rPr>
              <w:t>应具备等动力设计，长8cm</w:t>
            </w:r>
            <w:r>
              <w:rPr>
                <w:rFonts w:hint="eastAsia" w:ascii="黑体" w:hAnsi="黑体"/>
                <w:bCs/>
              </w:rPr>
              <w:t>×</w:t>
            </w:r>
            <w:r>
              <w:rPr>
                <w:rFonts w:hint="eastAsia"/>
                <w:bCs/>
              </w:rPr>
              <w:t>宽1cm（ISO14644-3标准），保证测试结果的准确性。</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hint="eastAsia"/>
                <w:color w:val="000000" w:themeColor="text1"/>
                <w:kern w:val="0"/>
                <w:lang w:val="en-US" w:eastAsia="zh-CN" w:bidi="ar"/>
                <w14:textFill>
                  <w14:solidFill>
                    <w14:schemeClr w14:val="tx1"/>
                  </w14:solidFill>
                </w14:textFill>
              </w:rPr>
            </w:pPr>
            <w:r>
              <w:rPr>
                <w:rFonts w:hint="eastAsia"/>
                <w:color w:val="000000" w:themeColor="text1"/>
                <w:lang w:val="en-US" w:eastAsia="zh-CN"/>
                <w14:textFill>
                  <w14:solidFill>
                    <w14:schemeClr w14:val="tx1"/>
                  </w14:solidFill>
                </w14:textFill>
              </w:rPr>
              <w:t>光度计应</w:t>
            </w:r>
            <w:r>
              <w:rPr>
                <w:rFonts w:hint="eastAsia"/>
              </w:rPr>
              <w:t>配有独立的</w:t>
            </w:r>
            <w:r>
              <w:rPr>
                <w:rFonts w:hint="eastAsia"/>
                <w:spacing w:val="6"/>
                <w:kern w:val="0"/>
              </w:rPr>
              <w:t>区别于其它管路的</w:t>
            </w:r>
            <w:r>
              <w:rPr>
                <w:spacing w:val="6"/>
                <w:kern w:val="0"/>
              </w:rPr>
              <w:t>上游采样气管</w:t>
            </w:r>
            <w:r>
              <w:rPr>
                <w:rFonts w:hint="eastAsia"/>
                <w:spacing w:val="6"/>
                <w:kern w:val="0"/>
              </w:rPr>
              <w:t>，长度</w:t>
            </w:r>
            <w:r>
              <w:rPr>
                <w:rFonts w:hint="eastAsia"/>
                <w:color w:val="000000" w:themeColor="text1"/>
                <w:spacing w:val="6"/>
                <w:kern w:val="0"/>
                <w14:textFill>
                  <w14:solidFill>
                    <w14:schemeClr w14:val="tx1"/>
                  </w14:solidFill>
                </w14:textFill>
              </w:rPr>
              <w:t>不低于</w:t>
            </w:r>
            <w:r>
              <w:rPr>
                <w:rFonts w:hint="eastAsia"/>
                <w:color w:val="000000" w:themeColor="text1"/>
                <w:spacing w:val="6"/>
                <w:kern w:val="0"/>
                <w:lang w:val="en-US" w:eastAsia="zh-CN"/>
                <w14:textFill>
                  <w14:solidFill>
                    <w14:schemeClr w14:val="tx1"/>
                  </w14:solidFill>
                </w14:textFill>
              </w:rPr>
              <w:t>4</w:t>
            </w:r>
            <w:r>
              <w:rPr>
                <w:rFonts w:hint="eastAsia"/>
                <w:color w:val="000000" w:themeColor="text1"/>
                <w:spacing w:val="6"/>
                <w:kern w:val="0"/>
                <w14:textFill>
                  <w14:solidFill>
                    <w14:schemeClr w14:val="tx1"/>
                  </w14:solidFill>
                </w14:textFill>
              </w:rPr>
              <w:t>米</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iCs/>
                <w:color w:val="000000"/>
                <w:lang w:val="en-US" w:eastAsia="zh-CN"/>
              </w:rPr>
            </w:pPr>
            <w:r>
              <w:rPr>
                <w:rFonts w:hint="eastAsia" w:ascii="Arial" w:cs="Arial"/>
                <w:sz w:val="21"/>
                <w:szCs w:val="21"/>
                <w:lang w:val="en-US" w:eastAsia="zh-CN"/>
              </w:rPr>
              <w:t>气溶胶发生器</w:t>
            </w:r>
            <w:r>
              <w:rPr>
                <w:rFonts w:hint="eastAsia"/>
              </w:rPr>
              <w:t>装油容量：不少于1L，标示有气溶胶液面上限、下限刻度，有注液口（带盖）、排液口（带堵头）、</w:t>
            </w:r>
            <w:r>
              <w:t>液位显示</w:t>
            </w:r>
            <w:r>
              <w:rPr>
                <w:rFonts w:hint="eastAsia"/>
              </w:rPr>
              <w:t>窗</w:t>
            </w:r>
            <w:r>
              <w:rPr>
                <w:rFonts w:hint="eastAsia" w:ascii="Arial" w:eastAsia="宋体" w:cs="Arial"/>
                <w:sz w:val="21"/>
                <w:szCs w:val="21"/>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ascii="Arial" w:cs="Arial"/>
                <w:sz w:val="21"/>
                <w:szCs w:val="21"/>
                <w:lang w:val="en-US" w:eastAsia="zh-CN"/>
              </w:rPr>
            </w:pPr>
            <w:r>
              <w:rPr>
                <w:rFonts w:hint="eastAsia" w:ascii="Arial" w:cs="Arial"/>
                <w:sz w:val="21"/>
                <w:szCs w:val="21"/>
                <w:lang w:val="en-US" w:eastAsia="zh-CN"/>
              </w:rPr>
              <w:t>气溶胶发生器</w:t>
            </w:r>
            <w:r>
              <w:rPr>
                <w:rFonts w:hint="eastAsia"/>
                <w:bCs/>
              </w:rPr>
              <w:t>出气口配备防凝结装置，防止发尘时较大的气溶胶颗粒对高效过滤器造成污染。</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eastAsia="宋体"/>
                <w:iCs/>
                <w:color w:val="000000"/>
                <w:lang w:val="en-US" w:eastAsia="zh-CN"/>
              </w:rPr>
            </w:pPr>
            <w:r>
              <w:rPr>
                <w:rFonts w:hint="eastAsia" w:ascii="Arial" w:cs="Arial"/>
                <w:sz w:val="21"/>
                <w:szCs w:val="21"/>
                <w:lang w:val="en-US" w:eastAsia="zh-CN"/>
              </w:rPr>
              <w:t>气溶胶发生器应能</w:t>
            </w:r>
            <w:r>
              <w:rPr>
                <w:rFonts w:hint="eastAsia" w:ascii="Arial" w:eastAsia="宋体" w:cs="Arial"/>
                <w:sz w:val="21"/>
                <w:szCs w:val="21"/>
              </w:rPr>
              <w:t>实时监测内部气路压力</w:t>
            </w:r>
            <w:r>
              <w:rPr>
                <w:rFonts w:hint="eastAsia" w:ascii="Arial" w:cs="Arial"/>
                <w:sz w:val="21"/>
                <w:szCs w:val="21"/>
                <w:lang w:eastAsia="zh-CN"/>
              </w:rPr>
              <w:t>。</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eastAsia"/>
                <w:iCs/>
                <w:color w:val="000000"/>
                <w:lang w:val="en-US" w:eastAsia="zh-CN"/>
              </w:rPr>
            </w:pPr>
            <w:r>
              <w:rPr>
                <w:rFonts w:hint="eastAsia" w:ascii="Arial" w:cs="Arial"/>
                <w:sz w:val="21"/>
                <w:szCs w:val="21"/>
                <w:lang w:val="en-US" w:eastAsia="zh-CN"/>
              </w:rPr>
              <w:t>气溶胶发生器</w:t>
            </w:r>
            <w:r>
              <w:rPr>
                <w:rFonts w:hint="eastAsia" w:ascii="Arial" w:eastAsia="宋体" w:cs="Arial"/>
                <w:sz w:val="21"/>
                <w:szCs w:val="21"/>
              </w:rPr>
              <w:t>应具有较好的黏温性能和低温流动相，不残留在高效过滤器中造成堵塞影响送风速及风量，测试气体不对人员造成直接或潜在危害。</w:t>
            </w:r>
          </w:p>
        </w:tc>
        <w:tc>
          <w:tcPr>
            <w:tcW w:w="2125" w:type="dxa"/>
            <w:shd w:val="clear" w:color="auto" w:fill="auto"/>
            <w:vAlign w:val="center"/>
          </w:tcPr>
          <w:p>
            <w:pPr>
              <w:jc w:val="both"/>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auto"/>
                <w:szCs w:val="21"/>
                <w:lang w:eastAsia="zh-CN"/>
              </w:rPr>
            </w:pPr>
            <w:r>
              <w:rPr>
                <w:color w:val="auto"/>
                <w:szCs w:val="21"/>
                <w:lang w:val="en-US" w:eastAsia="zh-CN"/>
              </w:rPr>
              <w:t>标识</w:t>
            </w:r>
            <w:r>
              <w:rPr>
                <w:color w:val="auto"/>
                <w:szCs w:val="21"/>
                <w:lang w:eastAsia="zh-CN"/>
              </w:rPr>
              <w:t xml:space="preserve">：至少应有以下永久贴牢和清楚易认的标识： </w:t>
            </w:r>
          </w:p>
          <w:p>
            <w:pPr>
              <w:spacing w:line="276" w:lineRule="auto"/>
              <w:jc w:val="both"/>
              <w:rPr>
                <w:color w:val="auto"/>
                <w:szCs w:val="21"/>
                <w:lang w:eastAsia="zh-CN"/>
              </w:rPr>
            </w:pPr>
            <w:r>
              <w:rPr>
                <w:color w:val="auto"/>
                <w:szCs w:val="21"/>
                <w:lang w:eastAsia="zh-CN"/>
              </w:rPr>
              <w:t>（1）制造/供应单位；</w:t>
            </w:r>
          </w:p>
          <w:p>
            <w:pPr>
              <w:spacing w:line="276" w:lineRule="auto"/>
              <w:jc w:val="both"/>
              <w:rPr>
                <w:color w:val="auto"/>
                <w:szCs w:val="21"/>
                <w:lang w:eastAsia="zh-CN"/>
              </w:rPr>
            </w:pPr>
            <w:r>
              <w:rPr>
                <w:color w:val="auto"/>
                <w:szCs w:val="21"/>
                <w:lang w:eastAsia="zh-CN"/>
              </w:rPr>
              <w:t>（2）产品注册号；</w:t>
            </w:r>
          </w:p>
          <w:p>
            <w:pPr>
              <w:spacing w:line="276" w:lineRule="auto"/>
              <w:jc w:val="both"/>
              <w:rPr>
                <w:color w:val="auto"/>
                <w:szCs w:val="21"/>
                <w:lang w:eastAsia="zh-CN"/>
              </w:rPr>
            </w:pPr>
            <w:r>
              <w:rPr>
                <w:color w:val="auto"/>
                <w:szCs w:val="21"/>
                <w:lang w:eastAsia="zh-CN"/>
              </w:rPr>
              <w:t>（3）型号；</w:t>
            </w:r>
          </w:p>
          <w:p>
            <w:pPr>
              <w:spacing w:line="276" w:lineRule="auto"/>
              <w:jc w:val="both"/>
              <w:rPr>
                <w:color w:val="auto"/>
                <w:szCs w:val="21"/>
                <w:lang w:eastAsia="zh-CN"/>
              </w:rPr>
            </w:pPr>
            <w:r>
              <w:rPr>
                <w:color w:val="auto"/>
                <w:szCs w:val="21"/>
                <w:lang w:eastAsia="zh-CN"/>
              </w:rPr>
              <w:t>（4）生产日期或编号；</w:t>
            </w:r>
          </w:p>
          <w:p>
            <w:pPr>
              <w:spacing w:line="276" w:lineRule="auto"/>
              <w:jc w:val="both"/>
              <w:rPr>
                <w:color w:val="auto"/>
                <w:szCs w:val="21"/>
                <w:lang w:eastAsia="zh-CN"/>
              </w:rPr>
            </w:pPr>
            <w:r>
              <w:rPr>
                <w:color w:val="auto"/>
                <w:szCs w:val="21"/>
                <w:lang w:eastAsia="zh-CN"/>
              </w:rPr>
              <w:t>（5）对设备必要的说明；</w:t>
            </w:r>
          </w:p>
          <w:p>
            <w:pPr>
              <w:pStyle w:val="7"/>
              <w:spacing w:line="276" w:lineRule="auto"/>
              <w:rPr>
                <w:color w:val="0070C0"/>
                <w:sz w:val="21"/>
                <w:szCs w:val="21"/>
                <w:lang w:eastAsia="zh-CN"/>
              </w:rPr>
            </w:pPr>
            <w:r>
              <w:rPr>
                <w:color w:val="auto"/>
                <w:sz w:val="21"/>
                <w:szCs w:val="21"/>
              </w:rPr>
              <w:t>（</w:t>
            </w:r>
            <w:r>
              <w:rPr>
                <w:color w:val="auto"/>
                <w:sz w:val="21"/>
                <w:szCs w:val="21"/>
                <w:lang w:eastAsia="zh-CN"/>
              </w:rPr>
              <w:t>6</w:t>
            </w:r>
            <w:r>
              <w:rPr>
                <w:color w:val="auto"/>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12"/>
    </w:tbl>
    <w:p>
      <w:pPr>
        <w:pStyle w:val="34"/>
        <w:spacing w:afterLines="50"/>
        <w:ind w:left="425" w:firstLine="0" w:firstLineChars="0"/>
        <w:rPr>
          <w:rFonts w:ascii="Times New Roman" w:hAnsi="Times New Roman"/>
          <w:szCs w:val="21"/>
        </w:rPr>
      </w:pPr>
    </w:p>
    <w:p>
      <w:pPr>
        <w:pStyle w:val="34"/>
        <w:numPr>
          <w:ilvl w:val="0"/>
          <w:numId w:val="3"/>
        </w:numPr>
        <w:spacing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14" w:edGrp="everyone"/>
          </w:p>
        </w:tc>
        <w:tc>
          <w:tcPr>
            <w:tcW w:w="9253" w:type="dxa"/>
            <w:gridSpan w:val="2"/>
            <w:shd w:val="clear" w:color="auto" w:fill="auto"/>
            <w:vAlign w:val="center"/>
          </w:tcPr>
          <w:p>
            <w:pPr>
              <w:jc w:val="both"/>
              <w:rPr>
                <w:szCs w:val="21"/>
                <w:lang w:eastAsia="zh-CN"/>
              </w:rPr>
            </w:pPr>
            <w:r>
              <w:rPr>
                <w:rFonts w:hint="eastAsia"/>
                <w:color w:val="auto"/>
                <w:szCs w:val="21"/>
                <w:lang w:val="en-US"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气溶胶光度计的精确度：读数的1%（在大于或等于0.01%到100%范围内；）</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beforeLines="0" w:afterLines="0"/>
              <w:rPr>
                <w:rFonts w:hint="eastAsia" w:ascii="Arial" w:hAnsi="Times New Roman" w:eastAsia="宋体" w:cs="Arial"/>
                <w:sz w:val="21"/>
                <w:szCs w:val="21"/>
                <w:lang w:val="en-US" w:eastAsia="zh-CN" w:bidi="ar-SA"/>
              </w:rPr>
            </w:pPr>
            <w:r>
              <w:rPr>
                <w:rFonts w:hint="eastAsia" w:ascii="Arial" w:eastAsia="宋体" w:cs="Arial"/>
                <w:sz w:val="21"/>
                <w:szCs w:val="21"/>
                <w:lang w:val="zh-CN"/>
              </w:rPr>
              <w:t>气溶胶光度计的重复性：读数的 0.5%（在大于或等于0.01%到100%范围内）</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beforeLines="0" w:afterLines="0"/>
              <w:rPr>
                <w:rFonts w:hint="eastAsia" w:ascii="Arial" w:hAnsi="Times New Roman" w:eastAsia="宋体" w:cs="Arial"/>
                <w:sz w:val="21"/>
                <w:szCs w:val="21"/>
                <w:lang w:val="en-US" w:eastAsia="zh-CN" w:bidi="ar-SA"/>
              </w:rPr>
            </w:pPr>
            <w:r>
              <w:rPr>
                <w:rFonts w:hint="eastAsia" w:ascii="Arial" w:eastAsia="宋体" w:cs="Arial"/>
                <w:sz w:val="21"/>
                <w:szCs w:val="21"/>
                <w:lang w:val="zh-CN"/>
              </w:rPr>
              <w:t>气溶胶光度计的流量控制：1cfm（28.3L/min）±10%。</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7"/>
              <w:spacing w:beforeLines="0" w:afterLines="0"/>
              <w:rPr>
                <w:rFonts w:hint="eastAsia" w:ascii="Times New Roman" w:hAnsi="Times New Roman" w:eastAsia="宋体" w:cs="Times New Roman"/>
                <w:sz w:val="24"/>
                <w:szCs w:val="24"/>
                <w:lang w:val="en-US" w:eastAsia="zh-CN" w:bidi="ar-SA"/>
              </w:rPr>
            </w:pPr>
            <w:r>
              <w:rPr>
                <w:rFonts w:hint="eastAsia" w:ascii="Arial" w:cs="Arial"/>
                <w:sz w:val="21"/>
                <w:szCs w:val="21"/>
                <w:lang w:val="en-US" w:eastAsia="zh-CN"/>
              </w:rPr>
              <w:t>气溶胶发生器的</w:t>
            </w:r>
            <w:r>
              <w:rPr>
                <w:rFonts w:hint="eastAsia" w:ascii="Arial" w:eastAsia="宋体" w:cs="Arial"/>
                <w:sz w:val="21"/>
                <w:szCs w:val="21"/>
              </w:rPr>
              <w:t>流量输出范围：500-70000cfm，可调节。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pStyle w:val="7"/>
              <w:spacing w:beforeLines="0" w:afterLines="0"/>
              <w:rPr>
                <w:rFonts w:hint="eastAsia" w:ascii="Times New Roman" w:hAnsi="Times New Roman" w:eastAsia="宋体" w:cs="Times New Roman"/>
                <w:sz w:val="24"/>
                <w:szCs w:val="24"/>
                <w:lang w:val="en-US" w:eastAsia="zh-CN" w:bidi="ar-SA"/>
              </w:rPr>
            </w:pPr>
            <w:r>
              <w:rPr>
                <w:rFonts w:hint="eastAsia" w:ascii="Arial" w:cs="Arial"/>
                <w:sz w:val="21"/>
                <w:szCs w:val="21"/>
                <w:lang w:val="en-US" w:eastAsia="zh-CN"/>
              </w:rPr>
              <w:t>在气溶胶发生器的</w:t>
            </w:r>
            <w:r>
              <w:rPr>
                <w:rFonts w:hint="eastAsia" w:ascii="Arial" w:eastAsia="宋体" w:cs="Arial"/>
                <w:sz w:val="21"/>
                <w:szCs w:val="21"/>
              </w:rPr>
              <w:t>流量</w:t>
            </w:r>
            <w:r>
              <w:rPr>
                <w:rFonts w:hint="eastAsia" w:ascii="Arial" w:cs="Arial"/>
                <w:sz w:val="21"/>
                <w:szCs w:val="21"/>
                <w:lang w:val="en-US" w:eastAsia="zh-CN"/>
              </w:rPr>
              <w:t>达到</w:t>
            </w:r>
            <w:r>
              <w:rPr>
                <w:rFonts w:hint="eastAsia" w:ascii="Arial" w:eastAsia="宋体" w:cs="Arial"/>
                <w:sz w:val="21"/>
                <w:szCs w:val="21"/>
              </w:rPr>
              <w:t>70000cfm</w:t>
            </w:r>
            <w:r>
              <w:rPr>
                <w:rFonts w:hint="eastAsia" w:ascii="Arial" w:cs="Arial"/>
                <w:sz w:val="21"/>
                <w:szCs w:val="21"/>
                <w:lang w:val="en-US" w:eastAsia="zh-CN"/>
              </w:rPr>
              <w:t>时，上游浓度不低于</w:t>
            </w:r>
            <w:r>
              <w:rPr>
                <w:rFonts w:hint="eastAsia" w:ascii="Arial" w:eastAsia="宋体" w:cs="Arial"/>
                <w:sz w:val="21"/>
                <w:szCs w:val="21"/>
              </w:rPr>
              <w:t>10ug/L：</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pStyle w:val="7"/>
              <w:spacing w:beforeLines="0" w:afterLines="0"/>
              <w:rPr>
                <w:rFonts w:hint="eastAsia" w:ascii="Times New Roman" w:hAnsi="Times New Roman" w:eastAsia="宋体" w:cs="Times New Roman"/>
                <w:sz w:val="24"/>
                <w:szCs w:val="24"/>
                <w:lang w:val="en-US" w:eastAsia="zh-CN" w:bidi="ar-SA"/>
              </w:rPr>
            </w:pPr>
            <w:r>
              <w:rPr>
                <w:rFonts w:hint="eastAsia" w:ascii="Arial" w:cs="Arial"/>
                <w:sz w:val="21"/>
                <w:szCs w:val="21"/>
                <w:lang w:val="en-US" w:eastAsia="zh-CN"/>
              </w:rPr>
              <w:t>气溶胶发生器的</w:t>
            </w:r>
            <w:r>
              <w:rPr>
                <w:rFonts w:hint="eastAsia" w:ascii="Arial" w:eastAsia="宋体" w:cs="Arial"/>
                <w:sz w:val="21"/>
                <w:szCs w:val="21"/>
              </w:rPr>
              <w:t>加热时间：小于2分钟；输入压力：345Kpa（50psi）。</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cs="Arial"/>
                <w:sz w:val="21"/>
                <w:szCs w:val="21"/>
                <w:lang w:val="en-US" w:eastAsia="zh-CN"/>
              </w:rPr>
              <w:t>光度计</w:t>
            </w:r>
            <w:r>
              <w:rPr>
                <w:rFonts w:hint="eastAsia" w:ascii="Arial" w:eastAsia="宋体" w:cs="Arial"/>
                <w:sz w:val="21"/>
                <w:szCs w:val="21"/>
                <w:lang w:val="zh-CN"/>
              </w:rPr>
              <w:t>测试功能需要包括上游100%浓度设定、零点重建、下游测试、测试数据打印等。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上游100%浓度的建立，至少具备自动采样、自定义内部参考值、使用前次测量值三种方法。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主机测试界面显示内容包括但不限于测试时长、实测数据、测试流量，数据显示范围0.0001~100.0%（位数可设）。</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测试浓度数据</w:t>
            </w:r>
            <w:r>
              <w:rPr>
                <w:rFonts w:hint="eastAsia" w:ascii="Arial" w:cs="Arial"/>
                <w:sz w:val="21"/>
                <w:szCs w:val="21"/>
                <w:lang w:val="en-US" w:eastAsia="zh-CN"/>
              </w:rPr>
              <w:t>时</w:t>
            </w:r>
            <w:r>
              <w:rPr>
                <w:rFonts w:hint="eastAsia" w:ascii="Arial" w:eastAsia="宋体" w:cs="Arial"/>
                <w:sz w:val="21"/>
                <w:szCs w:val="21"/>
                <w:lang w:val="zh-CN"/>
              </w:rPr>
              <w:t>，</w:t>
            </w:r>
            <w:r>
              <w:rPr>
                <w:rFonts w:hint="eastAsia" w:ascii="Arial" w:cs="Arial"/>
                <w:sz w:val="21"/>
                <w:szCs w:val="21"/>
                <w:lang w:val="en-US" w:eastAsia="zh-CN"/>
              </w:rPr>
              <w:t>若下游浓度</w:t>
            </w:r>
            <w:r>
              <w:rPr>
                <w:rFonts w:hint="eastAsia" w:ascii="Arial" w:eastAsia="宋体" w:cs="Arial"/>
                <w:sz w:val="21"/>
                <w:szCs w:val="21"/>
                <w:lang w:val="zh-CN"/>
              </w:rPr>
              <w:t>超限</w:t>
            </w:r>
            <w:r>
              <w:rPr>
                <w:rFonts w:hint="eastAsia" w:ascii="Arial" w:cs="Arial"/>
                <w:sz w:val="21"/>
                <w:szCs w:val="21"/>
                <w:lang w:val="zh-CN"/>
              </w:rPr>
              <w:t>，</w:t>
            </w:r>
            <w:r>
              <w:rPr>
                <w:rFonts w:hint="eastAsia" w:ascii="Arial" w:cs="Arial"/>
                <w:sz w:val="21"/>
                <w:szCs w:val="21"/>
                <w:lang w:val="en-US" w:eastAsia="zh-CN"/>
              </w:rPr>
              <w:t>应</w:t>
            </w:r>
            <w:r>
              <w:rPr>
                <w:rFonts w:hint="eastAsia" w:ascii="Arial" w:eastAsia="宋体" w:cs="Arial"/>
                <w:sz w:val="21"/>
                <w:szCs w:val="21"/>
                <w:lang w:val="zh-CN"/>
              </w:rPr>
              <w:t>显示红色，便于判断。</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零点重建：可进行手动或自动零点重置。</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语言为英语与中文，可任意切换。</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hAnsi="Times New Roman" w:eastAsia="宋体" w:cs="Arial"/>
                <w:sz w:val="21"/>
                <w:szCs w:val="21"/>
                <w:lang w:val="zh-CN" w:eastAsia="zh-CN" w:bidi="ar-SA"/>
              </w:rPr>
            </w:pPr>
            <w:r>
              <w:rPr>
                <w:rFonts w:hint="eastAsia" w:ascii="Arial" w:eastAsia="宋体" w:cs="Arial"/>
                <w:sz w:val="21"/>
                <w:szCs w:val="21"/>
                <w:lang w:val="zh-CN"/>
              </w:rPr>
              <w:t>气溶胶试剂种类可设置：PAO、DOP等。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beforeLines="0" w:afterLines="0"/>
              <w:rPr>
                <w:rFonts w:hint="eastAsia" w:ascii="Arial" w:eastAsia="宋体" w:cs="Arial"/>
                <w:sz w:val="21"/>
                <w:szCs w:val="21"/>
                <w:lang w:val="en-US" w:eastAsia="zh-CN"/>
              </w:rPr>
            </w:pPr>
            <w:r>
              <w:rPr>
                <w:rFonts w:hint="eastAsia" w:ascii="Arial" w:eastAsia="宋体" w:cs="Arial"/>
                <w:sz w:val="21"/>
                <w:szCs w:val="21"/>
                <w:lang w:val="en-US" w:eastAsia="zh-CN"/>
              </w:rPr>
              <w:t>气溶胶发生</w:t>
            </w:r>
            <w:r>
              <w:rPr>
                <w:rFonts w:hint="eastAsia" w:ascii="Arial" w:cs="Arial"/>
                <w:sz w:val="21"/>
                <w:szCs w:val="21"/>
                <w:lang w:val="en-US" w:eastAsia="zh-CN"/>
              </w:rPr>
              <w:t>器</w:t>
            </w:r>
            <w:r>
              <w:rPr>
                <w:rFonts w:hint="eastAsia" w:ascii="Arial" w:eastAsia="宋体" w:cs="Arial"/>
                <w:sz w:val="21"/>
                <w:szCs w:val="21"/>
              </w:rPr>
              <w:t>使用气源：惰性气体，如氮气、氩气等</w:t>
            </w:r>
            <w:r>
              <w:rPr>
                <w:rFonts w:hint="eastAsia" w:ascii="Arial" w:cs="Arial"/>
                <w:sz w:val="21"/>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bl>
    <w:p>
      <w:pPr>
        <w:pStyle w:val="34"/>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369815"/>
      <w:bookmarkStart w:id="30" w:name="_Toc481702480"/>
      <w:bookmarkStart w:id="31" w:name="_Toc482370359"/>
      <w:bookmarkStart w:id="32" w:name="_Toc482370767"/>
      <w:bookmarkStart w:id="33" w:name="_Toc482359946"/>
      <w:bookmarkStart w:id="34" w:name="_Toc482360291"/>
      <w:bookmarkStart w:id="35" w:name="_Toc482625289"/>
      <w:bookmarkStart w:id="36" w:name="_Toc482370151"/>
      <w:bookmarkStart w:id="37" w:name="_Toc483400317"/>
      <w:bookmarkStart w:id="38" w:name="_Toc483227237"/>
      <w:bookmarkStart w:id="39" w:name="_Toc482370071"/>
      <w:bookmarkStart w:id="40" w:name="_Toc482717202"/>
      <w:r>
        <w:rPr>
          <w:rFonts w:ascii="Times New Roman" w:hAnsi="Times New Roman"/>
          <w:b/>
        </w:rPr>
        <w:t>电气、自动控制要求</w:t>
      </w:r>
      <w:bookmarkEnd w:id="27"/>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i/>
                <w:szCs w:val="21"/>
                <w:lang w:eastAsia="zh-CN"/>
              </w:rPr>
            </w:pPr>
            <w:r>
              <w:rPr>
                <w:rFonts w:hint="eastAsia" w:ascii="Arial" w:cs="Arial"/>
                <w:sz w:val="21"/>
                <w:szCs w:val="21"/>
                <w:lang w:val="en-US" w:eastAsia="zh-CN"/>
              </w:rPr>
              <w:t>光度计应有</w:t>
            </w:r>
            <w:r>
              <w:rPr>
                <w:rFonts w:hint="eastAsia" w:ascii="Arial" w:eastAsia="宋体" w:cs="Arial"/>
                <w:sz w:val="21"/>
                <w:szCs w:val="21"/>
                <w:lang w:val="zh-CN"/>
              </w:rPr>
              <w:t>报警功能：报警限值可设置，超出限值时，可实现声音、可视及振动报警，报警方式可选。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color w:val="auto"/>
                <w:szCs w:val="21"/>
              </w:rPr>
            </w:pPr>
            <w:permStart w:id="23" w:edGrp="everyone"/>
          </w:p>
        </w:tc>
        <w:tc>
          <w:tcPr>
            <w:tcW w:w="9253" w:type="dxa"/>
            <w:gridSpan w:val="2"/>
            <w:shd w:val="clear" w:color="auto" w:fill="auto"/>
            <w:vAlign w:val="center"/>
          </w:tcPr>
          <w:p>
            <w:pPr>
              <w:jc w:val="both"/>
              <w:rPr>
                <w:rFonts w:hint="default"/>
                <w:color w:val="auto"/>
                <w:szCs w:val="21"/>
                <w:lang w:val="en-US" w:eastAsia="zh-CN"/>
              </w:rPr>
            </w:pPr>
            <w:r>
              <w:rPr>
                <w:rFonts w:hint="eastAsia"/>
                <w:color w:val="auto"/>
                <w:szCs w:val="21"/>
                <w:lang w:val="en-US" w:eastAsia="zh-CN"/>
              </w:rPr>
              <w:t>N/A</w:t>
            </w:r>
          </w:p>
        </w:tc>
      </w:tr>
      <w:permEnd w:id="23"/>
    </w:tbl>
    <w:p>
      <w:pPr>
        <w:spacing w:afterLines="50"/>
        <w:rPr>
          <w:b/>
          <w:lang w:eastAsia="zh-CN"/>
        </w:rPr>
      </w:pPr>
    </w:p>
    <w:p>
      <w:pPr>
        <w:pStyle w:val="34"/>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hint="default"/>
                <w:szCs w:val="21"/>
                <w:lang w:val="en-US" w:eastAsia="zh-CN"/>
              </w:rPr>
            </w:pPr>
            <w:r>
              <w:rPr>
                <w:rFonts w:hint="eastAsia"/>
                <w:szCs w:val="21"/>
                <w:lang w:val="en-US" w:eastAsia="zh-CN"/>
              </w:rPr>
              <w:t>气溶胶发生器进气压力过大或过小时，应不允许启用，并进行提示。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电气保护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电气安全应符合GB 4793.1-2007测量、控制和实验室用电气设备的安全要求。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电磁兼容性应符合GB/T18268—2000的要求。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电池和电源适配器和整机必须通过CE认证。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仪器外壳不会漏电。</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仪器突然断电时软硬件不会损坏。</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6"/>
    </w:tbl>
    <w:p>
      <w:pPr>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Times New Roman" w:hAnsi="Times New Roman" w:eastAsia="宋体" w:cs="Times New Roman"/>
                <w:sz w:val="21"/>
                <w:szCs w:val="21"/>
                <w:lang w:val="en-US" w:eastAsia="zh-CN" w:bidi="ar-SA"/>
              </w:rPr>
            </w:pPr>
            <w:r>
              <w:rPr>
                <w:rFonts w:hint="eastAsia"/>
                <w:szCs w:val="21"/>
                <w:lang w:eastAsia="zh-CN"/>
              </w:rPr>
              <w:t>投标文件、合同及订单。供应商应按本URS内容逐条详细响应附在投标文件中。</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配置清单及说明，包含各组件名称、编号、型号、规格、品牌、材质等。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软件和硬件设计说明、功能说明、配置清单及说明。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rFonts w:hint="eastAsia" w:ascii="Times New Roman" w:hAnsi="Times New Roman" w:eastAsia="宋体" w:cs="Times New Roman"/>
                <w:sz w:val="21"/>
                <w:szCs w:val="21"/>
                <w:lang w:val="en-US" w:eastAsia="zh-CN" w:bidi="ar-SA"/>
              </w:rPr>
            </w:pPr>
            <w:r>
              <w:rPr>
                <w:rFonts w:hint="eastAsia"/>
                <w:szCs w:val="21"/>
                <w:lang w:eastAsia="zh-CN"/>
              </w:rPr>
              <w:t>零部件清单、易损件清单、备件、消耗品清单：包括名称、编号、对应厂家名称、生产地、规格及必要说明。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仪器厂家文件：出厂测试合格证、相关检测合格报告、安全报告、各种标示。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仪器操作手册（SOP）：语言为中文</w:t>
            </w:r>
            <w:r>
              <w:rPr>
                <w:rFonts w:hint="eastAsia" w:ascii="Times New Roman" w:hAnsi="Times New Roman" w:cs="Times New Roman"/>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供应商必须提供计量院颁发的校验报告及计量证书；</w:t>
            </w:r>
            <w:r>
              <w:rPr>
                <w:rFonts w:hint="eastAsia" w:cs="Times New Roman"/>
                <w:szCs w:val="21"/>
                <w:lang w:val="en-US" w:eastAsia="zh-CN"/>
              </w:rPr>
              <w:t>并且设备移交时至少还有9个月的校验有效期。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keepNext w:val="0"/>
              <w:keepLines w:val="0"/>
              <w:pageBreakBefore w:val="0"/>
              <w:widowControl/>
              <w:kinsoku/>
              <w:wordWrap/>
              <w:overflowPunct w:val="0"/>
              <w:topLinePunct w:val="0"/>
              <w:autoSpaceDE w:val="0"/>
              <w:autoSpaceDN w:val="0"/>
              <w:bidi w:val="0"/>
              <w:adjustRightInd w:val="0"/>
              <w:snapToGrid/>
              <w:jc w:val="both"/>
              <w:textAlignment w:val="baseline"/>
              <w:rPr>
                <w:rFonts w:hint="default" w:ascii="Times New Roman" w:hAnsi="Times New Roman" w:eastAsia="宋体" w:cs="Times New Roman"/>
                <w:sz w:val="21"/>
                <w:szCs w:val="21"/>
                <w:lang w:val="en-GB" w:eastAsia="zh-CN" w:bidi="ar-SA"/>
              </w:rPr>
            </w:pPr>
            <w:r>
              <w:rPr>
                <w:rFonts w:hint="default" w:ascii="Times New Roman" w:hAnsi="Times New Roman" w:cs="Times New Roman"/>
                <w:szCs w:val="21"/>
                <w:lang w:eastAsia="zh-CN"/>
              </w:rPr>
              <w:t>调试文件：调试计划、调试方案、仪器测试记录，检测清单，测试报告，调试总结报告、现场验收报告等。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使用操作说明书及维护保养说明（即运行及维护手册）3份。</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0" w:type="auto"/>
            <w:vAlign w:val="center"/>
          </w:tcPr>
          <w:p>
            <w:pPr>
              <w:pStyle w:val="34"/>
              <w:numPr>
                <w:ilvl w:val="0"/>
                <w:numId w:val="7"/>
              </w:numPr>
              <w:ind w:left="470" w:hanging="120" w:firstLineChars="0"/>
              <w:jc w:val="center"/>
              <w:rPr>
                <w:rFonts w:ascii="Times New Roman" w:hAnsi="Times New Roman"/>
                <w:szCs w:val="21"/>
              </w:rPr>
            </w:pPr>
          </w:p>
        </w:tc>
        <w:tc>
          <w:tcPr>
            <w:tcW w:w="0" w:type="auto"/>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lang w:eastAsia="zh-CN"/>
              </w:rPr>
              <w:t>提供仪器及其零部件使用寿命清单。</w:t>
            </w:r>
          </w:p>
        </w:tc>
        <w:tc>
          <w:tcPr>
            <w:tcW w:w="0" w:type="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0" w:type="auto"/>
            <w:vAlign w:val="center"/>
          </w:tcPr>
          <w:p>
            <w:pPr>
              <w:pStyle w:val="34"/>
              <w:numPr>
                <w:ilvl w:val="0"/>
                <w:numId w:val="7"/>
              </w:numPr>
              <w:ind w:left="470" w:hanging="120" w:firstLineChars="0"/>
              <w:jc w:val="center"/>
              <w:rPr>
                <w:rFonts w:ascii="Times New Roman" w:hAnsi="Times New Roman"/>
                <w:szCs w:val="21"/>
              </w:rPr>
            </w:pPr>
          </w:p>
        </w:tc>
        <w:tc>
          <w:tcPr>
            <w:tcW w:w="0" w:type="auto"/>
            <w:shd w:val="clear" w:color="auto" w:fill="auto"/>
            <w:vAlign w:val="center"/>
          </w:tcPr>
          <w:p>
            <w:pPr>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lang w:eastAsia="zh-CN"/>
              </w:rPr>
              <w:t>上述条款规定的文件需提供电子版，并在仪器开箱验收时将最终批准的电子版及纸质版全套资料交工程技术部存档。</w:t>
            </w:r>
          </w:p>
        </w:tc>
        <w:tc>
          <w:tcPr>
            <w:tcW w:w="0" w:type="auto"/>
            <w:vAlign w:val="center"/>
          </w:tcPr>
          <w:p>
            <w:pPr>
              <w:jc w:val="both"/>
              <w:rPr>
                <w:szCs w:val="21"/>
                <w:lang w:eastAsia="zh-CN"/>
              </w:rPr>
            </w:pPr>
            <w:r>
              <w:rPr>
                <w:rFonts w:hint="eastAsia"/>
                <w:szCs w:val="21"/>
                <w:lang w:eastAsia="zh-CN"/>
              </w:rPr>
              <w:t>关键</w:t>
            </w:r>
          </w:p>
        </w:tc>
      </w:tr>
    </w:tbl>
    <w:p>
      <w:pPr>
        <w:rPr>
          <w:szCs w:val="21"/>
          <w:lang w:eastAsia="zh-CN"/>
        </w:rPr>
      </w:pPr>
    </w:p>
    <w:p>
      <w:pPr>
        <w:pStyle w:val="34"/>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rPr>
                <w:color w:val="0070C0"/>
                <w:szCs w:val="21"/>
                <w:lang w:eastAsia="zh-CN"/>
              </w:rPr>
            </w:pPr>
            <w:r>
              <w:rPr>
                <w:kern w:val="0"/>
              </w:rPr>
              <w:t>供应商</w:t>
            </w:r>
            <w:r>
              <w:rPr>
                <w:rFonts w:hint="eastAsia"/>
                <w:kern w:val="0"/>
              </w:rPr>
              <w:t>免费</w:t>
            </w:r>
            <w:r>
              <w:rPr>
                <w:kern w:val="0"/>
              </w:rPr>
              <w:t>负责技术指导和人员培训，包括</w:t>
            </w:r>
            <w:r>
              <w:rPr>
                <w:rFonts w:hint="eastAsia"/>
                <w:kern w:val="0"/>
              </w:rPr>
              <w:t>工作原理、部件组装/拆卸、</w:t>
            </w:r>
            <w:r>
              <w:rPr>
                <w:kern w:val="0"/>
              </w:rPr>
              <w:t>使用</w:t>
            </w:r>
            <w:r>
              <w:rPr>
                <w:rFonts w:hint="eastAsia"/>
                <w:kern w:val="0"/>
              </w:rPr>
              <w:t>实操</w:t>
            </w:r>
            <w:r>
              <w:rPr>
                <w:kern w:val="0"/>
              </w:rPr>
              <w:t>、维护、</w:t>
            </w:r>
            <w:r>
              <w:rPr>
                <w:rFonts w:hint="eastAsia"/>
                <w:kern w:val="0"/>
              </w:rPr>
              <w:t>故障分析方法与解决</w:t>
            </w:r>
            <w:r>
              <w:rPr>
                <w:kern w:val="0"/>
              </w:rPr>
              <w:t>等。</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GB" w:eastAsia="zh-CN" w:bidi="ar-SA"/>
              </w:rPr>
            </w:pPr>
            <w:r>
              <w:rPr>
                <w:rFonts w:hint="eastAsia"/>
                <w:lang w:eastAsia="zh-CN"/>
              </w:rPr>
              <w:t>操</w:t>
            </w:r>
            <w:r>
              <w:rPr>
                <w:lang w:eastAsia="zh-CN"/>
              </w:rPr>
              <w:t>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rFonts w:ascii="Times New Roman" w:hAnsi="Times New Roman" w:eastAsia="宋体" w:cs="Times New Roman"/>
                <w:sz w:val="21"/>
                <w:lang w:val="en-GB" w:eastAsia="zh-CN" w:bidi="ar-SA"/>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color w:val="auto"/>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0"/>
              </w:numPr>
              <w:ind w:left="350" w:leftChars="0"/>
              <w:rPr>
                <w:rFonts w:ascii="Times New Roman" w:hAnsi="Times New Roman"/>
                <w:szCs w:val="21"/>
              </w:rPr>
            </w:pPr>
            <w:permStart w:id="37" w:edGrp="everyone"/>
          </w:p>
        </w:tc>
        <w:tc>
          <w:tcPr>
            <w:tcW w:w="9253" w:type="dxa"/>
            <w:gridSpan w:val="2"/>
            <w:shd w:val="clear" w:color="auto" w:fill="auto"/>
            <w:vAlign w:val="center"/>
          </w:tcPr>
          <w:p>
            <w:pPr>
              <w:jc w:val="both"/>
              <w:rPr>
                <w:szCs w:val="21"/>
                <w:lang w:eastAsia="zh-CN"/>
              </w:rPr>
            </w:pPr>
            <w:r>
              <w:rPr>
                <w:rFonts w:hint="eastAsia" w:cs="Times New Roman"/>
                <w:szCs w:val="21"/>
                <w:lang w:val="en-US" w:eastAsia="zh-CN"/>
              </w:rPr>
              <w:t>N/A</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color w:val="000000"/>
                <w:szCs w:val="21"/>
                <w:lang w:eastAsia="zh-CN"/>
              </w:rPr>
              <w:t>设备保质期从确认验收的阶段开始计算。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rFonts w:hint="default" w:ascii="Times New Roman" w:hAnsi="Times New Roman" w:eastAsia="宋体" w:cs="Times New Roman"/>
                <w:sz w:val="21"/>
                <w:szCs w:val="21"/>
                <w:lang w:val="en-GB" w:eastAsia="zh-CN" w:bidi="ar-SA"/>
              </w:rPr>
            </w:pPr>
            <w:r>
              <w:rPr>
                <w:rFonts w:hint="default" w:ascii="Times New Roman" w:hAnsi="Times New Roman" w:cs="Times New Roman"/>
                <w:color w:val="000000"/>
                <w:szCs w:val="21"/>
                <w:lang w:val="en-US" w:eastAsia="zh-CN"/>
              </w:rPr>
              <w:t>设备</w:t>
            </w:r>
            <w:r>
              <w:rPr>
                <w:rFonts w:hint="default" w:ascii="Times New Roman" w:hAnsi="Times New Roman" w:cs="Times New Roman"/>
                <w:color w:val="000000"/>
                <w:szCs w:val="21"/>
                <w:lang w:eastAsia="zh-CN"/>
              </w:rPr>
              <w:t>质保期至少为一年，一年内免费保修，一年后应提供良好的售后服务。</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售后服务必须响应及时，要求设备出现须厂家维修的故障后，应在4小时内明确答复，当电话沟通无法解决时，须</w:t>
            </w:r>
            <w:r>
              <w:rPr>
                <w:rFonts w:hint="eastAsia" w:cs="Times New Roman"/>
                <w:color w:val="000000"/>
                <w:szCs w:val="21"/>
                <w:lang w:val="en-US" w:eastAsia="zh-CN"/>
              </w:rPr>
              <w:t>48</w:t>
            </w:r>
            <w:r>
              <w:rPr>
                <w:rFonts w:hint="default" w:ascii="Times New Roman" w:hAnsi="Times New Roman" w:cs="Times New Roman"/>
                <w:color w:val="000000"/>
                <w:szCs w:val="21"/>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color w:val="000000"/>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4"/>
              <w:numPr>
                <w:ilvl w:val="0"/>
                <w:numId w:val="11"/>
              </w:numPr>
              <w:ind w:left="846" w:leftChars="0" w:hanging="420"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4"/>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rFonts w:ascii="Times New Roman" w:hAnsi="Times New Roman" w:eastAsia="宋体" w:cs="Times New Roman"/>
                <w:sz w:val="21"/>
                <w:szCs w:val="21"/>
                <w:lang w:val="en-US" w:eastAsia="zh-CN" w:bidi="ar-SA"/>
              </w:rPr>
            </w:pPr>
            <w:r>
              <w:rPr>
                <w:rFonts w:hint="eastAsia" w:ascii="宋体" w:hAnsi="宋体"/>
                <w:lang w:eastAsia="zh-CN"/>
              </w:rPr>
              <w:t>验收时，</w:t>
            </w:r>
            <w:r>
              <w:rPr>
                <w:rFonts w:hint="eastAsia" w:ascii="宋体" w:hAnsi="宋体"/>
                <w:szCs w:val="21"/>
                <w:lang w:eastAsia="zh-CN"/>
              </w:rPr>
              <w:t>所有仪器安装、调试、试用已完成，并经过</w:t>
            </w:r>
            <w:r>
              <w:rPr>
                <w:rFonts w:hint="eastAsia" w:ascii="宋体" w:hAnsi="宋体"/>
                <w:szCs w:val="21"/>
                <w:lang w:val="en-US" w:eastAsia="zh-CN"/>
              </w:rPr>
              <w:t>工程技术部及质量保证部</w:t>
            </w:r>
            <w:r>
              <w:rPr>
                <w:rFonts w:hint="eastAsia" w:ascii="宋体" w:hAnsi="宋体"/>
                <w:szCs w:val="21"/>
                <w:lang w:eastAsia="zh-CN"/>
              </w:rPr>
              <w:t>确认。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bl>
    <w:p/>
    <w:p>
      <w:pPr>
        <w:pStyle w:val="34"/>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4"/>
        <w:spacing w:before="0" w:line="360" w:lineRule="auto"/>
        <w:ind w:left="357"/>
        <w:jc w:val="left"/>
        <w:rPr>
          <w:rFonts w:hint="default"/>
          <w:color w:val="auto"/>
          <w:szCs w:val="21"/>
          <w:lang w:val="en-US" w:eastAsia="zh-CN"/>
        </w:rPr>
      </w:pPr>
      <w:r>
        <w:rPr>
          <w:rFonts w:hint="eastAsia"/>
          <w:color w:val="auto"/>
          <w:szCs w:val="21"/>
          <w:lang w:val="en-US" w:eastAsia="zh-CN"/>
        </w:rPr>
        <w:t>不适用</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4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dit="readOnly" w:formatting="1"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MzMyNThhMjE2MzgwM2Q2ZmYxMmJhY2ViNDVlYz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4FC72F0"/>
    <w:rsid w:val="1EE01AE4"/>
    <w:rsid w:val="30D95F31"/>
    <w:rsid w:val="3BA8586D"/>
    <w:rsid w:val="3E0E1EC5"/>
    <w:rsid w:val="3ECF0C85"/>
    <w:rsid w:val="45D53A32"/>
    <w:rsid w:val="46051123"/>
    <w:rsid w:val="58FB21BB"/>
    <w:rsid w:val="608522FF"/>
    <w:rsid w:val="68947D20"/>
    <w:rsid w:val="70DB66DA"/>
    <w:rsid w:val="768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7"/>
    <w:qFormat/>
    <w:uiPriority w:val="99"/>
    <w:pPr>
      <w:tabs>
        <w:tab w:val="center" w:pos="4320"/>
        <w:tab w:val="right" w:pos="8640"/>
      </w:tabs>
    </w:pPr>
  </w:style>
  <w:style w:type="paragraph" w:styleId="14">
    <w:name w:val="header"/>
    <w:basedOn w:val="1"/>
    <w:link w:val="29"/>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index heading"/>
    <w:basedOn w:val="1"/>
    <w:next w:val="17"/>
    <w:unhideWhenUsed/>
    <w:qFormat/>
    <w:uiPriority w:val="0"/>
    <w:rPr>
      <w:rFonts w:ascii="Arial" w:hAnsi="Arial"/>
      <w:b/>
    </w:rPr>
  </w:style>
  <w:style w:type="paragraph" w:styleId="17">
    <w:name w:val="index 1"/>
    <w:basedOn w:val="1"/>
    <w:next w:val="1"/>
    <w:unhideWhenUsed/>
    <w:qFormat/>
    <w:uiPriority w:val="0"/>
  </w:style>
  <w:style w:type="paragraph" w:styleId="18">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7"/>
    <w:qFormat/>
    <w:uiPriority w:val="0"/>
    <w:pPr>
      <w:spacing w:before="240" w:after="60"/>
      <w:jc w:val="center"/>
      <w:outlineLvl w:val="0"/>
    </w:pPr>
    <w:rPr>
      <w:rFonts w:ascii="Calibri Light" w:hAnsi="Calibri Light"/>
      <w:b/>
      <w:bCs/>
      <w:sz w:val="32"/>
      <w:szCs w:val="32"/>
    </w:rPr>
  </w:style>
  <w:style w:type="paragraph" w:styleId="20">
    <w:name w:val="annotation subject"/>
    <w:basedOn w:val="6"/>
    <w:next w:val="6"/>
    <w:semiHidden/>
    <w:qFormat/>
    <w:uiPriority w:val="0"/>
    <w:rPr>
      <w:b/>
      <w:bCs/>
    </w:rPr>
  </w:style>
  <w:style w:type="table" w:styleId="22">
    <w:name w:val="Table Grid"/>
    <w:basedOn w:val="21"/>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annotation reference"/>
    <w:semiHidden/>
    <w:qFormat/>
    <w:uiPriority w:val="0"/>
    <w:rPr>
      <w:sz w:val="21"/>
      <w:szCs w:val="21"/>
    </w:rPr>
  </w:style>
  <w:style w:type="paragraph" w:customStyle="1" w:styleId="28">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9">
    <w:name w:val="页眉 Char2"/>
    <w:link w:val="14"/>
    <w:qFormat/>
    <w:uiPriority w:val="0"/>
    <w:rPr>
      <w:rFonts w:eastAsia="宋体"/>
      <w:sz w:val="24"/>
      <w:lang w:val="en-GB" w:eastAsia="en-US" w:bidi="ar-SA"/>
    </w:rPr>
  </w:style>
  <w:style w:type="paragraph" w:customStyle="1" w:styleId="30">
    <w:name w:val="Default Text"/>
    <w:basedOn w:val="1"/>
    <w:qFormat/>
    <w:uiPriority w:val="0"/>
    <w:pPr>
      <w:overflowPunct/>
      <w:textAlignment w:val="auto"/>
    </w:pPr>
    <w:rPr>
      <w:rFonts w:ascii="Arial" w:hAnsi="Arial"/>
      <w:szCs w:val="24"/>
      <w:lang w:val="en-US"/>
    </w:rPr>
  </w:style>
  <w:style w:type="paragraph" w:customStyle="1" w:styleId="31">
    <w:name w:val="Style"/>
    <w:basedOn w:val="1"/>
    <w:qFormat/>
    <w:uiPriority w:val="0"/>
    <w:pPr>
      <w:overflowPunct/>
      <w:textAlignment w:val="auto"/>
    </w:pPr>
    <w:rPr>
      <w:rFonts w:ascii="Arial" w:hAnsi="Arial"/>
      <w:szCs w:val="24"/>
      <w:lang w:val="en-US"/>
    </w:rPr>
  </w:style>
  <w:style w:type="paragraph" w:customStyle="1" w:styleId="32">
    <w:name w:val="正文1"/>
    <w:basedOn w:val="1"/>
    <w:qFormat/>
    <w:uiPriority w:val="0"/>
    <w:pPr>
      <w:overflowPunct/>
      <w:textAlignment w:val="auto"/>
    </w:pPr>
    <w:rPr>
      <w:rFonts w:ascii="Arial" w:hAnsi="Arial"/>
      <w:sz w:val="20"/>
      <w:lang w:val="en-US"/>
    </w:rPr>
  </w:style>
  <w:style w:type="paragraph" w:customStyle="1" w:styleId="33">
    <w:name w:val="Revision"/>
    <w:hidden/>
    <w:semiHidden/>
    <w:qFormat/>
    <w:uiPriority w:val="99"/>
    <w:rPr>
      <w:rFonts w:ascii="Times New Roman" w:hAnsi="Times New Roman" w:eastAsia="宋体" w:cs="Times New Roman"/>
      <w:sz w:val="24"/>
      <w:lang w:val="en-GB" w:eastAsia="en-US" w:bidi="ar-SA"/>
    </w:rPr>
  </w:style>
  <w:style w:type="paragraph" w:styleId="34">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5">
    <w:name w:val="批注文字 Char"/>
    <w:link w:val="6"/>
    <w:semiHidden/>
    <w:qFormat/>
    <w:uiPriority w:val="0"/>
    <w:rPr>
      <w:sz w:val="24"/>
      <w:lang w:val="en-GB" w:eastAsia="en-US"/>
    </w:rPr>
  </w:style>
  <w:style w:type="paragraph" w:customStyle="1" w:styleId="36">
    <w:name w:val="TOC Heading"/>
    <w:basedOn w:val="2"/>
    <w:next w:val="1"/>
    <w:qFormat/>
    <w:uiPriority w:val="39"/>
    <w:pPr>
      <w:numPr>
        <w:numId w:val="0"/>
      </w:numPr>
      <w:outlineLvl w:val="9"/>
    </w:pPr>
  </w:style>
  <w:style w:type="character" w:customStyle="1" w:styleId="37">
    <w:name w:val="页脚 Char"/>
    <w:link w:val="13"/>
    <w:qFormat/>
    <w:uiPriority w:val="99"/>
    <w:rPr>
      <w:sz w:val="24"/>
      <w:lang w:val="en-GB" w:eastAsia="en-US"/>
    </w:rPr>
  </w:style>
  <w:style w:type="character" w:customStyle="1" w:styleId="38">
    <w:name w:val="instruction standard blue"/>
    <w:qFormat/>
    <w:uiPriority w:val="1"/>
    <w:rPr>
      <w:rFonts w:cs="Arial"/>
      <w:i/>
      <w:color w:val="0070C0"/>
    </w:rPr>
  </w:style>
  <w:style w:type="character" w:customStyle="1" w:styleId="39">
    <w:name w:val="keyword"/>
    <w:basedOn w:val="23"/>
    <w:qFormat/>
    <w:uiPriority w:val="0"/>
  </w:style>
  <w:style w:type="paragraph" w:customStyle="1" w:styleId="40">
    <w:name w:val="numbering blue"/>
    <w:basedOn w:val="1"/>
    <w:link w:val="41"/>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1">
    <w:name w:val="numbering blue Zchn"/>
    <w:link w:val="40"/>
    <w:qFormat/>
    <w:uiPriority w:val="0"/>
    <w:rPr>
      <w:rFonts w:ascii="Arial" w:hAnsi="Arial" w:eastAsia="PMingLiU"/>
      <w:color w:val="0070C0"/>
      <w:lang w:eastAsia="zh-TW"/>
    </w:rPr>
  </w:style>
  <w:style w:type="paragraph" w:customStyle="1" w:styleId="42">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3">
    <w:name w:val="Text Char"/>
    <w:link w:val="44"/>
    <w:qFormat/>
    <w:locked/>
    <w:uiPriority w:val="0"/>
    <w:rPr>
      <w:sz w:val="24"/>
      <w:lang w:eastAsia="en-US"/>
    </w:rPr>
  </w:style>
  <w:style w:type="paragraph" w:customStyle="1" w:styleId="44">
    <w:name w:val="Text"/>
    <w:basedOn w:val="1"/>
    <w:link w:val="43"/>
    <w:qFormat/>
    <w:uiPriority w:val="0"/>
    <w:pPr>
      <w:overflowPunct/>
      <w:autoSpaceDE/>
      <w:autoSpaceDN/>
      <w:adjustRightInd/>
      <w:spacing w:before="120"/>
      <w:jc w:val="both"/>
      <w:textAlignment w:val="auto"/>
    </w:pPr>
    <w:rPr>
      <w:lang w:val="en-US"/>
    </w:rPr>
  </w:style>
  <w:style w:type="character" w:customStyle="1" w:styleId="45">
    <w:name w:val="ordinary-span-edit2"/>
    <w:qFormat/>
    <w:uiPriority w:val="0"/>
  </w:style>
  <w:style w:type="character" w:customStyle="1" w:styleId="46">
    <w:name w:val="apple-converted-space"/>
    <w:basedOn w:val="23"/>
    <w:qFormat/>
    <w:uiPriority w:val="0"/>
  </w:style>
  <w:style w:type="character" w:customStyle="1" w:styleId="47">
    <w:name w:val="标题 Char"/>
    <w:link w:val="19"/>
    <w:qFormat/>
    <w:uiPriority w:val="0"/>
    <w:rPr>
      <w:rFonts w:ascii="Calibri Light" w:hAnsi="Calibri Light" w:cs="Times New Roman"/>
      <w:b/>
      <w:bCs/>
      <w:sz w:val="32"/>
      <w:szCs w:val="32"/>
      <w:lang w:val="en-GB" w:eastAsia="en-US"/>
    </w:rPr>
  </w:style>
  <w:style w:type="paragraph" w:customStyle="1" w:styleId="48">
    <w:name w:val="Table text"/>
    <w:basedOn w:val="1"/>
    <w:qFormat/>
    <w:uiPriority w:val="0"/>
    <w:pPr>
      <w:overflowPunct/>
      <w:autoSpaceDE/>
      <w:autoSpaceDN/>
      <w:adjustRightInd/>
      <w:spacing w:before="120" w:after="120"/>
      <w:jc w:val="both"/>
      <w:textAlignment w:val="auto"/>
    </w:pPr>
    <w:rPr>
      <w:lang w:val="en-US"/>
    </w:rPr>
  </w:style>
  <w:style w:type="character" w:customStyle="1" w:styleId="49">
    <w:name w:val="Footer Char"/>
    <w:basedOn w:val="23"/>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4453</Words>
  <Characters>4947</Characters>
  <Lines>29</Lines>
  <Paragraphs>8</Paragraphs>
  <TotalTime>6</TotalTime>
  <ScaleCrop>false</ScaleCrop>
  <LinksUpToDate>false</LinksUpToDate>
  <CharactersWithSpaces>5031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2025-10-21T07:54:00Z</cp:lastPrinted>
  <dcterms:modified xsi:type="dcterms:W3CDTF">2025-11-19T07:06:09Z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AD3A3E7C7C5A409785F4AECA006092C5_13</vt:lpwstr>
  </property>
  <property fmtid="{D5CDD505-2E9C-101B-9397-08002B2CF9AE}" pid="4" name="KSOTemplateDocerSaveRecord">
    <vt:lpwstr>eyJoZGlkIjoiYTQyNTdiYjc5OWY3Y2Q3MjA4Y2NhYTlmYTFlZDMzYzciLCJ1c2VySWQiOiI2ODY3NzYxMjcifQ==</vt:lpwstr>
  </property>
</Properties>
</file>