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2717189"/>
      <w:bookmarkStart w:id="1" w:name="_Toc484532399"/>
      <w:bookmarkStart w:id="2" w:name="_Toc483400307"/>
      <w:bookmarkStart w:id="3" w:name="_Toc483227223"/>
      <w:bookmarkStart w:id="4" w:name="_Toc483666358"/>
    </w:p>
    <w:p>
      <w:pPr>
        <w:spacing w:after="158" w:afterLines="50"/>
        <w:jc w:val="center"/>
        <w:rPr>
          <w:b/>
          <w:szCs w:val="21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水雾发生器</w:t>
      </w:r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spacing w:after="158" w:afterLines="50"/>
        <w:rPr>
          <w:b/>
          <w:szCs w:val="21"/>
          <w:lang w:eastAsia="zh-CN"/>
        </w:rPr>
      </w:pPr>
    </w:p>
    <w:p>
      <w:pPr>
        <w:pStyle w:val="33"/>
        <w:keepNext w:val="0"/>
        <w:keepLines w:val="0"/>
        <w:widowControl w:val="0"/>
        <w:spacing w:after="158" w:afterLines="50" w:line="240" w:lineRule="auto"/>
        <w:rPr>
          <w:sz w:val="21"/>
          <w:szCs w:val="21"/>
          <w:lang w:eastAsia="zh-CN"/>
        </w:rPr>
      </w:pPr>
    </w:p>
    <w:p>
      <w:pPr>
        <w:pStyle w:val="33"/>
        <w:keepNext w:val="0"/>
        <w:keepLines w:val="0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5"/>
      </w:pPr>
      <w:permStart w:id="0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t>1</w:t>
      </w:r>
      <w:r>
        <w:tab/>
      </w:r>
      <w: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t>2</w:t>
      </w:r>
      <w:r>
        <w:tab/>
      </w:r>
      <w: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t>3</w:t>
      </w:r>
      <w:r>
        <w:tab/>
      </w:r>
      <w: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t>4</w:t>
      </w:r>
      <w:r>
        <w:tab/>
      </w:r>
      <w: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t>5</w:t>
      </w:r>
      <w:r>
        <w:tab/>
      </w:r>
      <w: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t>6</w:t>
      </w:r>
      <w:r>
        <w:tab/>
      </w:r>
      <w: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t>7</w:t>
      </w:r>
      <w:r>
        <w:tab/>
      </w:r>
      <w: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Fonts w:hint="eastAsia"/>
        </w:rPr>
        <w:t>8</w:t>
      </w:r>
      <w:r>
        <w:tab/>
      </w:r>
      <w: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Fonts w:hint="eastAsia"/>
        </w:rPr>
        <w:t>9</w:t>
      </w:r>
      <w:r>
        <w:tab/>
      </w:r>
      <w: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Fonts w:hint="eastAsia"/>
        </w:rPr>
        <w:t>10</w:t>
      </w:r>
      <w:r>
        <w:tab/>
      </w:r>
      <w: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Fonts w:hint="eastAsia"/>
        </w:rPr>
        <w:t>11</w:t>
      </w:r>
      <w:r>
        <w:tab/>
      </w:r>
      <w: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</w:pPr>
      <w:r>
        <w:fldChar w:fldCharType="end"/>
      </w:r>
      <w:permEnd w:id="0"/>
    </w:p>
    <w:p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" w:name="_Toc522716115"/>
      <w:bookmarkStart w:id="6" w:name="_Toc522107735"/>
      <w:r>
        <w:rPr>
          <w:rFonts w:ascii="Times New Roman" w:hAnsi="Times New Roman"/>
          <w:b/>
        </w:rPr>
        <w:t>目的</w:t>
      </w:r>
      <w:bookmarkEnd w:id="5"/>
      <w:bookmarkEnd w:id="6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bookmarkStart w:id="7" w:name="_Toc482360281"/>
      <w:bookmarkStart w:id="8" w:name="_Toc481702475"/>
      <w:bookmarkStart w:id="9" w:name="_Toc482369805"/>
      <w:bookmarkStart w:id="10" w:name="_Toc482370757"/>
      <w:bookmarkStart w:id="11" w:name="_Toc482625279"/>
      <w:bookmarkStart w:id="12" w:name="_Toc482370141"/>
      <w:bookmarkStart w:id="13" w:name="_Toc482370349"/>
      <w:bookmarkStart w:id="14" w:name="_Toc482359936"/>
      <w:bookmarkStart w:id="15" w:name="_Toc482370061"/>
      <w:r>
        <w:rPr>
          <w:szCs w:val="21"/>
          <w:lang w:eastAsia="zh-CN"/>
        </w:rPr>
        <w:t>本文件的目的是描述武汉生物制品研究所有限责任公司</w:t>
      </w:r>
      <w:r>
        <w:rPr>
          <w:rFonts w:hint="eastAsia"/>
          <w:szCs w:val="21"/>
          <w:lang w:eastAsia="zh-CN"/>
        </w:rPr>
        <w:t>工程技术部水雾发生器</w:t>
      </w:r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1"/>
        <w:spacing w:before="0"/>
        <w:ind w:left="360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6" w:name="_Toc522107736"/>
      <w:bookmarkStart w:id="17" w:name="_Toc522716116"/>
      <w:r>
        <w:rPr>
          <w:rFonts w:ascii="Times New Roman" w:hAnsi="Times New Roman"/>
          <w:b/>
        </w:rPr>
        <w:t>范围</w:t>
      </w:r>
      <w:bookmarkEnd w:id="16"/>
      <w:bookmarkEnd w:id="17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r>
        <w:rPr>
          <w:rFonts w:hint="eastAsia"/>
          <w:szCs w:val="21"/>
          <w:lang w:eastAsia="zh-CN"/>
        </w:rPr>
        <w:t>工程技术部水雾发生器</w:t>
      </w:r>
      <w:r>
        <w:rPr>
          <w:szCs w:val="21"/>
          <w:lang w:eastAsia="zh-CN"/>
        </w:rPr>
        <w:t>。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107737"/>
      <w:bookmarkStart w:id="19" w:name="_Toc522716117"/>
      <w:r>
        <w:rPr>
          <w:rFonts w:ascii="Times New Roman" w:hAnsi="Times New Roman"/>
          <w:b/>
        </w:rPr>
        <w:t>参考文件</w:t>
      </w:r>
      <w:bookmarkEnd w:id="18"/>
      <w:bookmarkEnd w:id="19"/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permStart w:id="1" w:edGrp="everyone"/>
      <w:r>
        <w:rPr>
          <w:color w:val="000000"/>
          <w:szCs w:val="21"/>
          <w:lang w:eastAsia="zh-CN"/>
        </w:rPr>
        <w:t>中国药典 2015年版</w:t>
      </w:r>
    </w:p>
    <w:permEnd w:id="1"/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permStart w:id="2" w:edGrp="everyone"/>
      <w:r>
        <w:rPr>
          <w:color w:val="000000"/>
          <w:szCs w:val="21"/>
          <w:lang w:eastAsia="zh-CN"/>
        </w:rPr>
        <w:t>电气安全应符合GB4793.1和GB4793.4的要求。</w:t>
      </w:r>
    </w:p>
    <w:permEnd w:id="2"/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107739"/>
      <w:bookmarkStart w:id="21" w:name="_Toc522716119"/>
      <w:bookmarkStart w:id="48" w:name="_GoBack"/>
      <w:bookmarkEnd w:id="48"/>
      <w:r>
        <w:rPr>
          <w:rFonts w:ascii="Times New Roman" w:hAnsi="Times New Roman"/>
          <w:b/>
        </w:rPr>
        <w:t>系统描述</w:t>
      </w:r>
      <w:bookmarkEnd w:id="20"/>
      <w:bookmarkEnd w:id="21"/>
    </w:p>
    <w:p>
      <w:pPr>
        <w:pStyle w:val="31"/>
        <w:tabs>
          <w:tab w:val="left" w:pos="397"/>
          <w:tab w:val="left" w:pos="600"/>
        </w:tabs>
        <w:spacing w:before="158" w:beforeLines="50"/>
        <w:jc w:val="left"/>
        <w:outlineLvl w:val="1"/>
        <w:rPr>
          <w:rFonts w:ascii="Times New Roman" w:hAnsi="Times New Roman"/>
          <w:b/>
        </w:rPr>
      </w:pPr>
      <w:bookmarkStart w:id="22" w:name="_Toc82503558"/>
      <w:r>
        <w:rPr>
          <w:rFonts w:hint="eastAsia" w:ascii="Times New Roman" w:hAnsi="Times New Roman"/>
          <w:szCs w:val="21"/>
        </w:rPr>
        <w:t>水雾发生器利用超声波技术产生微小水雾，以可视化的方式观察和记录洁净室内的气流情况，其设计和功能符合国际标准，适用于多种高要求的洁净环境检测。设备由水雾生成系统，可视化系统和控制系统等组成。</w:t>
      </w:r>
      <w:bookmarkEnd w:id="22"/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3" w:name="_Toc522716120"/>
      <w:r>
        <w:rPr>
          <w:rFonts w:ascii="Times New Roman" w:hAnsi="Times New Roman"/>
          <w:b/>
          <w:szCs w:val="21"/>
        </w:rPr>
        <w:t>安装要求</w:t>
      </w:r>
      <w:bookmarkEnd w:id="23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4" w:name="OLE_LINK1"/>
            <w:bookmarkStart w:id="25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N/A 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i/>
                <w:color w:val="0070C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设备整机重量不超过15kg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i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 xml:space="preserve">N/A 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 xml:space="preserve">工作环境温度：能适应10℃～32℃环境 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工作环境湿度：至少包括45%～65%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 xml:space="preserve">工作环境洁净级别：A级/B级/C级/D级/CNC区/普通区域 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 xml:space="preserve">交流电电源：～220±10%V，50±1Hz 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,仪器变压器需集成在仪器内部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Theme="majorEastAsia" w:hAnsiTheme="majorEastAsia" w:eastAsiaTheme="majorEastAsia" w:cstheme="majorEastAsia"/>
                <w:i/>
                <w:color w:val="00000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设备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外表壳需为铝制外壳，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整机防水性能满足IP65，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易于清洁。设备内外表面应易于清洁消毒，耐腐蚀，耐氧化，耐受过氧化氢、酒精等消毒剂消毒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标识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 xml:space="preserve">：至少应有以下永久贴牢和清楚易认的标识： </w:t>
            </w:r>
          </w:p>
          <w:p>
            <w:pPr>
              <w:spacing w:line="276" w:lineRule="auto"/>
              <w:jc w:val="both"/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（5）对设备必要的说明；</w:t>
            </w:r>
          </w:p>
          <w:p>
            <w:pPr>
              <w:pStyle w:val="7"/>
              <w:spacing w:line="276" w:lineRule="auto"/>
              <w:rPr>
                <w:rFonts w:hint="eastAsia" w:asciiTheme="majorEastAsia" w:hAnsiTheme="majorEastAsia" w:eastAsiaTheme="majorEastAsia" w:cstheme="majorEastAsia"/>
                <w:color w:val="0070C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）安全标识。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4"/>
      <w:bookmarkEnd w:id="25"/>
      <w:permEnd w:id="11"/>
    </w:tbl>
    <w:p>
      <w:pPr>
        <w:pStyle w:val="31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6" w:name="_Toc522107740"/>
      <w:bookmarkStart w:id="27" w:name="_Toc522716121"/>
      <w:r>
        <w:rPr>
          <w:rFonts w:ascii="Times New Roman" w:hAnsi="Times New Roman"/>
          <w:b/>
        </w:rPr>
        <w:t>运行要求</w:t>
      </w:r>
      <w:bookmarkEnd w:id="26"/>
      <w:bookmarkEnd w:id="27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Theme="majorEastAsia" w:hAnsiTheme="majorEastAsia" w:eastAsiaTheme="majorEastAsia" w:cstheme="majorEastAsia"/>
                <w:i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</w:rPr>
              <w:t>雾化量：6-1</w:t>
            </w:r>
            <w:r>
              <w:rPr>
                <w:rFonts w:hint="eastAsia" w:asciiTheme="majorEastAsia" w:hAnsiTheme="majorEastAsia" w:eastAsiaTheme="majorEastAsia" w:cstheme="majorEastAsia"/>
                <w:sz w:val="20"/>
                <w:lang w:val="en-US" w:eastAsia="zh-CN"/>
              </w:rPr>
              <w:t>0升/小时；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※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</w:rPr>
              <w:t>雾化粒径：</w:t>
            </w: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0.3-0.5um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雾化效果：发雾效果明显，易于拍摄。需提供雾化粒径报告D50及D90数据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※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lang w:val="en-US" w:eastAsia="zh-CN"/>
              </w:rPr>
              <w:t>主机拥有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显示屏</w:t>
            </w:r>
            <w:r>
              <w:rPr>
                <w:rFonts w:hint="eastAsia" w:asciiTheme="majorEastAsia" w:hAnsiTheme="majorEastAsia" w:eastAsiaTheme="majorEastAsia" w:cstheme="majorEastAsia"/>
                <w:sz w:val="20"/>
                <w:lang w:val="en-US" w:eastAsia="zh-CN"/>
              </w:rPr>
              <w:t>，可显示雾化量、风速，并可以通过按钮及旋钮两种调节模式按百分比调整风速、雾化量。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※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lang w:val="en-US" w:eastAsia="zh-CN"/>
              </w:rPr>
              <w:t>使用介质为纯化水或注射水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仪器配有专用分流导管，可根据实际应用场景进行定制，导管外径、内径、以及分流口均可更改，并配有直插接头或螺纹直通/角度接头，可以进行拼接。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GB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※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Theme="majorEastAsia" w:hAnsiTheme="majorEastAsia" w:eastAsiaTheme="majorEastAsia" w:cstheme="majorEastAsia"/>
                <w:sz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lang w:val="en-US" w:eastAsia="zh-CN"/>
              </w:rPr>
              <w:t>有注水口和排水口，水箱最大容量不低于7L；</w:t>
            </w:r>
            <w:r>
              <w:rPr>
                <w:rStyle w:val="24"/>
                <w:rFonts w:hint="eastAsia" w:asciiTheme="majorEastAsia" w:hAnsiTheme="majorEastAsia" w:eastAsiaTheme="majorEastAsia" w:cstheme="majorEastAsia"/>
                <w:lang w:val="en-US" w:eastAsia="zh-CN"/>
              </w:rPr>
              <w:t>最大水量下单次运行时间不少于一个小时。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※</w:t>
            </w:r>
          </w:p>
        </w:tc>
      </w:tr>
      <w:permEnd w:id="1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Theme="majorEastAsia" w:hAnsiTheme="majorEastAsia" w:eastAsiaTheme="majorEastAsia" w:cstheme="majorEastAsia"/>
                <w:sz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lang w:val="en-US" w:eastAsia="zh-CN"/>
              </w:rPr>
              <w:t>可通过无线遥控器在无障碍10m范围内控制设备启动、停止、暂停、调节风速大小、雾化量大小；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※</w:t>
            </w: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Theme="majorEastAsia" w:hAnsiTheme="majorEastAsia" w:eastAsiaTheme="majorEastAsia" w:cstheme="majorEastAsia"/>
                <w:sz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管路连接处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应为硅胶软材质，并可以和分流管无缝对接、且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不可有烟漏出；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Theme="majorEastAsia" w:hAnsiTheme="majorEastAsia" w:eastAsiaTheme="majorEastAsia" w:cstheme="majorEastAsia"/>
                <w:sz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lang w:val="en-US" w:eastAsia="zh-CN"/>
              </w:rPr>
              <w:t>可以实现自动补水功能（缺水时自动补水，到达标准后停止补水），至少可以连续发烟5小时以上；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※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可通过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无线遥控器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遥控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配备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2根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70cm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长烟雾导管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（可拼接）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，可互相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牢固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连接并可以无限延长（可定制任意长度），一根4m长烟雾折叠伸缩管；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随机配备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电源线、黑色幕布（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四角配备吸盘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）、导管吸盘（三脚架升级），便携移动仪器箱，补水软管1根1.5米；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※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bookmarkStart w:id="28" w:name="_Toc522716122"/>
            <w:bookmarkStart w:id="29" w:name="_Toc522107742"/>
            <w:bookmarkStart w:id="30" w:name="_Toc482370359"/>
            <w:bookmarkStart w:id="31" w:name="_Toc482360291"/>
            <w:bookmarkStart w:id="32" w:name="_Toc483400317"/>
            <w:bookmarkStart w:id="33" w:name="_Toc482370071"/>
            <w:bookmarkStart w:id="34" w:name="_Toc482359946"/>
            <w:bookmarkStart w:id="35" w:name="_Toc481702480"/>
            <w:bookmarkStart w:id="36" w:name="_Toc482370151"/>
            <w:bookmarkStart w:id="37" w:name="_Toc482717202"/>
            <w:bookmarkStart w:id="38" w:name="_Toc482625289"/>
            <w:bookmarkStart w:id="39" w:name="_Toc483227237"/>
            <w:bookmarkStart w:id="40" w:name="_Toc482369815"/>
            <w:bookmarkStart w:id="41" w:name="_Toc482370767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定制烟雾导管+转接头：4*30cm导管（可拼接），2个转弯接头，1根直径 3cm 长度 30 厘米导管（可拼接，用于狭小空间含1个配套转接头与发雾软管进行连接）；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bookmarkStart w:id="42" w:name="_Toc522716123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悬挂式支架，可用于吸附玻璃悬挂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烟雾导管。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配备移动导轨，可通过导轨遥控发雾管的移动方向，发雾软管应在两根导轨相对中间位置；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轻便化电源线设计，电源线长度大于2m。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※</w:t>
            </w:r>
          </w:p>
        </w:tc>
      </w:tr>
      <w:bookmarkEnd w:id="28"/>
    </w:tbl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安全要求</w:t>
      </w:r>
      <w:bookmarkEnd w:id="29"/>
      <w:bookmarkEnd w:id="42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有</w:t>
            </w:r>
            <w:r>
              <w:rPr>
                <w:rFonts w:hint="eastAsia"/>
                <w:szCs w:val="21"/>
                <w:lang w:val="en-US" w:eastAsia="zh-CN"/>
              </w:rPr>
              <w:t>漏</w:t>
            </w:r>
            <w:r>
              <w:rPr>
                <w:rFonts w:hint="eastAsia"/>
                <w:szCs w:val="21"/>
                <w:lang w:eastAsia="zh-CN"/>
              </w:rPr>
              <w:t>电保护措施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4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107743"/>
      <w:bookmarkStart w:id="44" w:name="_Toc522716124"/>
      <w:r>
        <w:rPr>
          <w:rFonts w:ascii="Times New Roman" w:hAnsi="Times New Roman"/>
          <w:b/>
        </w:rPr>
        <w:t>文件要求</w:t>
      </w:r>
      <w:bookmarkEnd w:id="43"/>
      <w:bookmarkEnd w:id="44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jc w:val="center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投标文件、合同及订单。</w:t>
            </w:r>
            <w:r>
              <w:rPr>
                <w:rFonts w:hint="eastAsia"/>
                <w:szCs w:val="21"/>
                <w:lang w:eastAsia="zh-CN"/>
              </w:rPr>
              <w:tab/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jc w:val="center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卖方发运清单，设备开箱验收；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提供操作手册、出厂合格证；</w:t>
            </w:r>
            <w:r>
              <w:rPr>
                <w:rFonts w:hint="eastAsia"/>
                <w:szCs w:val="21"/>
                <w:lang w:eastAsia="zh-CN"/>
              </w:rPr>
              <w:tab/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it-IT" w:eastAsia="zh-CN"/>
              </w:rPr>
              <w:t>提供文件资料中硬件、软件型号须与实际一致。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5"/>
      <w:r>
        <w:rPr>
          <w:rFonts w:ascii="Times New Roman" w:hAnsi="Times New Roman"/>
          <w:b/>
          <w:szCs w:val="21"/>
        </w:rPr>
        <w:t>服务要求</w:t>
      </w:r>
      <w:bookmarkEnd w:id="45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设备供应商应免费对设备使用方人员进行全面培训，包括对</w:t>
            </w:r>
            <w:r>
              <w:rPr>
                <w:rFonts w:hint="eastAsia"/>
                <w:lang w:eastAsia="zh-CN"/>
              </w:rPr>
              <w:t>操</w:t>
            </w:r>
            <w:r>
              <w:rPr>
                <w:lang w:eastAsia="zh-CN"/>
              </w:rPr>
              <w:t>作人员及设备维护、维修人员，并填写培训记录。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操</w:t>
            </w:r>
            <w:r>
              <w:rPr>
                <w:lang w:eastAsia="zh-CN"/>
              </w:rPr>
              <w:t>作人员培训包括设备结构原理、性能、操作、清洗消毒、故障排除等基本</w:t>
            </w:r>
            <w:r>
              <w:rPr>
                <w:szCs w:val="21"/>
                <w:lang w:eastAsia="zh-CN"/>
              </w:rPr>
              <w:t>知识</w:t>
            </w:r>
            <w:r>
              <w:rPr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设备保质期从确认验收文件签署之后开始计算。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设备质保期为一年以上，保质期内免费保修并免费更换所有配件，保质期后应提供良好的售后服务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售后服务必须响应及时，要求仪器出现须厂家维修的故障后，应在4小时内明确答复，当电话沟通无法解决时，须48小时内派人至现场解决。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免费保修期后，厂家应终生提供及时的维修、维护，厂家应定期回访，解决仪器运行当中可能出现的疑问，排除潜在故障，使仪器保持良好工作状态。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厂家应提供合格的备件，用于仪器相应部件的维修、更换。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保质期内，设备若存在生物安全方面问题，厂家应协助解决。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供应商进厂施工需遵守安全和施工规定。确认试车验收合格后，买卖双方签订验收报告。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</w:tbl>
    <w:p/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107746"/>
      <w:bookmarkStart w:id="47" w:name="_Toc522716126"/>
      <w:r>
        <w:rPr>
          <w:rFonts w:ascii="Times New Roman" w:hAnsi="Times New Roman"/>
          <w:b/>
        </w:rPr>
        <w:t>附件</w:t>
      </w:r>
      <w:bookmarkEnd w:id="46"/>
      <w:bookmarkEnd w:id="47"/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permStart w:id="39" w:edGrp="everyone"/>
      <w:r>
        <w:rPr>
          <w:rFonts w:hint="eastAsia"/>
          <w:szCs w:val="21"/>
          <w:lang w:eastAsia="zh-CN"/>
        </w:rPr>
        <w:t>不适用</w:t>
      </w:r>
      <w:permEnd w:id="39"/>
    </w:p>
    <w:p>
      <w:pPr>
        <w:pStyle w:val="41"/>
        <w:spacing w:before="0" w:line="360" w:lineRule="auto"/>
        <w:ind w:left="357"/>
        <w:jc w:val="left"/>
        <w:rPr>
          <w:color w:val="4472C4"/>
          <w:szCs w:val="21"/>
          <w:lang w:eastAsia="zh-CN"/>
        </w:rPr>
      </w:pPr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2768E53C"/>
    <w:multiLevelType w:val="multilevel"/>
    <w:tmpl w:val="2768E53C"/>
    <w:lvl w:ilvl="0" w:tentative="0">
      <w:start w:val="1"/>
      <w:numFmt w:val="decimal"/>
      <w:lvlText w:val="11.%1"/>
      <w:lvlJc w:val="left"/>
      <w:pPr>
        <w:ind w:left="846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86546ED"/>
    <w:multiLevelType w:val="multilevel"/>
    <w:tmpl w:val="686546ED"/>
    <w:lvl w:ilvl="0" w:tentative="0">
      <w:start w:val="1"/>
      <w:numFmt w:val="decimal"/>
      <w:pStyle w:val="37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dit="readOnly" w:formatting="1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MzMyNThhMjE2MzgwM2Q2ZmYxMmJhY2ViNDVlYzEifQ=="/>
  </w:docVars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0AE1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D57A9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84D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1EC7A6B"/>
    <w:rsid w:val="08730E67"/>
    <w:rsid w:val="0DCB3E53"/>
    <w:rsid w:val="1AD04CD4"/>
    <w:rsid w:val="1C886B0F"/>
    <w:rsid w:val="1EE01AE4"/>
    <w:rsid w:val="30D95F31"/>
    <w:rsid w:val="397D5702"/>
    <w:rsid w:val="44EF14D2"/>
    <w:rsid w:val="4FA23EF0"/>
    <w:rsid w:val="60467CB1"/>
    <w:rsid w:val="6D681F13"/>
    <w:rsid w:val="70DB66DA"/>
    <w:rsid w:val="768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semiHidden/>
    <w:qFormat/>
    <w:uiPriority w:val="0"/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4"/>
    <w:qFormat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26"/>
    <w:qFormat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Title"/>
    <w:basedOn w:val="1"/>
    <w:next w:val="1"/>
    <w:link w:val="44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8">
    <w:name w:val="annotation subject"/>
    <w:basedOn w:val="6"/>
    <w:next w:val="6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semiHidden/>
    <w:qFormat/>
    <w:uiPriority w:val="0"/>
    <w:rPr>
      <w:sz w:val="21"/>
      <w:szCs w:val="21"/>
    </w:r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6">
    <w:name w:val="页眉 字符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7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1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2">
    <w:name w:val="批注文字 字符"/>
    <w:link w:val="6"/>
    <w:semiHidden/>
    <w:qFormat/>
    <w:uiPriority w:val="0"/>
    <w:rPr>
      <w:sz w:val="24"/>
      <w:lang w:val="en-GB" w:eastAsia="en-US"/>
    </w:rPr>
  </w:style>
  <w:style w:type="paragraph" w:customStyle="1" w:styleId="33">
    <w:name w:val="TOC 标题1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4">
    <w:name w:val="页脚 字符"/>
    <w:link w:val="13"/>
    <w:qFormat/>
    <w:uiPriority w:val="99"/>
    <w:rPr>
      <w:sz w:val="24"/>
      <w:lang w:val="en-GB" w:eastAsia="en-US"/>
    </w:rPr>
  </w:style>
  <w:style w:type="character" w:customStyle="1" w:styleId="35">
    <w:name w:val="instruction standard blue"/>
    <w:qFormat/>
    <w:uiPriority w:val="1"/>
    <w:rPr>
      <w:rFonts w:cs="Arial"/>
      <w:i/>
      <w:color w:val="0070C0"/>
    </w:rPr>
  </w:style>
  <w:style w:type="character" w:customStyle="1" w:styleId="36">
    <w:name w:val="keyword"/>
    <w:basedOn w:val="21"/>
    <w:qFormat/>
    <w:uiPriority w:val="0"/>
  </w:style>
  <w:style w:type="paragraph" w:customStyle="1" w:styleId="37">
    <w:name w:val="numbering blue"/>
    <w:basedOn w:val="1"/>
    <w:link w:val="38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8">
    <w:name w:val="numbering blue Zchn"/>
    <w:link w:val="37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0">
    <w:name w:val="Text Char"/>
    <w:link w:val="41"/>
    <w:qFormat/>
    <w:locked/>
    <w:uiPriority w:val="0"/>
    <w:rPr>
      <w:sz w:val="24"/>
      <w:lang w:eastAsia="en-US"/>
    </w:rPr>
  </w:style>
  <w:style w:type="paragraph" w:customStyle="1" w:styleId="41">
    <w:name w:val="Text"/>
    <w:basedOn w:val="1"/>
    <w:link w:val="40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2">
    <w:name w:val="ordinary-span-edit2"/>
    <w:qFormat/>
    <w:uiPriority w:val="0"/>
  </w:style>
  <w:style w:type="character" w:customStyle="1" w:styleId="43">
    <w:name w:val="apple-converted-space"/>
    <w:basedOn w:val="21"/>
    <w:qFormat/>
    <w:uiPriority w:val="0"/>
  </w:style>
  <w:style w:type="character" w:customStyle="1" w:styleId="44">
    <w:name w:val="标题 字符"/>
    <w:link w:val="17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5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6">
    <w:name w:val="Footer Char"/>
    <w:basedOn w:val="21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2309</Words>
  <Characters>2474</Characters>
  <Lines>24</Lines>
  <Paragraphs>7</Paragraphs>
  <TotalTime>0</TotalTime>
  <ScaleCrop>false</ScaleCrop>
  <LinksUpToDate>false</LinksUpToDate>
  <CharactersWithSpaces>2525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2018-12-24T07:58:00Z</dcterms:created>
  <dc:creator>Lilly</dc:creator>
  <cp:lastModifiedBy>汪洋</cp:lastModifiedBy>
  <cp:lastPrinted>2017-06-22T01:53:00Z</cp:lastPrinted>
  <dcterms:modified xsi:type="dcterms:W3CDTF">2025-11-19T07:16:12Z</dcterms:modified>
  <dc:title>生效期：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6274931593DA4CCDA6300070EDFE5B78_13</vt:lpwstr>
  </property>
  <property fmtid="{D5CDD505-2E9C-101B-9397-08002B2CF9AE}" pid="4" name="KSOTemplateDocerSaveRecord">
    <vt:lpwstr>eyJoZGlkIjoiMjVjZTMzZDdiMDE5MzA4ZTljNzIwMTFiMGMzZGQ0ZmYifQ==</vt:lpwstr>
  </property>
</Properties>
</file>