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numPr>
          <w:ilvl w:val="0"/>
          <w:numId w:val="2"/>
        </w:numPr>
        <w:spacing w:after="158" w:afterLines="50"/>
        <w:ind w:left="426" w:hanging="426" w:hangingChars="202"/>
        <w:outlineLvl w:val="0"/>
        <w:rPr>
          <w:rFonts w:ascii="Times New Roman" w:hAnsi="Times New Roman"/>
          <w:b/>
        </w:rPr>
      </w:pPr>
      <w:bookmarkStart w:id="0" w:name="_Toc522107735"/>
      <w:bookmarkStart w:id="1" w:name="_Toc522716115"/>
      <w:r>
        <w:rPr>
          <w:rFonts w:ascii="Times New Roman" w:hAnsi="Times New Roman"/>
          <w:b/>
        </w:rPr>
        <w:t>目的</w:t>
      </w:r>
      <w:bookmarkEnd w:id="0"/>
      <w:bookmarkEnd w:id="1"/>
    </w:p>
    <w:p>
      <w:pPr>
        <w:pStyle w:val="14"/>
        <w:spacing w:before="0" w:line="360" w:lineRule="auto"/>
        <w:ind w:left="357"/>
        <w:jc w:val="left"/>
        <w:rPr>
          <w:szCs w:val="21"/>
          <w:lang w:eastAsia="zh-CN"/>
        </w:rPr>
      </w:pPr>
      <w:bookmarkStart w:id="2" w:name="_Toc482370757"/>
      <w:bookmarkStart w:id="3" w:name="_Toc482370141"/>
      <w:bookmarkStart w:id="4" w:name="_Toc482359936"/>
      <w:bookmarkStart w:id="5" w:name="_Toc482369805"/>
      <w:bookmarkStart w:id="6" w:name="_Toc482370349"/>
      <w:bookmarkStart w:id="7" w:name="_Toc482360281"/>
      <w:bookmarkStart w:id="8" w:name="_Toc482370061"/>
      <w:bookmarkStart w:id="9" w:name="_Toc481702475"/>
      <w:bookmarkStart w:id="10" w:name="_Toc482625279"/>
      <w:r>
        <w:rPr>
          <w:szCs w:val="21"/>
          <w:lang w:eastAsia="zh-CN"/>
        </w:rPr>
        <w:t>本文件的目的是描述武汉生物制品研究所有限责任公司</w:t>
      </w:r>
      <w:r>
        <w:rPr>
          <w:rFonts w:hint="eastAsia"/>
          <w:szCs w:val="21"/>
          <w:lang w:val="en-US" w:eastAsia="zh-CN"/>
        </w:rPr>
        <w:t>牛肉</w:t>
      </w:r>
      <w:r>
        <w:rPr>
          <w:szCs w:val="21"/>
          <w:lang w:eastAsia="zh-CN"/>
        </w:rPr>
        <w:t>的用户需求说明（URS），以确保最终用户的需求在项目设计阶段得以实现，并作为后续验证工作的基础。</w:t>
      </w:r>
    </w:p>
    <w:p>
      <w:pPr>
        <w:pStyle w:val="14"/>
        <w:spacing w:before="0"/>
        <w:ind w:left="360"/>
        <w:rPr>
          <w:szCs w:val="21"/>
          <w:lang w:eastAsia="zh-CN"/>
        </w:rPr>
      </w:pPr>
    </w:p>
    <w:p>
      <w:pPr>
        <w:pStyle w:val="15"/>
        <w:numPr>
          <w:ilvl w:val="0"/>
          <w:numId w:val="2"/>
        </w:numPr>
        <w:spacing w:after="158" w:afterLines="50"/>
        <w:ind w:left="426" w:hanging="426" w:hangingChars="202"/>
        <w:outlineLvl w:val="0"/>
        <w:rPr>
          <w:rFonts w:ascii="Times New Roman" w:hAnsi="Times New Roman"/>
          <w:b/>
        </w:rPr>
      </w:pPr>
      <w:bookmarkStart w:id="11" w:name="_Toc522107736"/>
      <w:bookmarkStart w:id="12" w:name="_Toc522716116"/>
      <w:r>
        <w:rPr>
          <w:rFonts w:ascii="Times New Roman" w:hAnsi="Times New Roman"/>
          <w:b/>
        </w:rPr>
        <w:t>范围</w:t>
      </w:r>
      <w:bookmarkEnd w:id="11"/>
      <w:bookmarkEnd w:id="12"/>
    </w:p>
    <w:p>
      <w:pPr>
        <w:pStyle w:val="14"/>
        <w:spacing w:before="0" w:line="360" w:lineRule="auto"/>
        <w:ind w:left="357"/>
        <w:jc w:val="left"/>
        <w:rPr>
          <w:szCs w:val="21"/>
          <w:lang w:eastAsia="zh-CN"/>
        </w:rPr>
      </w:pPr>
      <w:r>
        <w:rPr>
          <w:szCs w:val="21"/>
          <w:lang w:eastAsia="zh-CN"/>
        </w:rPr>
        <w:t>本URS适用于武汉生物制品研究所有限责任公司</w:t>
      </w:r>
      <w:r>
        <w:rPr>
          <w:rFonts w:hint="eastAsia"/>
          <w:szCs w:val="21"/>
          <w:lang w:eastAsia="zh-CN"/>
        </w:rPr>
        <w:t>牛肉</w:t>
      </w:r>
      <w:r>
        <w:rPr>
          <w:szCs w:val="21"/>
          <w:lang w:eastAsia="zh-CN"/>
        </w:rPr>
        <w:t>。</w:t>
      </w:r>
      <w:bookmarkEnd w:id="2"/>
      <w:bookmarkEnd w:id="3"/>
      <w:bookmarkEnd w:id="4"/>
      <w:bookmarkEnd w:id="5"/>
      <w:bookmarkEnd w:id="6"/>
      <w:bookmarkEnd w:id="7"/>
      <w:bookmarkEnd w:id="8"/>
      <w:bookmarkEnd w:id="9"/>
      <w:bookmarkEnd w:id="10"/>
    </w:p>
    <w:p>
      <w:pPr>
        <w:pStyle w:val="14"/>
        <w:spacing w:before="0" w:line="360" w:lineRule="auto"/>
        <w:ind w:left="357"/>
        <w:jc w:val="left"/>
        <w:rPr>
          <w:szCs w:val="21"/>
          <w:lang w:eastAsia="zh-CN"/>
        </w:rPr>
      </w:pPr>
    </w:p>
    <w:p>
      <w:pPr>
        <w:pStyle w:val="15"/>
        <w:numPr>
          <w:ilvl w:val="0"/>
          <w:numId w:val="2"/>
        </w:numPr>
        <w:spacing w:after="158" w:afterLines="50"/>
        <w:ind w:left="426" w:hanging="426" w:hangingChars="202"/>
        <w:outlineLvl w:val="0"/>
        <w:rPr>
          <w:rFonts w:ascii="Times New Roman" w:hAnsi="Times New Roman"/>
          <w:b/>
        </w:rPr>
      </w:pPr>
      <w:bookmarkStart w:id="13" w:name="_Toc522107737"/>
      <w:bookmarkStart w:id="14" w:name="_Toc522716117"/>
      <w:r>
        <w:rPr>
          <w:rFonts w:ascii="Times New Roman" w:hAnsi="Times New Roman"/>
          <w:b/>
        </w:rPr>
        <w:t>参考文件</w:t>
      </w:r>
      <w:bookmarkEnd w:id="13"/>
      <w:bookmarkEnd w:id="14"/>
      <w:bookmarkStart w:id="48" w:name="_GoBack"/>
      <w:bookmarkEnd w:id="48"/>
    </w:p>
    <w:p>
      <w:pPr>
        <w:pStyle w:val="14"/>
        <w:numPr>
          <w:ilvl w:val="0"/>
          <w:numId w:val="3"/>
        </w:numPr>
        <w:spacing w:before="0" w:line="360" w:lineRule="auto"/>
        <w:jc w:val="left"/>
        <w:rPr>
          <w:color w:val="000000"/>
          <w:szCs w:val="21"/>
          <w:lang w:eastAsia="zh-CN"/>
        </w:rPr>
      </w:pPr>
      <w:r>
        <w:rPr>
          <w:color w:val="000000"/>
          <w:szCs w:val="21"/>
          <w:lang w:eastAsia="zh-CN"/>
        </w:rPr>
        <w:t>GMP法规指南和SOP</w:t>
      </w:r>
    </w:p>
    <w:p>
      <w:pPr>
        <w:pStyle w:val="14"/>
        <w:numPr>
          <w:ilvl w:val="0"/>
          <w:numId w:val="4"/>
        </w:numPr>
        <w:spacing w:before="0" w:line="360" w:lineRule="auto"/>
        <w:ind w:left="777"/>
        <w:jc w:val="left"/>
        <w:rPr>
          <w:color w:val="4472C4"/>
          <w:szCs w:val="21"/>
          <w:lang w:eastAsia="zh-CN"/>
        </w:rPr>
      </w:pPr>
      <w:r>
        <w:rPr>
          <w:color w:val="000000"/>
          <w:szCs w:val="21"/>
          <w:lang w:eastAsia="zh-CN"/>
        </w:rPr>
        <w:t>SOP-06-12-0005 用户需求编写审批SOP</w:t>
      </w:r>
    </w:p>
    <w:p>
      <w:pPr>
        <w:pStyle w:val="14"/>
        <w:numPr>
          <w:ilvl w:val="0"/>
          <w:numId w:val="4"/>
        </w:numPr>
        <w:spacing w:before="0" w:line="360" w:lineRule="auto"/>
        <w:ind w:left="777"/>
        <w:jc w:val="left"/>
        <w:rPr>
          <w:color w:val="000000"/>
          <w:szCs w:val="21"/>
          <w:lang w:eastAsia="zh-CN"/>
        </w:rPr>
      </w:pPr>
      <w:r>
        <w:rPr>
          <w:rFonts w:hint="eastAsia"/>
          <w:color w:val="000000"/>
          <w:szCs w:val="21"/>
          <w:lang w:eastAsia="zh-CN"/>
        </w:rPr>
        <w:t>《中华人民共和国药典》（202</w:t>
      </w:r>
      <w:r>
        <w:rPr>
          <w:rFonts w:hint="eastAsia"/>
          <w:color w:val="000000"/>
          <w:szCs w:val="21"/>
          <w:lang w:val="en-US" w:eastAsia="zh-CN"/>
        </w:rPr>
        <w:t>5</w:t>
      </w:r>
      <w:r>
        <w:rPr>
          <w:rFonts w:hint="eastAsia"/>
          <w:color w:val="000000"/>
          <w:szCs w:val="21"/>
          <w:lang w:eastAsia="zh-CN"/>
        </w:rPr>
        <w:t>版）</w:t>
      </w:r>
    </w:p>
    <w:p>
      <w:pPr>
        <w:pStyle w:val="14"/>
        <w:numPr>
          <w:ilvl w:val="0"/>
          <w:numId w:val="4"/>
        </w:numPr>
        <w:spacing w:before="0" w:line="360" w:lineRule="auto"/>
        <w:ind w:left="777"/>
        <w:jc w:val="left"/>
        <w:rPr>
          <w:color w:val="000000"/>
          <w:szCs w:val="21"/>
          <w:lang w:eastAsia="zh-CN"/>
        </w:rPr>
      </w:pPr>
      <w:r>
        <w:rPr>
          <w:rFonts w:hint="eastAsia"/>
          <w:color w:val="000000"/>
          <w:szCs w:val="21"/>
          <w:lang w:eastAsia="zh-CN"/>
        </w:rPr>
        <w:t>《药品生产质量管理规范》（2010版）</w:t>
      </w:r>
    </w:p>
    <w:p>
      <w:pPr>
        <w:pStyle w:val="14"/>
        <w:numPr>
          <w:ilvl w:val="0"/>
          <w:numId w:val="4"/>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
      <w:pPr>
        <w:pStyle w:val="14"/>
        <w:numPr>
          <w:ilvl w:val="0"/>
          <w:numId w:val="3"/>
        </w:numPr>
        <w:spacing w:before="0" w:line="360" w:lineRule="auto"/>
        <w:jc w:val="left"/>
        <w:rPr>
          <w:color w:val="000000"/>
          <w:szCs w:val="21"/>
          <w:lang w:eastAsia="zh-CN"/>
        </w:rPr>
      </w:pPr>
      <w:r>
        <w:rPr>
          <w:color w:val="000000"/>
          <w:szCs w:val="21"/>
          <w:lang w:eastAsia="zh-CN"/>
        </w:rPr>
        <w:t>安全及环保法规指南</w:t>
      </w:r>
    </w:p>
    <w:p>
      <w:pPr>
        <w:pStyle w:val="14"/>
        <w:numPr>
          <w:ilvl w:val="0"/>
          <w:numId w:val="5"/>
        </w:numPr>
        <w:spacing w:before="0" w:line="360" w:lineRule="auto"/>
        <w:jc w:val="left"/>
        <w:rPr>
          <w:color w:val="FF0000"/>
          <w:szCs w:val="21"/>
          <w:lang w:eastAsia="zh-CN"/>
        </w:rPr>
      </w:pPr>
      <w:r>
        <w:rPr>
          <w:rFonts w:hint="eastAsia"/>
          <w:szCs w:val="21"/>
          <w:lang w:eastAsia="zh-CN"/>
        </w:rPr>
        <w:t>N</w:t>
      </w:r>
      <w:r>
        <w:rPr>
          <w:szCs w:val="21"/>
          <w:lang w:eastAsia="zh-CN"/>
        </w:rPr>
        <w:t>/A</w:t>
      </w:r>
    </w:p>
    <w:p>
      <w:pPr>
        <w:pStyle w:val="14"/>
        <w:spacing w:before="0" w:line="360" w:lineRule="auto"/>
        <w:ind w:left="357"/>
        <w:jc w:val="left"/>
        <w:rPr>
          <w:i/>
          <w:szCs w:val="21"/>
          <w:lang w:eastAsia="zh-CN"/>
        </w:rPr>
      </w:pPr>
    </w:p>
    <w:p>
      <w:pPr>
        <w:pStyle w:val="15"/>
        <w:numPr>
          <w:ilvl w:val="0"/>
          <w:numId w:val="2"/>
        </w:numPr>
        <w:spacing w:after="158" w:afterLines="50"/>
        <w:ind w:left="426" w:hanging="426" w:hangingChars="202"/>
        <w:outlineLvl w:val="0"/>
        <w:rPr>
          <w:rFonts w:ascii="Times New Roman" w:hAnsi="Times New Roman"/>
          <w:b/>
        </w:rPr>
      </w:pPr>
      <w:bookmarkStart w:id="15" w:name="_Toc522716119"/>
      <w:bookmarkStart w:id="16" w:name="_Toc522107739"/>
      <w:r>
        <w:rPr>
          <w:rFonts w:ascii="Times New Roman" w:hAnsi="Times New Roman"/>
          <w:b/>
        </w:rPr>
        <w:t>系统描述</w:t>
      </w:r>
      <w:bookmarkEnd w:id="15"/>
      <w:bookmarkEnd w:id="16"/>
    </w:p>
    <w:p>
      <w:pPr>
        <w:pStyle w:val="14"/>
        <w:spacing w:before="0" w:line="360" w:lineRule="auto"/>
        <w:ind w:left="357"/>
        <w:jc w:val="left"/>
        <w:rPr>
          <w:i/>
          <w:color w:val="4472C4"/>
          <w:szCs w:val="21"/>
          <w:lang w:eastAsia="zh-CN"/>
        </w:rPr>
      </w:pPr>
      <w:r>
        <w:rPr>
          <w:szCs w:val="21"/>
          <w:lang w:eastAsia="zh-CN"/>
        </w:rPr>
        <w:t>武汉生物制品研究所有限责任公司</w:t>
      </w:r>
      <w:r>
        <w:rPr>
          <w:rFonts w:hint="eastAsia"/>
          <w:szCs w:val="21"/>
          <w:lang w:eastAsia="zh-CN"/>
        </w:rPr>
        <w:t>需求的</w:t>
      </w:r>
      <w:r>
        <w:rPr>
          <w:rFonts w:hint="eastAsia"/>
          <w:color w:val="000000"/>
          <w:szCs w:val="21"/>
          <w:lang w:eastAsia="zh-CN"/>
        </w:rPr>
        <w:t>牛肉，用于</w:t>
      </w:r>
      <w:r>
        <w:rPr>
          <w:rFonts w:hint="eastAsia"/>
          <w:color w:val="000000"/>
          <w:szCs w:val="21"/>
          <w:lang w:val="en-US" w:eastAsia="zh-CN"/>
        </w:rPr>
        <w:t>细菌类疫苗室、细菌类疫苗二室等百白破、多糖系列的培养基生产</w:t>
      </w:r>
      <w:r>
        <w:rPr>
          <w:rFonts w:hint="eastAsia"/>
          <w:color w:val="000000"/>
          <w:szCs w:val="21"/>
          <w:lang w:eastAsia="zh-CN"/>
        </w:rPr>
        <w:t>及科研实验等。</w:t>
      </w:r>
    </w:p>
    <w:p>
      <w:pPr>
        <w:pStyle w:val="15"/>
        <w:numPr>
          <w:ilvl w:val="0"/>
          <w:numId w:val="2"/>
        </w:numPr>
        <w:spacing w:after="158" w:afterLines="50"/>
        <w:ind w:left="426" w:hanging="426" w:hangingChars="202"/>
        <w:outlineLvl w:val="0"/>
        <w:rPr>
          <w:rFonts w:ascii="Times New Roman" w:hAnsi="Times New Roman"/>
          <w:b/>
          <w:szCs w:val="21"/>
        </w:rPr>
      </w:pPr>
      <w:bookmarkStart w:id="17" w:name="_Toc522716120"/>
      <w:r>
        <w:rPr>
          <w:rFonts w:ascii="Times New Roman" w:hAnsi="Times New Roman"/>
          <w:b/>
          <w:szCs w:val="21"/>
        </w:rPr>
        <w:t>安装要求</w:t>
      </w:r>
      <w:bookmarkEnd w:id="17"/>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18" w:name="OLE_LINK2"/>
            <w:bookmarkStart w:id="19"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i/>
                <w:color w:val="0070C0"/>
                <w:szCs w:val="21"/>
                <w:lang w:eastAsia="zh-CN"/>
              </w:rPr>
            </w:pPr>
            <w:r>
              <w:rPr>
                <w:szCs w:val="21"/>
                <w:lang w:eastAsia="zh-CN"/>
              </w:rPr>
              <w:t>武汉生物制品研究所有限责任公司</w:t>
            </w:r>
            <w:r>
              <w:rPr>
                <w:rFonts w:hint="eastAsia"/>
                <w:color w:val="000000"/>
                <w:szCs w:val="21"/>
                <w:lang w:val="en-US" w:eastAsia="zh-CN"/>
              </w:rPr>
              <w:t>细菌类疫苗室</w:t>
            </w:r>
            <w:r>
              <w:rPr>
                <w:rFonts w:hint="eastAsia"/>
                <w:szCs w:val="21"/>
                <w:lang w:val="en-US" w:eastAsia="zh-CN"/>
              </w:rPr>
              <w:t>培养基楼</w:t>
            </w:r>
            <w:r>
              <w:rPr>
                <w:rFonts w:hint="eastAsia"/>
                <w:szCs w:val="21"/>
                <w:lang w:eastAsia="zh-CN"/>
              </w:rPr>
              <w:t>车间</w:t>
            </w:r>
            <w:r>
              <w:rPr>
                <w:rFonts w:hint="eastAsia"/>
                <w:szCs w:val="21"/>
                <w:lang w:val="en-US" w:eastAsia="zh-CN"/>
              </w:rPr>
              <w:t>CNC</w:t>
            </w:r>
            <w:r>
              <w:rPr>
                <w:rFonts w:hint="eastAsia"/>
                <w:szCs w:val="21"/>
                <w:lang w:eastAsia="zh-CN"/>
              </w:rPr>
              <w:t>区。</w:t>
            </w:r>
          </w:p>
        </w:tc>
        <w:tc>
          <w:tcPr>
            <w:tcW w:w="2125" w:type="dxa"/>
            <w:shd w:val="clear" w:color="auto" w:fill="auto"/>
            <w:vAlign w:val="center"/>
          </w:tcPr>
          <w:p>
            <w:pPr>
              <w:jc w:val="center"/>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708"/>
              <w:rPr>
                <w:szCs w:val="21"/>
              </w:rPr>
            </w:pPr>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708"/>
              <w:rPr>
                <w:szCs w:val="21"/>
              </w:rPr>
            </w:pPr>
          </w:p>
        </w:tc>
        <w:tc>
          <w:tcPr>
            <w:tcW w:w="9253" w:type="dxa"/>
            <w:gridSpan w:val="2"/>
            <w:shd w:val="clear" w:color="auto" w:fill="auto"/>
            <w:vAlign w:val="center"/>
          </w:tcPr>
          <w:p>
            <w:pPr>
              <w:jc w:val="both"/>
              <w:rPr>
                <w:i/>
                <w:color w:val="0070C0"/>
                <w:szCs w:val="21"/>
                <w:lang w:eastAsia="zh-CN"/>
              </w:rPr>
            </w:pPr>
            <w:r>
              <w:rPr>
                <w:rFonts w:hint="eastAsia"/>
                <w:sz w:val="24"/>
                <w:szCs w:val="24"/>
                <w:lang w:eastAsia="zh-CN"/>
              </w:rPr>
              <w:t>N</w:t>
            </w:r>
            <w:r>
              <w:rPr>
                <w:sz w:val="24"/>
                <w:szCs w:val="24"/>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708"/>
              <w:rPr>
                <w:szCs w:val="21"/>
              </w:rPr>
            </w:pPr>
          </w:p>
        </w:tc>
        <w:tc>
          <w:tcPr>
            <w:tcW w:w="9253" w:type="dxa"/>
            <w:gridSpan w:val="2"/>
            <w:shd w:val="clear" w:color="auto" w:fill="auto"/>
            <w:vAlign w:val="center"/>
          </w:tcPr>
          <w:p>
            <w:pPr>
              <w:jc w:val="both"/>
              <w:rPr>
                <w:i/>
                <w:szCs w:val="21"/>
                <w:lang w:eastAsia="zh-CN"/>
              </w:rPr>
            </w:pPr>
            <w:r>
              <w:rPr>
                <w:rFonts w:hint="eastAsia"/>
                <w:sz w:val="24"/>
                <w:szCs w:val="24"/>
                <w:lang w:eastAsia="zh-CN"/>
              </w:rPr>
              <w:t>N</w:t>
            </w:r>
            <w:r>
              <w:rPr>
                <w:sz w:val="24"/>
                <w:szCs w:val="24"/>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应当为</w:t>
            </w:r>
            <w:r>
              <w:rPr>
                <w:rFonts w:hint="eastAsia"/>
                <w:szCs w:val="21"/>
                <w:lang w:val="en-US" w:eastAsia="zh-CN"/>
              </w:rPr>
              <w:t>食用级别</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708"/>
              <w:rPr>
                <w:szCs w:val="21"/>
              </w:rPr>
            </w:pPr>
          </w:p>
        </w:tc>
        <w:tc>
          <w:tcPr>
            <w:tcW w:w="9253" w:type="dxa"/>
            <w:gridSpan w:val="2"/>
            <w:shd w:val="clear" w:color="auto" w:fill="auto"/>
            <w:vAlign w:val="center"/>
          </w:tcPr>
          <w:p>
            <w:pPr>
              <w:jc w:val="both"/>
              <w:rPr>
                <w:color w:val="FF0000"/>
                <w:szCs w:val="21"/>
                <w:lang w:eastAsia="zh-CN"/>
              </w:rPr>
            </w:pPr>
            <w:r>
              <w:rPr>
                <w:rFonts w:hint="eastAsia"/>
                <w:color w:val="000000"/>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default"/>
                <w:sz w:val="21"/>
                <w:szCs w:val="21"/>
                <w:lang w:val="en-US" w:eastAsia="zh-CN"/>
              </w:rPr>
            </w:pPr>
            <w:r>
              <w:rPr>
                <w:rFonts w:hint="eastAsia"/>
                <w:sz w:val="21"/>
                <w:szCs w:val="21"/>
                <w:lang w:val="en-US" w:eastAsia="zh-CN"/>
              </w:rPr>
              <w:t>牛肉为黄牛肉。不得掺杂任何其他来源肉。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default"/>
                <w:sz w:val="21"/>
                <w:szCs w:val="21"/>
                <w:lang w:val="en-US" w:eastAsia="zh-CN"/>
              </w:rPr>
            </w:pPr>
            <w:r>
              <w:rPr>
                <w:rFonts w:hint="eastAsia"/>
                <w:sz w:val="21"/>
                <w:szCs w:val="21"/>
                <w:lang w:val="en-US" w:eastAsia="zh-CN"/>
              </w:rPr>
              <w:t>牛肉来源明确、清晰、可追溯。每批次牛肉必须注明生产单位。特别是一批牛肉涉及多个生产单位，均需明确记载。</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eastAsia"/>
                <w:sz w:val="21"/>
                <w:szCs w:val="21"/>
                <w:lang w:val="en-US" w:eastAsia="zh-CN"/>
              </w:rPr>
            </w:pPr>
            <w:r>
              <w:rPr>
                <w:rFonts w:hint="eastAsia"/>
                <w:sz w:val="21"/>
                <w:szCs w:val="21"/>
                <w:lang w:val="en-US" w:eastAsia="zh-CN"/>
              </w:rPr>
              <w:t>每批牛肉均需牛肉来源地县级及以上动物卫生监督所或其他行政单位出具的《动物检疫合格证明》或其他同类相关证明文件，加盖牛肉来源地县级及以上行政单位的动物卫生监督所检疫专用章。涉及多个生产单位的，需要全部《动物检疫合格证明》或其他同类相关证明文件。</w:t>
            </w:r>
          </w:p>
          <w:p>
            <w:pPr>
              <w:pStyle w:val="16"/>
              <w:spacing w:line="360" w:lineRule="auto"/>
              <w:jc w:val="both"/>
              <w:rPr>
                <w:rFonts w:hint="default"/>
                <w:sz w:val="21"/>
                <w:szCs w:val="21"/>
                <w:lang w:val="en-US" w:eastAsia="zh-CN"/>
              </w:rPr>
            </w:pPr>
            <w:r>
              <w:rPr>
                <w:rFonts w:hint="eastAsia"/>
                <w:sz w:val="21"/>
                <w:szCs w:val="21"/>
                <w:lang w:val="en-US" w:eastAsia="zh-CN"/>
              </w:rPr>
              <w:t>上述证明文件原件需交给采购方。</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default"/>
                <w:sz w:val="21"/>
                <w:szCs w:val="21"/>
                <w:lang w:val="en-US" w:eastAsia="zh-CN"/>
              </w:rPr>
            </w:pPr>
            <w:r>
              <w:rPr>
                <w:rFonts w:hint="eastAsia"/>
                <w:sz w:val="21"/>
                <w:szCs w:val="21"/>
                <w:lang w:val="en-US" w:eastAsia="zh-CN"/>
              </w:rPr>
              <w:t>从宰杀到武汉生物制品研究所有限责任公司培养基楼车间不超过24小时，要求到场牛肉无腐败、变质情况。</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default"/>
                <w:sz w:val="21"/>
                <w:szCs w:val="21"/>
                <w:lang w:val="en-US" w:eastAsia="zh-CN"/>
              </w:rPr>
            </w:pPr>
            <w:r>
              <w:rPr>
                <w:rFonts w:hint="eastAsia"/>
                <w:sz w:val="21"/>
                <w:szCs w:val="21"/>
                <w:lang w:val="en-US" w:eastAsia="zh-CN"/>
              </w:rPr>
              <w:t>严格控制运输温度，以免造成牛肉变质。</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default"/>
                <w:sz w:val="21"/>
                <w:szCs w:val="21"/>
                <w:lang w:val="en-US" w:eastAsia="zh-CN"/>
              </w:rPr>
            </w:pPr>
            <w:r>
              <w:rPr>
                <w:rFonts w:hint="eastAsia"/>
                <w:sz w:val="21"/>
                <w:szCs w:val="21"/>
                <w:lang w:val="en-US" w:eastAsia="zh-CN"/>
              </w:rPr>
              <w:t>从宰杀到武汉生物制品研究所有限责任公司培养基楼车间过程中，不得加任何防腐剂。</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default"/>
                <w:sz w:val="21"/>
                <w:szCs w:val="21"/>
                <w:lang w:val="en-US" w:eastAsia="zh-CN"/>
              </w:rPr>
            </w:pPr>
            <w:r>
              <w:rPr>
                <w:rFonts w:hint="eastAsia"/>
                <w:sz w:val="21"/>
                <w:szCs w:val="21"/>
                <w:lang w:val="en-US" w:eastAsia="zh-CN"/>
              </w:rPr>
              <w:t>每批牛肉总重量均以武汉生物制品研究所有限责任公司生产厂家称量数额为准。</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default"/>
                <w:sz w:val="21"/>
                <w:szCs w:val="21"/>
                <w:lang w:val="en-US" w:eastAsia="zh-CN"/>
              </w:rPr>
            </w:pPr>
            <w:r>
              <w:rPr>
                <w:rFonts w:hint="eastAsia"/>
                <w:sz w:val="21"/>
                <w:szCs w:val="21"/>
                <w:lang w:val="en-US" w:eastAsia="zh-CN"/>
              </w:rPr>
              <w:t>每次采购均由武汉生物制品研究所有限责任公司生产车间工作人员确定，一般提前4天左右通知供货单位采购数量。</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default"/>
                <w:sz w:val="21"/>
                <w:szCs w:val="21"/>
                <w:lang w:val="en-US" w:eastAsia="zh-CN"/>
              </w:rPr>
            </w:pPr>
            <w:r>
              <w:rPr>
                <w:rFonts w:hint="eastAsia"/>
                <w:sz w:val="21"/>
                <w:szCs w:val="21"/>
                <w:lang w:val="en-US" w:eastAsia="zh-CN"/>
              </w:rPr>
              <w:t>牛肉为非注水牛肉。任何比例注水牛肉，将视为不合格牛肉。</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default"/>
                <w:sz w:val="21"/>
                <w:szCs w:val="21"/>
                <w:lang w:val="en-US" w:eastAsia="zh-CN"/>
              </w:rPr>
            </w:pPr>
            <w:r>
              <w:rPr>
                <w:rFonts w:hint="eastAsia"/>
                <w:sz w:val="21"/>
                <w:szCs w:val="21"/>
                <w:lang w:val="en-US" w:eastAsia="zh-CN"/>
              </w:rPr>
              <w:t>牛肉为纯瘦肉（一般形式为分割肉）。如果脂肪、筋膜、骨头等超过20%，将视为不合格牛肉。</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16"/>
              <w:spacing w:line="360" w:lineRule="auto"/>
              <w:jc w:val="both"/>
              <w:rPr>
                <w:rFonts w:hint="eastAsia"/>
                <w:sz w:val="21"/>
                <w:szCs w:val="21"/>
                <w:lang w:val="en-US" w:eastAsia="zh-CN"/>
              </w:rPr>
            </w:pPr>
            <w:r>
              <w:rPr>
                <w:rFonts w:hint="eastAsia"/>
                <w:sz w:val="21"/>
                <w:szCs w:val="21"/>
                <w:lang w:val="en-US" w:eastAsia="zh-CN"/>
              </w:rPr>
              <w:t>牛肉进车间之前必须满足以下状态：</w:t>
            </w:r>
          </w:p>
          <w:p>
            <w:pPr>
              <w:pStyle w:val="16"/>
              <w:spacing w:line="360" w:lineRule="auto"/>
              <w:jc w:val="both"/>
              <w:rPr>
                <w:rFonts w:hint="eastAsia"/>
                <w:sz w:val="21"/>
                <w:szCs w:val="21"/>
                <w:lang w:val="en-US" w:eastAsia="zh-CN"/>
              </w:rPr>
            </w:pPr>
            <w:r>
              <w:rPr>
                <w:rFonts w:hint="eastAsia"/>
                <w:sz w:val="21"/>
                <w:szCs w:val="21"/>
                <w:lang w:val="en-US" w:eastAsia="zh-CN"/>
              </w:rPr>
              <w:t>富有弹性，压指后凹陷部位立即恢复原状；</w:t>
            </w:r>
          </w:p>
          <w:p>
            <w:pPr>
              <w:pStyle w:val="16"/>
              <w:spacing w:line="360" w:lineRule="auto"/>
              <w:jc w:val="both"/>
              <w:rPr>
                <w:rFonts w:hint="eastAsia"/>
                <w:sz w:val="21"/>
                <w:szCs w:val="21"/>
                <w:lang w:val="en-US" w:eastAsia="zh-CN"/>
              </w:rPr>
            </w:pPr>
            <w:r>
              <w:rPr>
                <w:rFonts w:hint="eastAsia"/>
                <w:sz w:val="21"/>
                <w:szCs w:val="21"/>
                <w:lang w:val="en-US" w:eastAsia="zh-CN"/>
              </w:rPr>
              <w:t>表面具有肉色色泽；</w:t>
            </w:r>
          </w:p>
          <w:p>
            <w:pPr>
              <w:pStyle w:val="16"/>
              <w:spacing w:line="360" w:lineRule="auto"/>
              <w:jc w:val="both"/>
              <w:rPr>
                <w:rFonts w:hint="eastAsia"/>
                <w:sz w:val="21"/>
                <w:szCs w:val="21"/>
                <w:lang w:val="en-US" w:eastAsia="zh-CN"/>
              </w:rPr>
            </w:pPr>
            <w:r>
              <w:rPr>
                <w:rFonts w:hint="eastAsia"/>
                <w:sz w:val="21"/>
                <w:szCs w:val="21"/>
                <w:lang w:val="en-US" w:eastAsia="zh-CN"/>
              </w:rPr>
              <w:t>颜色暗红，有光泽，脂肪洁白或淡黄色；</w:t>
            </w:r>
          </w:p>
          <w:p>
            <w:pPr>
              <w:pStyle w:val="16"/>
              <w:spacing w:line="360" w:lineRule="auto"/>
              <w:jc w:val="both"/>
              <w:rPr>
                <w:rFonts w:hint="eastAsia"/>
                <w:sz w:val="21"/>
                <w:szCs w:val="21"/>
                <w:lang w:val="en-US" w:eastAsia="zh-CN"/>
              </w:rPr>
            </w:pPr>
            <w:r>
              <w:rPr>
                <w:rFonts w:hint="eastAsia"/>
                <w:sz w:val="21"/>
                <w:szCs w:val="21"/>
                <w:lang w:val="en-US" w:eastAsia="zh-CN"/>
              </w:rPr>
              <w:t>表面有风干膜；</w:t>
            </w:r>
          </w:p>
          <w:p>
            <w:pPr>
              <w:pStyle w:val="16"/>
              <w:spacing w:line="360" w:lineRule="auto"/>
              <w:jc w:val="both"/>
              <w:rPr>
                <w:rFonts w:hint="eastAsia"/>
                <w:sz w:val="21"/>
                <w:szCs w:val="21"/>
                <w:lang w:val="en-US" w:eastAsia="zh-CN"/>
              </w:rPr>
            </w:pPr>
            <w:r>
              <w:rPr>
                <w:rFonts w:hint="eastAsia"/>
                <w:sz w:val="21"/>
                <w:szCs w:val="21"/>
                <w:lang w:val="en-US" w:eastAsia="zh-CN"/>
              </w:rPr>
              <w:t>有牛肉膻气，无腐败、变质情况；</w:t>
            </w:r>
          </w:p>
          <w:p>
            <w:pPr>
              <w:pStyle w:val="16"/>
              <w:spacing w:line="360" w:lineRule="auto"/>
              <w:jc w:val="both"/>
              <w:rPr>
                <w:rFonts w:hint="default"/>
                <w:sz w:val="21"/>
                <w:szCs w:val="21"/>
                <w:lang w:val="en-US" w:eastAsia="zh-CN"/>
              </w:rPr>
            </w:pPr>
            <w:r>
              <w:rPr>
                <w:rFonts w:hint="eastAsia"/>
                <w:sz w:val="21"/>
                <w:szCs w:val="21"/>
                <w:lang w:val="en-US" w:eastAsia="zh-CN"/>
              </w:rPr>
              <w:t>干净卫生，无其他杂质。</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bookmarkEnd w:id="18"/>
      <w:bookmarkEnd w:id="19"/>
    </w:tbl>
    <w:p>
      <w:pPr>
        <w:pStyle w:val="15"/>
        <w:spacing w:after="158" w:afterLines="50"/>
        <w:ind w:left="425"/>
        <w:rPr>
          <w:rFonts w:ascii="Times New Roman" w:hAnsi="Times New Roman"/>
          <w:szCs w:val="21"/>
        </w:rPr>
      </w:pPr>
    </w:p>
    <w:p>
      <w:pPr>
        <w:pStyle w:val="15"/>
        <w:numPr>
          <w:ilvl w:val="0"/>
          <w:numId w:val="2"/>
        </w:numPr>
        <w:spacing w:after="158" w:afterLines="50"/>
        <w:ind w:left="426" w:hanging="426" w:hangingChars="202"/>
        <w:outlineLvl w:val="0"/>
        <w:rPr>
          <w:rFonts w:ascii="Times New Roman" w:hAnsi="Times New Roman"/>
          <w:b/>
        </w:rPr>
      </w:pPr>
      <w:bookmarkStart w:id="20" w:name="_Toc139296930"/>
      <w:bookmarkStart w:id="21" w:name="_Toc522107740"/>
      <w:bookmarkStart w:id="22" w:name="_Toc522716121"/>
      <w:r>
        <w:rPr>
          <w:rFonts w:ascii="Times New Roman" w:hAnsi="Times New Roman"/>
          <w:b/>
        </w:rPr>
        <w:t>运行要求</w:t>
      </w:r>
      <w:bookmarkEnd w:id="20"/>
      <w:bookmarkEnd w:id="21"/>
      <w:bookmarkEnd w:id="22"/>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6942"/>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6942" w:type="dxa"/>
            <w:shd w:val="clear" w:color="auto" w:fill="D9D9D9"/>
            <w:vAlign w:val="center"/>
          </w:tcPr>
          <w:p>
            <w:pPr>
              <w:jc w:val="center"/>
              <w:rPr>
                <w:b/>
                <w:szCs w:val="21"/>
                <w:lang w:eastAsia="zh-CN"/>
              </w:rPr>
            </w:pPr>
            <w:r>
              <w:rPr>
                <w:b/>
                <w:szCs w:val="21"/>
                <w:lang w:eastAsia="zh-CN"/>
              </w:rPr>
              <w:t>需求</w:t>
            </w:r>
          </w:p>
        </w:tc>
        <w:tc>
          <w:tcPr>
            <w:tcW w:w="230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15"/>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6942" w:type="dxa"/>
            <w:shd w:val="clear" w:color="auto" w:fill="auto"/>
            <w:vAlign w:val="center"/>
          </w:tcPr>
          <w:p>
            <w:pPr>
              <w:jc w:val="both"/>
              <w:rPr>
                <w:szCs w:val="21"/>
                <w:lang w:eastAsia="zh-CN"/>
              </w:rPr>
            </w:pPr>
            <w:r>
              <w:rPr>
                <w:rFonts w:hint="eastAsia"/>
                <w:szCs w:val="21"/>
                <w:lang w:eastAsia="zh-CN"/>
              </w:rPr>
              <w:t>牛肉供应商需与买方签订质量协议。保证</w:t>
            </w:r>
            <w:r>
              <w:rPr>
                <w:rFonts w:hint="eastAsia"/>
                <w:szCs w:val="21"/>
                <w:lang w:val="en-US" w:eastAsia="zh-CN"/>
              </w:rPr>
              <w:t>牛肉宰杀</w:t>
            </w:r>
            <w:r>
              <w:rPr>
                <w:rFonts w:hint="eastAsia"/>
                <w:szCs w:val="21"/>
                <w:lang w:eastAsia="zh-CN"/>
              </w:rPr>
              <w:t>到客户工厂</w:t>
            </w:r>
            <w:r>
              <w:rPr>
                <w:rFonts w:hint="eastAsia"/>
                <w:szCs w:val="21"/>
                <w:lang w:val="en-US" w:eastAsia="zh-CN"/>
              </w:rPr>
              <w:t>车间时间不超过24小时</w:t>
            </w:r>
            <w:r>
              <w:rPr>
                <w:rFonts w:hint="eastAsia"/>
                <w:szCs w:val="21"/>
                <w:lang w:eastAsia="zh-CN"/>
              </w:rPr>
              <w:t>，在保质期内产品出现质量问题无条件更换。</w:t>
            </w:r>
          </w:p>
        </w:tc>
        <w:tc>
          <w:tcPr>
            <w:tcW w:w="2308"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6942" w:type="dxa"/>
            <w:shd w:val="clear" w:color="auto" w:fill="auto"/>
            <w:vAlign w:val="center"/>
          </w:tcPr>
          <w:p>
            <w:pPr>
              <w:jc w:val="both"/>
              <w:rPr>
                <w:szCs w:val="21"/>
                <w:lang w:eastAsia="zh-CN"/>
              </w:rPr>
            </w:pPr>
            <w:r>
              <w:rPr>
                <w:rFonts w:hint="eastAsia"/>
                <w:szCs w:val="21"/>
                <w:lang w:eastAsia="zh-CN"/>
              </w:rPr>
              <w:t>采用食品级及以上P</w:t>
            </w:r>
            <w:r>
              <w:rPr>
                <w:szCs w:val="21"/>
                <w:lang w:eastAsia="zh-CN"/>
              </w:rPr>
              <w:t>E</w:t>
            </w:r>
            <w:r>
              <w:rPr>
                <w:rFonts w:hint="eastAsia"/>
                <w:szCs w:val="21"/>
                <w:lang w:eastAsia="zh-CN"/>
              </w:rPr>
              <w:t>塑料袋包装。</w:t>
            </w:r>
          </w:p>
        </w:tc>
        <w:tc>
          <w:tcPr>
            <w:tcW w:w="2308"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15"/>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15"/>
              <w:numPr>
                <w:ilvl w:val="0"/>
                <w:numId w:val="7"/>
              </w:numPr>
              <w:ind w:left="470" w:hanging="120" w:firstLineChars="0"/>
              <w:rPr>
                <w:szCs w:val="21"/>
              </w:rPr>
            </w:pPr>
          </w:p>
        </w:tc>
        <w:tc>
          <w:tcPr>
            <w:tcW w:w="9250"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15"/>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ind w:left="708" w:leftChars="0"/>
              <w:rPr>
                <w:rFonts w:ascii="Times New Roman" w:hAnsi="Times New Roman"/>
                <w:szCs w:val="21"/>
              </w:rPr>
            </w:pPr>
          </w:p>
        </w:tc>
        <w:tc>
          <w:tcPr>
            <w:tcW w:w="9250"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15"/>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ind w:left="708"/>
              <w:rPr>
                <w:szCs w:val="21"/>
              </w:rPr>
            </w:pPr>
          </w:p>
        </w:tc>
        <w:tc>
          <w:tcPr>
            <w:tcW w:w="9250"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tbl>
    <w:p>
      <w:pPr>
        <w:pStyle w:val="15"/>
        <w:numPr>
          <w:ilvl w:val="0"/>
          <w:numId w:val="2"/>
        </w:numPr>
        <w:spacing w:after="158" w:afterLines="50"/>
        <w:ind w:left="426" w:hanging="426" w:hangingChars="202"/>
        <w:outlineLvl w:val="0"/>
        <w:rPr>
          <w:rFonts w:ascii="Times New Roman" w:hAnsi="Times New Roman"/>
          <w:b/>
        </w:rPr>
      </w:pPr>
      <w:bookmarkStart w:id="23" w:name="_Toc139296931"/>
      <w:bookmarkStart w:id="24" w:name="_Toc522716122"/>
      <w:bookmarkStart w:id="25" w:name="_Toc522107742"/>
      <w:bookmarkStart w:id="26" w:name="_Toc482370767"/>
      <w:bookmarkStart w:id="27" w:name="_Toc482369815"/>
      <w:bookmarkStart w:id="28" w:name="_Toc482717202"/>
      <w:bookmarkStart w:id="29" w:name="_Toc482370359"/>
      <w:bookmarkStart w:id="30" w:name="_Toc483400317"/>
      <w:bookmarkStart w:id="31" w:name="_Toc482359946"/>
      <w:bookmarkStart w:id="32" w:name="_Toc482370071"/>
      <w:bookmarkStart w:id="33" w:name="_Toc481702480"/>
      <w:bookmarkStart w:id="34" w:name="_Toc482625289"/>
      <w:bookmarkStart w:id="35" w:name="_Toc482370151"/>
      <w:bookmarkStart w:id="36" w:name="_Toc483227237"/>
      <w:bookmarkStart w:id="37" w:name="_Toc482360291"/>
      <w:r>
        <w:rPr>
          <w:rFonts w:ascii="Times New Roman" w:hAnsi="Times New Roman"/>
          <w:b/>
        </w:rPr>
        <w:t>电气、自动控制要求</w:t>
      </w:r>
      <w:bookmarkEnd w:id="23"/>
      <w:bookmarkEnd w:id="24"/>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708"/>
              <w:rPr>
                <w:szCs w:val="21"/>
              </w:rPr>
            </w:pPr>
          </w:p>
        </w:tc>
        <w:tc>
          <w:tcPr>
            <w:tcW w:w="9253" w:type="dxa"/>
            <w:gridSpan w:val="2"/>
            <w:shd w:val="clear" w:color="auto" w:fill="auto"/>
            <w:vAlign w:val="center"/>
          </w:tcPr>
          <w:p>
            <w:pPr>
              <w:jc w:val="both"/>
              <w:rPr>
                <w:i/>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708"/>
              <w:rPr>
                <w:szCs w:val="21"/>
              </w:rPr>
            </w:pPr>
          </w:p>
        </w:tc>
        <w:tc>
          <w:tcPr>
            <w:tcW w:w="9253" w:type="dxa"/>
            <w:gridSpan w:val="2"/>
            <w:shd w:val="clear" w:color="auto" w:fill="auto"/>
            <w:vAlign w:val="center"/>
          </w:tcPr>
          <w:p>
            <w:pPr>
              <w:jc w:val="both"/>
              <w:rPr>
                <w:szCs w:val="21"/>
                <w:lang w:eastAsia="zh-CN"/>
              </w:rPr>
            </w:pPr>
            <w:r>
              <w:rPr>
                <w:rFonts w:hint="eastAsia"/>
                <w:szCs w:val="21"/>
                <w:lang w:eastAsia="zh-CN"/>
              </w:rPr>
              <w:t>N/A</w:t>
            </w:r>
          </w:p>
        </w:tc>
      </w:tr>
    </w:tbl>
    <w:p>
      <w:pPr>
        <w:spacing w:after="158" w:afterLines="50"/>
        <w:rPr>
          <w:b/>
          <w:lang w:eastAsia="zh-CN"/>
        </w:rPr>
      </w:pPr>
    </w:p>
    <w:p>
      <w:pPr>
        <w:pStyle w:val="15"/>
        <w:numPr>
          <w:ilvl w:val="0"/>
          <w:numId w:val="2"/>
        </w:numPr>
        <w:spacing w:after="158" w:afterLines="50"/>
        <w:ind w:left="426" w:hanging="426" w:hangingChars="202"/>
        <w:outlineLvl w:val="0"/>
        <w:rPr>
          <w:rFonts w:ascii="Times New Roman" w:hAnsi="Times New Roman"/>
          <w:b/>
        </w:rPr>
      </w:pPr>
      <w:bookmarkStart w:id="38" w:name="_Toc522716123"/>
      <w:bookmarkStart w:id="39" w:name="_Toc139296932"/>
      <w:r>
        <w:rPr>
          <w:rFonts w:ascii="Times New Roman" w:hAnsi="Times New Roman"/>
          <w:b/>
        </w:rPr>
        <w:t>安全要求</w:t>
      </w:r>
      <w:bookmarkEnd w:id="25"/>
      <w:bookmarkEnd w:id="38"/>
      <w:bookmarkEnd w:id="39"/>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708"/>
              <w:rPr>
                <w:szCs w:val="21"/>
              </w:rPr>
            </w:pPr>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708"/>
              <w:rPr>
                <w:szCs w:val="21"/>
              </w:rPr>
            </w:pPr>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tbl>
    <w:p>
      <w:pPr>
        <w:rPr>
          <w:szCs w:val="21"/>
          <w:lang w:eastAsia="zh-CN"/>
        </w:rPr>
      </w:pPr>
    </w:p>
    <w:p>
      <w:pPr>
        <w:pStyle w:val="15"/>
        <w:numPr>
          <w:ilvl w:val="0"/>
          <w:numId w:val="2"/>
        </w:numPr>
        <w:spacing w:after="158" w:afterLines="50"/>
        <w:ind w:left="426" w:hanging="426" w:hangingChars="202"/>
        <w:outlineLvl w:val="0"/>
        <w:rPr>
          <w:rFonts w:ascii="Times New Roman" w:hAnsi="Times New Roman"/>
          <w:b/>
        </w:rPr>
      </w:pPr>
      <w:bookmarkStart w:id="40" w:name="_Toc139296933"/>
      <w:bookmarkStart w:id="41" w:name="_Toc522716124"/>
      <w:bookmarkStart w:id="42" w:name="_Toc522107743"/>
      <w:r>
        <w:rPr>
          <w:rFonts w:ascii="Times New Roman" w:hAnsi="Times New Roman"/>
          <w:b/>
        </w:rPr>
        <w:t>文件要求</w:t>
      </w:r>
      <w:bookmarkEnd w:id="40"/>
      <w:bookmarkEnd w:id="41"/>
      <w:bookmarkEnd w:id="42"/>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kern w:val="2"/>
                <w:szCs w:val="21"/>
                <w:lang w:eastAsia="zh-CN"/>
              </w:rPr>
            </w:pPr>
            <w:r>
              <w:rPr>
                <w:kern w:val="2"/>
                <w:szCs w:val="21"/>
                <w:lang w:eastAsia="zh-CN"/>
              </w:rPr>
              <w:t>投标文件、合同及订单。</w:t>
            </w:r>
          </w:p>
        </w:tc>
        <w:tc>
          <w:tcPr>
            <w:tcW w:w="2128"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rFonts w:hint="eastAsia"/>
                <w:szCs w:val="21"/>
                <w:lang w:eastAsia="zh-CN"/>
              </w:rPr>
              <w:t>需提供生产的资质证明材料及证明。包括但是不限于：营业执照、屠宰许可证、排污许可证以及动物防疫条件许可证。</w:t>
            </w:r>
          </w:p>
        </w:tc>
        <w:tc>
          <w:tcPr>
            <w:tcW w:w="2128"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2" w:type="dxa"/>
            <w:shd w:val="clear" w:color="auto" w:fill="auto"/>
            <w:vAlign w:val="center"/>
          </w:tcPr>
          <w:p>
            <w:pPr>
              <w:jc w:val="both"/>
              <w:rPr>
                <w:szCs w:val="21"/>
                <w:lang w:eastAsia="zh-CN"/>
              </w:rPr>
            </w:pPr>
            <w:r>
              <w:rPr>
                <w:color w:val="000000"/>
                <w:szCs w:val="21"/>
                <w:lang w:eastAsia="zh-CN"/>
              </w:rPr>
              <w:t>在验收前提供卖方发运清单及相关检验报告</w:t>
            </w:r>
            <w:r>
              <w:rPr>
                <w:rFonts w:hint="eastAsia"/>
                <w:szCs w:val="21"/>
                <w:lang w:eastAsia="zh-CN"/>
              </w:rPr>
              <w:t>。</w:t>
            </w:r>
          </w:p>
        </w:tc>
        <w:tc>
          <w:tcPr>
            <w:tcW w:w="2128" w:type="dxa"/>
            <w:shd w:val="clear" w:color="auto" w:fill="auto"/>
            <w:vAlign w:val="center"/>
          </w:tcPr>
          <w:p>
            <w:pPr>
              <w:jc w:val="center"/>
              <w:rPr>
                <w:szCs w:val="21"/>
                <w:lang w:eastAsia="zh-CN"/>
              </w:rPr>
            </w:pPr>
            <w:r>
              <w:rPr>
                <w:rFonts w:hint="eastAsia"/>
                <w:szCs w:val="21"/>
                <w:lang w:eastAsia="zh-CN"/>
              </w:rPr>
              <w:t>关键</w:t>
            </w:r>
          </w:p>
        </w:tc>
      </w:tr>
    </w:tbl>
    <w:p>
      <w:pPr>
        <w:rPr>
          <w:szCs w:val="21"/>
          <w:lang w:eastAsia="zh-CN"/>
        </w:rPr>
      </w:pPr>
    </w:p>
    <w:p>
      <w:pPr>
        <w:pStyle w:val="15"/>
        <w:numPr>
          <w:ilvl w:val="0"/>
          <w:numId w:val="2"/>
        </w:numPr>
        <w:spacing w:after="158" w:afterLines="50"/>
        <w:ind w:left="426" w:hanging="426" w:hangingChars="202"/>
        <w:outlineLvl w:val="0"/>
        <w:rPr>
          <w:rFonts w:ascii="Times New Roman" w:hAnsi="Times New Roman"/>
          <w:b/>
        </w:rPr>
      </w:pPr>
      <w:bookmarkStart w:id="43" w:name="_Toc522716125"/>
      <w:bookmarkStart w:id="44" w:name="_Toc139296934"/>
      <w:r>
        <w:rPr>
          <w:rFonts w:ascii="Times New Roman" w:hAnsi="Times New Roman"/>
          <w:b/>
          <w:szCs w:val="21"/>
        </w:rPr>
        <w:t>服务要求</w:t>
      </w:r>
      <w:bookmarkEnd w:id="43"/>
      <w:bookmarkEnd w:id="44"/>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6942"/>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708"/>
              <w:rPr>
                <w:szCs w:val="21"/>
              </w:rPr>
            </w:pPr>
          </w:p>
        </w:tc>
        <w:tc>
          <w:tcPr>
            <w:tcW w:w="9253" w:type="dxa"/>
            <w:gridSpan w:val="2"/>
            <w:shd w:val="clear" w:color="auto" w:fill="auto"/>
            <w:vAlign w:val="center"/>
          </w:tcPr>
          <w:p>
            <w:pPr>
              <w:jc w:val="both"/>
              <w:rPr>
                <w:color w:val="0070C0"/>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kern w:val="2"/>
                <w:szCs w:val="21"/>
                <w:lang w:eastAsia="zh-CN"/>
              </w:rPr>
            </w:pPr>
            <w:r>
              <w:rPr>
                <w:rFonts w:hint="eastAsia"/>
                <w:kern w:val="2"/>
                <w:szCs w:val="21"/>
                <w:lang w:eastAsia="zh-CN"/>
              </w:rPr>
              <w:t>产品采用食品级及以上塑料袋包装。产品包装应</w:t>
            </w:r>
            <w:r>
              <w:rPr>
                <w:rFonts w:hint="eastAsia" w:ascii="宋体" w:hAnsi="宋体" w:cs="宋体"/>
                <w:iCs/>
                <w:szCs w:val="21"/>
                <w:lang w:eastAsia="zh-CN"/>
              </w:rPr>
              <w:t>具有良好的防水、防潮、防锈、防野蛮装卸等保护措施，以确保货物</w:t>
            </w:r>
            <w:r>
              <w:rPr>
                <w:rFonts w:hint="eastAsia" w:ascii="宋体" w:hAnsi="宋体" w:cs="宋体"/>
                <w:iCs/>
                <w:szCs w:val="21"/>
                <w:lang w:val="en-US" w:eastAsia="zh-CN"/>
              </w:rPr>
              <w:t>卫生</w:t>
            </w:r>
            <w:r>
              <w:rPr>
                <w:rFonts w:hint="eastAsia" w:ascii="宋体" w:hAnsi="宋体" w:cs="宋体"/>
                <w:iCs/>
                <w:szCs w:val="21"/>
                <w:lang w:eastAsia="zh-CN"/>
              </w:rPr>
              <w:t>安全运抵现场。供货商承担由于包装、运输不妥引起的货物损伤和丢失的责任。</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ind w:left="708"/>
              <w:rPr>
                <w:szCs w:val="21"/>
              </w:rPr>
            </w:pPr>
          </w:p>
        </w:tc>
        <w:tc>
          <w:tcPr>
            <w:tcW w:w="9253" w:type="dxa"/>
            <w:gridSpan w:val="2"/>
            <w:shd w:val="clear" w:color="auto" w:fill="auto"/>
            <w:vAlign w:val="center"/>
          </w:tcPr>
          <w:p>
            <w:pPr>
              <w:jc w:val="both"/>
              <w:rPr>
                <w:i/>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与买方共同审核质量，发现异常立即进行整改。</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保证接受</w:t>
            </w:r>
            <w:r>
              <w:rPr>
                <w:rFonts w:hint="eastAsia"/>
                <w:kern w:val="2"/>
                <w:szCs w:val="21"/>
                <w:lang w:eastAsia="zh-CN"/>
              </w:rPr>
              <w:t>武汉生物制品研究所有限责任公司的检查，并积极整改</w:t>
            </w:r>
            <w:r>
              <w:rPr>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卖方在售后期间需解决与产品质量有关的问题。</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15"/>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每批牛肉</w:t>
            </w:r>
            <w:r>
              <w:rPr>
                <w:szCs w:val="21"/>
                <w:lang w:eastAsia="zh-CN"/>
              </w:rPr>
              <w:t>到达买方使用现场后，由买卖双方共同验收</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每批牛肉</w:t>
            </w:r>
            <w:r>
              <w:rPr>
                <w:szCs w:val="21"/>
                <w:lang w:eastAsia="zh-CN"/>
              </w:rPr>
              <w:t>确认验收合格后，买卖双方签订验收报告</w:t>
            </w:r>
            <w:r>
              <w:rPr>
                <w:rFonts w:hint="eastAsia"/>
                <w:szCs w:val="21"/>
                <w:lang w:eastAsia="zh-CN"/>
              </w:rPr>
              <w:t>或其他可表明已验收的书面文件</w:t>
            </w:r>
            <w:r>
              <w:rPr>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15"/>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hAnsi="宋体"/>
                <w:szCs w:val="21"/>
                <w:lang w:eastAsia="zh-CN"/>
              </w:rPr>
              <w:t>第一名中标候选人将承担</w:t>
            </w:r>
            <w:r>
              <w:rPr>
                <w:rFonts w:hint="eastAsia" w:ascii="宋体" w:hAnsi="宋体"/>
                <w:szCs w:val="21"/>
                <w:lang w:val="en-US" w:eastAsia="zh-CN"/>
              </w:rPr>
              <w:t>细菌类疫苗室</w:t>
            </w:r>
            <w:r>
              <w:rPr>
                <w:rFonts w:hint="eastAsia" w:ascii="宋体" w:hAnsi="宋体"/>
                <w:szCs w:val="21"/>
                <w:lang w:eastAsia="zh-CN"/>
              </w:rPr>
              <w:t>牛肉供应，具体数量由招标人根据供应货物综合质量等评估，具体用量以签订合同为准。</w:t>
            </w:r>
          </w:p>
        </w:tc>
        <w:tc>
          <w:tcPr>
            <w:tcW w:w="2125" w:type="dxa"/>
            <w:shd w:val="clear" w:color="auto" w:fill="auto"/>
            <w:vAlign w:val="center"/>
          </w:tcPr>
          <w:p>
            <w:pPr>
              <w:jc w:val="center"/>
              <w:rPr>
                <w:szCs w:val="21"/>
                <w:lang w:eastAsia="zh-CN"/>
              </w:rPr>
            </w:pPr>
            <w:r>
              <w:rPr>
                <w:rFonts w:hint="eastAsia"/>
                <w:szCs w:val="21"/>
                <w:lang w:eastAsia="zh-CN"/>
              </w:rPr>
              <w:t>关键</w:t>
            </w:r>
          </w:p>
        </w:tc>
      </w:tr>
    </w:tbl>
    <w:p>
      <w:pPr>
        <w:rPr>
          <w:lang w:eastAsia="zh-CN"/>
        </w:rPr>
      </w:pPr>
    </w:p>
    <w:p>
      <w:pPr>
        <w:pStyle w:val="15"/>
        <w:numPr>
          <w:ilvl w:val="0"/>
          <w:numId w:val="2"/>
        </w:numPr>
        <w:spacing w:after="158" w:afterLines="50"/>
        <w:ind w:left="426" w:hanging="426" w:hangingChars="202"/>
        <w:outlineLvl w:val="0"/>
        <w:rPr>
          <w:rFonts w:ascii="Times New Roman" w:hAnsi="Times New Roman"/>
          <w:b/>
        </w:rPr>
      </w:pPr>
      <w:bookmarkStart w:id="45" w:name="_Toc522716126"/>
      <w:bookmarkStart w:id="46" w:name="_Toc522107746"/>
      <w:bookmarkStart w:id="47" w:name="_Toc139296935"/>
      <w:r>
        <w:rPr>
          <w:rFonts w:ascii="Times New Roman" w:hAnsi="Times New Roman"/>
          <w:b/>
        </w:rPr>
        <w:t>附件</w:t>
      </w:r>
      <w:bookmarkEnd w:id="45"/>
      <w:bookmarkEnd w:id="46"/>
      <w:bookmarkEnd w:id="47"/>
    </w:p>
    <w:bookmarkEnd w:id="26"/>
    <w:bookmarkEnd w:id="27"/>
    <w:bookmarkEnd w:id="28"/>
    <w:bookmarkEnd w:id="29"/>
    <w:bookmarkEnd w:id="30"/>
    <w:bookmarkEnd w:id="31"/>
    <w:bookmarkEnd w:id="32"/>
    <w:bookmarkEnd w:id="33"/>
    <w:bookmarkEnd w:id="34"/>
    <w:bookmarkEnd w:id="35"/>
    <w:bookmarkEnd w:id="36"/>
    <w:bookmarkEnd w:id="37"/>
    <w:p>
      <w:pPr>
        <w:pStyle w:val="14"/>
        <w:spacing w:before="0" w:line="360" w:lineRule="auto"/>
        <w:ind w:left="357"/>
        <w:jc w:val="left"/>
      </w:pPr>
      <w:r>
        <w:rPr>
          <w:rFonts w:hint="eastAsia"/>
          <w:szCs w:val="21"/>
          <w:lang w:eastAsia="zh-CN"/>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128"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1FA414AA"/>
    <w:multiLevelType w:val="multilevel"/>
    <w:tmpl w:val="1FA414AA"/>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10"/>
  </w:num>
  <w:num w:numId="4">
    <w:abstractNumId w:val="5"/>
  </w:num>
  <w:num w:numId="5">
    <w:abstractNumId w:val="6"/>
  </w:num>
  <w:num w:numId="6">
    <w:abstractNumId w:val="0"/>
  </w:num>
  <w:num w:numId="7">
    <w:abstractNumId w:val="4"/>
  </w:num>
  <w:num w:numId="8">
    <w:abstractNumId w:val="3"/>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kNmNjOWZiMmNjNTg4MmRmNTAzNzZjZDk4YmZlZjcifQ=="/>
  </w:docVars>
  <w:rsids>
    <w:rsidRoot w:val="489E29CA"/>
    <w:rsid w:val="000072BE"/>
    <w:rsid w:val="000E6F7A"/>
    <w:rsid w:val="000F64BF"/>
    <w:rsid w:val="001000D7"/>
    <w:rsid w:val="00161562"/>
    <w:rsid w:val="003720CF"/>
    <w:rsid w:val="00450498"/>
    <w:rsid w:val="004A0E44"/>
    <w:rsid w:val="004B2831"/>
    <w:rsid w:val="00514EDA"/>
    <w:rsid w:val="006438A2"/>
    <w:rsid w:val="006F30A4"/>
    <w:rsid w:val="00736C5E"/>
    <w:rsid w:val="00873740"/>
    <w:rsid w:val="008F63E5"/>
    <w:rsid w:val="009635BD"/>
    <w:rsid w:val="0096767B"/>
    <w:rsid w:val="00B00ADE"/>
    <w:rsid w:val="00BB1F9B"/>
    <w:rsid w:val="00C14574"/>
    <w:rsid w:val="00C57732"/>
    <w:rsid w:val="00C8411E"/>
    <w:rsid w:val="00CA0757"/>
    <w:rsid w:val="00CC19EB"/>
    <w:rsid w:val="00EC3410"/>
    <w:rsid w:val="00F31F35"/>
    <w:rsid w:val="00FE7D74"/>
    <w:rsid w:val="018A5450"/>
    <w:rsid w:val="130560D5"/>
    <w:rsid w:val="1A4A5089"/>
    <w:rsid w:val="28A777C5"/>
    <w:rsid w:val="2F1237EF"/>
    <w:rsid w:val="489E29CA"/>
    <w:rsid w:val="4D4B6FB6"/>
    <w:rsid w:val="6B82534F"/>
    <w:rsid w:val="7AA45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99"/>
    <w:pPr>
      <w:tabs>
        <w:tab w:val="center" w:pos="4320"/>
        <w:tab w:val="right" w:pos="8640"/>
      </w:tabs>
    </w:pPr>
  </w:style>
  <w:style w:type="paragraph" w:styleId="6">
    <w:name w:val="header"/>
    <w:basedOn w:val="1"/>
    <w:qFormat/>
    <w:uiPriority w:val="0"/>
    <w:pPr>
      <w:tabs>
        <w:tab w:val="center" w:pos="4320"/>
        <w:tab w:val="right" w:pos="8640"/>
      </w:tabs>
    </w:pPr>
  </w:style>
  <w:style w:type="paragraph" w:styleId="7">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TOC 标题1"/>
    <w:basedOn w:val="2"/>
    <w:next w:val="1"/>
    <w:qFormat/>
    <w:uiPriority w:val="39"/>
    <w:pPr>
      <w:numPr>
        <w:numId w:val="0"/>
      </w:numPr>
      <w:outlineLvl w:val="9"/>
    </w:pPr>
  </w:style>
  <w:style w:type="paragraph" w:customStyle="1" w:styleId="13">
    <w:name w:val="Table text"/>
    <w:basedOn w:val="1"/>
    <w:qFormat/>
    <w:uiPriority w:val="6"/>
    <w:pPr>
      <w:overflowPunct/>
      <w:autoSpaceDE/>
      <w:autoSpaceDN/>
      <w:adjustRightInd/>
      <w:spacing w:before="120" w:after="120"/>
      <w:jc w:val="both"/>
      <w:textAlignment w:val="auto"/>
    </w:pPr>
    <w:rPr>
      <w:lang w:val="en-US"/>
    </w:rPr>
  </w:style>
  <w:style w:type="paragraph" w:customStyle="1" w:styleId="14">
    <w:name w:val="Text"/>
    <w:basedOn w:val="1"/>
    <w:qFormat/>
    <w:uiPriority w:val="7"/>
    <w:pPr>
      <w:overflowPunct/>
      <w:autoSpaceDE/>
      <w:autoSpaceDN/>
      <w:adjustRightInd/>
      <w:spacing w:before="120"/>
      <w:jc w:val="both"/>
      <w:textAlignment w:val="auto"/>
    </w:pPr>
    <w:rPr>
      <w:lang w:val="en-US"/>
    </w:rPr>
  </w:style>
  <w:style w:type="paragraph" w:styleId="15">
    <w:name w:val="List Paragraph"/>
    <w:basedOn w:val="1"/>
    <w:link w:val="18"/>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16">
    <w:name w:val="正文文本 31"/>
    <w:basedOn w:val="1"/>
    <w:qFormat/>
    <w:uiPriority w:val="0"/>
    <w:pPr>
      <w:autoSpaceDN/>
      <w:adjustRightInd/>
    </w:pPr>
    <w:rPr>
      <w:sz w:val="28"/>
    </w:rPr>
  </w:style>
  <w:style w:type="character" w:customStyle="1" w:styleId="17">
    <w:name w:val="批注框文本 字符"/>
    <w:basedOn w:val="9"/>
    <w:link w:val="4"/>
    <w:qFormat/>
    <w:uiPriority w:val="0"/>
    <w:rPr>
      <w:rFonts w:ascii="Times New Roman" w:hAnsi="Times New Roman" w:eastAsia="宋体" w:cs="Times New Roman"/>
      <w:sz w:val="18"/>
      <w:szCs w:val="18"/>
      <w:lang w:val="en-GB" w:eastAsia="en-US"/>
    </w:rPr>
  </w:style>
  <w:style w:type="character" w:customStyle="1" w:styleId="18">
    <w:name w:val="列表段落 字符"/>
    <w:link w:val="15"/>
    <w:qFormat/>
    <w:uiPriority w:val="34"/>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314</Words>
  <Characters>1793</Characters>
  <Lines>14</Lines>
  <Paragraphs>4</Paragraphs>
  <TotalTime>0</TotalTime>
  <ScaleCrop>false</ScaleCrop>
  <LinksUpToDate>false</LinksUpToDate>
  <CharactersWithSpaces>2103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2023-05-10T02:33:00Z</dcterms:created>
  <dc:creator>a</dc:creator>
  <cp:lastModifiedBy>汪洋</cp:lastModifiedBy>
  <dcterms:modified xsi:type="dcterms:W3CDTF">2025-12-17T03:33:37Z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FC449FB50E3F476AA2CCA1323CB1B7E2_13</vt:lpwstr>
  </property>
</Properties>
</file>